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B7E4" w14:textId="77777777" w:rsidR="001A2CB0" w:rsidRDefault="001A2CB0" w:rsidP="002F63B2"/>
    <w:p w14:paraId="22B407C0" w14:textId="77777777" w:rsidR="00B139DA" w:rsidRDefault="00B139DA" w:rsidP="00C75585">
      <w:pPr>
        <w:pStyle w:val="Heading4"/>
        <w:spacing w:before="0" w:after="0"/>
        <w:rPr>
          <w:sz w:val="36"/>
          <w:szCs w:val="36"/>
        </w:rPr>
      </w:pPr>
    </w:p>
    <w:p w14:paraId="6F9A1036" w14:textId="77777777" w:rsidR="004C0F17" w:rsidRDefault="004C0F17" w:rsidP="000364B9">
      <w:pPr>
        <w:pStyle w:val="Heading4"/>
        <w:spacing w:before="0" w:after="0"/>
        <w:jc w:val="center"/>
        <w:rPr>
          <w:sz w:val="36"/>
          <w:szCs w:val="36"/>
        </w:rPr>
      </w:pPr>
      <w:r>
        <w:rPr>
          <w:sz w:val="36"/>
          <w:szCs w:val="36"/>
        </w:rPr>
        <w:t>AIGLEFIN</w:t>
      </w:r>
    </w:p>
    <w:p w14:paraId="046CE20E" w14:textId="77777777" w:rsidR="000364B9" w:rsidRPr="000364B9" w:rsidRDefault="000364B9" w:rsidP="000364B9"/>
    <w:p w14:paraId="6028DF11" w14:textId="73252D06" w:rsidR="004C0F17" w:rsidRDefault="004C0F17" w:rsidP="000364B9">
      <w:pPr>
        <w:pStyle w:val="Heading4"/>
        <w:spacing w:before="0" w:after="0"/>
        <w:jc w:val="center"/>
        <w:rPr>
          <w:sz w:val="36"/>
          <w:szCs w:val="36"/>
        </w:rPr>
      </w:pPr>
      <w:r>
        <w:rPr>
          <w:sz w:val="36"/>
          <w:szCs w:val="36"/>
        </w:rPr>
        <w:t>DE L</w:t>
      </w:r>
      <w:r w:rsidR="00BA2A92">
        <w:rPr>
          <w:sz w:val="36"/>
          <w:szCs w:val="36"/>
        </w:rPr>
        <w:t>’</w:t>
      </w:r>
      <w:r>
        <w:rPr>
          <w:sz w:val="36"/>
          <w:szCs w:val="36"/>
        </w:rPr>
        <w:t>EST DU</w:t>
      </w:r>
    </w:p>
    <w:p w14:paraId="1B0280EB" w14:textId="77777777" w:rsidR="000364B9" w:rsidRPr="000364B9" w:rsidRDefault="000364B9" w:rsidP="000364B9"/>
    <w:p w14:paraId="4A1886DF" w14:textId="77777777" w:rsidR="004C0F17" w:rsidRPr="000364B9" w:rsidRDefault="004C0F17" w:rsidP="000364B9">
      <w:pPr>
        <w:pStyle w:val="Heading4"/>
        <w:spacing w:before="0" w:after="0"/>
        <w:jc w:val="center"/>
        <w:rPr>
          <w:sz w:val="36"/>
          <w:szCs w:val="36"/>
        </w:rPr>
      </w:pPr>
      <w:r>
        <w:rPr>
          <w:sz w:val="36"/>
          <w:szCs w:val="36"/>
        </w:rPr>
        <w:t>DU BANC DE GEORGES</w:t>
      </w:r>
    </w:p>
    <w:p w14:paraId="29FAE823" w14:textId="77777777" w:rsidR="004C0F17" w:rsidRPr="00673171" w:rsidRDefault="004C0F17" w:rsidP="008A5EC8">
      <w:pPr>
        <w:spacing w:before="240" w:after="60"/>
        <w:jc w:val="center"/>
        <w:rPr>
          <w:sz w:val="28"/>
          <w:szCs w:val="28"/>
        </w:rPr>
      </w:pPr>
      <w:r>
        <w:rPr>
          <w:sz w:val="28"/>
          <w:szCs w:val="28"/>
        </w:rPr>
        <w:t>[5Zjm; 551, 552, 561, 562]</w:t>
      </w:r>
    </w:p>
    <w:p w14:paraId="19A8595D" w14:textId="59ACDD40" w:rsidR="004C0F17" w:rsidRDefault="004C0F17" w:rsidP="008A5EC8">
      <w:pPr>
        <w:jc w:val="center"/>
      </w:pPr>
      <w:r>
        <w:br w:type="column"/>
      </w:r>
      <w:r w:rsidR="008A5176">
        <w:rPr>
          <w:noProof/>
          <w:lang w:val="en-US"/>
        </w:rPr>
        <w:drawing>
          <wp:inline distT="0" distB="0" distL="0" distR="0" wp14:anchorId="57B0C387" wp14:editId="5180CB75">
            <wp:extent cx="2743200" cy="2927350"/>
            <wp:effectExtent l="0" t="0" r="0" b="6350"/>
            <wp:docPr id="8" name="Picture 8" descr="MAP DE L’EST DU&#10;&#10;DU BANC DE GEO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2927350"/>
                    </a:xfrm>
                    <a:prstGeom prst="rect">
                      <a:avLst/>
                    </a:prstGeom>
                  </pic:spPr>
                </pic:pic>
              </a:graphicData>
            </a:graphic>
          </wp:inline>
        </w:drawing>
      </w:r>
    </w:p>
    <w:p w14:paraId="6A7905AC" w14:textId="77777777" w:rsidR="004C0F17" w:rsidRDefault="004C0F17"/>
    <w:p w14:paraId="3FDB7CDD" w14:textId="77777777" w:rsidR="004C0F17" w:rsidRDefault="004C0F17">
      <w:pPr>
        <w:pStyle w:val="Heading4"/>
        <w:spacing w:before="0" w:after="0"/>
        <w:sectPr w:rsidR="004C0F17" w:rsidSect="00C3600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80" w:left="1440" w:header="720" w:footer="720" w:gutter="0"/>
          <w:cols w:num="2" w:space="720" w:equalWidth="0">
            <w:col w:w="4320" w:space="720"/>
            <w:col w:w="4320"/>
          </w:cols>
          <w:titlePg/>
          <w:docGrid w:linePitch="360"/>
        </w:sectPr>
      </w:pPr>
    </w:p>
    <w:p w14:paraId="6251FAE8" w14:textId="77777777" w:rsidR="004C0F17" w:rsidRDefault="004C0F17" w:rsidP="002941D2">
      <w:pPr>
        <w:pStyle w:val="Heading5"/>
        <w:spacing w:before="120" w:after="120"/>
      </w:pPr>
      <w:r>
        <w:t xml:space="preserve">Sommaire </w:t>
      </w:r>
    </w:p>
    <w:p w14:paraId="30310368" w14:textId="0209B823" w:rsidR="00D86CA8" w:rsidRDefault="00D86CA8" w:rsidP="00D86CA8">
      <w:pPr>
        <w:pStyle w:val="ListParagraph"/>
        <w:numPr>
          <w:ilvl w:val="0"/>
          <w:numId w:val="23"/>
        </w:numPr>
      </w:pPr>
      <w:r w:rsidRPr="0096298B">
        <w:t>Les</w:t>
      </w:r>
      <w:r>
        <w:rPr>
          <w:b/>
        </w:rPr>
        <w:t xml:space="preserve"> prises combinées du Canada et des États-Unis</w:t>
      </w:r>
      <w:r>
        <w:t xml:space="preserve"> pour l</w:t>
      </w:r>
      <w:r w:rsidR="00BA2A92">
        <w:t>’</w:t>
      </w:r>
      <w:r>
        <w:t>aiglefin de l</w:t>
      </w:r>
      <w:r w:rsidR="00BA2A92">
        <w:t>’</w:t>
      </w:r>
      <w:r>
        <w:t xml:space="preserve">est du banc de Georges (EBG) se </w:t>
      </w:r>
      <w:r w:rsidR="0096298B">
        <w:t>chiffraient</w:t>
      </w:r>
      <w:r>
        <w:t xml:space="preserve"> à 12 495 t en 2018.</w:t>
      </w:r>
    </w:p>
    <w:p w14:paraId="42BCEAB7" w14:textId="5116CD72" w:rsidR="00AC0595" w:rsidRPr="00AC0595" w:rsidRDefault="00AC0595" w:rsidP="00AC0595">
      <w:pPr>
        <w:pStyle w:val="ListParagraph"/>
        <w:numPr>
          <w:ilvl w:val="0"/>
          <w:numId w:val="23"/>
        </w:numPr>
      </w:pPr>
      <w:r>
        <w:t>Les indices des relevés de 2018 et 2019 étaient supérieurs à leurs moyennes respectives pour la série chronologique</w:t>
      </w:r>
      <w:r w:rsidR="0096298B">
        <w:t xml:space="preserve">. </w:t>
      </w:r>
      <w:r>
        <w:t>Durant l</w:t>
      </w:r>
      <w:r w:rsidR="00BA2A92">
        <w:t>’</w:t>
      </w:r>
      <w:r>
        <w:t>année la plus récente, les indices d</w:t>
      </w:r>
      <w:r w:rsidR="00BA2A92">
        <w:t>’</w:t>
      </w:r>
      <w:r>
        <w:t>automne de Pêches et Océans Canada (MPO) et du National Marine Fisheries Service (NMFS) ont diminué, alors que l</w:t>
      </w:r>
      <w:r w:rsidR="00BA2A92">
        <w:t>’</w:t>
      </w:r>
      <w:r>
        <w:t>indice du printemps du NMFS a augmenté.</w:t>
      </w:r>
    </w:p>
    <w:p w14:paraId="4530DBDF" w14:textId="03E4F065" w:rsidR="009642ED" w:rsidRDefault="009642ED" w:rsidP="00D86CA8">
      <w:pPr>
        <w:pStyle w:val="ListParagraph"/>
        <w:numPr>
          <w:ilvl w:val="0"/>
          <w:numId w:val="23"/>
        </w:numPr>
      </w:pPr>
      <w:r>
        <w:t xml:space="preserve">La </w:t>
      </w:r>
      <w:r>
        <w:rPr>
          <w:b/>
          <w:bCs/>
        </w:rPr>
        <w:t>structure selon l</w:t>
      </w:r>
      <w:r w:rsidR="00BA2A92">
        <w:rPr>
          <w:b/>
          <w:bCs/>
        </w:rPr>
        <w:t>’</w:t>
      </w:r>
      <w:r>
        <w:rPr>
          <w:b/>
          <w:bCs/>
        </w:rPr>
        <w:t>âge de la population</w:t>
      </w:r>
      <w:r>
        <w:t xml:space="preserve"> affiche une vaste représentation des divers groupes d</w:t>
      </w:r>
      <w:r w:rsidR="00BA2A92">
        <w:t>’</w:t>
      </w:r>
      <w:r>
        <w:t xml:space="preserve">âge, ce qui dénote une amélioration du recrutement depuis 1995. Les tendances de la </w:t>
      </w:r>
      <w:r>
        <w:rPr>
          <w:b/>
        </w:rPr>
        <w:t>répartition spatiale</w:t>
      </w:r>
      <w:r>
        <w:t xml:space="preserve"> observées pendant les plus récents relevés au chalut de fond étaient comparables aux tendances moyennes des dix années précédentes. </w:t>
      </w:r>
    </w:p>
    <w:p w14:paraId="33262CF1" w14:textId="675FF71C" w:rsidR="009642ED" w:rsidRDefault="009642ED" w:rsidP="00D86CA8">
      <w:pPr>
        <w:pStyle w:val="ListParagraph"/>
        <w:numPr>
          <w:ilvl w:val="0"/>
          <w:numId w:val="23"/>
        </w:numPr>
      </w:pPr>
      <w:r>
        <w:t>Rien n</w:t>
      </w:r>
      <w:r w:rsidR="00BA2A92">
        <w:t>’</w:t>
      </w:r>
      <w:r>
        <w:t>indique que des classes d</w:t>
      </w:r>
      <w:r w:rsidR="00BA2A92">
        <w:t>’</w:t>
      </w:r>
      <w:r>
        <w:t>âge exceptionnelles arrivent dans la population. Il existe des indications préliminaires d</w:t>
      </w:r>
      <w:r w:rsidR="00BA2A92">
        <w:t>’</w:t>
      </w:r>
      <w:r>
        <w:t xml:space="preserve">un </w:t>
      </w:r>
      <w:r>
        <w:rPr>
          <w:b/>
        </w:rPr>
        <w:t>recrutement</w:t>
      </w:r>
      <w:r>
        <w:t xml:space="preserve"> supérieur à la moyenne pour 2016, bien que cette observation soit incertaine. </w:t>
      </w:r>
    </w:p>
    <w:p w14:paraId="48EEEF96" w14:textId="48E6FB5D" w:rsidR="00EE0E63" w:rsidRDefault="00EE0E63" w:rsidP="00D86CA8">
      <w:pPr>
        <w:pStyle w:val="ListParagraph"/>
        <w:numPr>
          <w:ilvl w:val="0"/>
          <w:numId w:val="23"/>
        </w:numPr>
      </w:pPr>
      <w:r>
        <w:t xml:space="preserve">Il y a eu un déclin général du </w:t>
      </w:r>
      <w:r>
        <w:rPr>
          <w:b/>
          <w:bCs/>
        </w:rPr>
        <w:t>poids selon l</w:t>
      </w:r>
      <w:r w:rsidR="00BA2A92">
        <w:rPr>
          <w:b/>
          <w:bCs/>
        </w:rPr>
        <w:t>’</w:t>
      </w:r>
      <w:r>
        <w:rPr>
          <w:b/>
          <w:bCs/>
        </w:rPr>
        <w:t>âge</w:t>
      </w:r>
      <w:r>
        <w:t xml:space="preserve"> depuis la fin des années</w:t>
      </w:r>
      <w:r w:rsidR="003170DC">
        <w:t> </w:t>
      </w:r>
      <w:r>
        <w:t>1990. Tandis que la biomasse a augmenté, les taux de croissance et les longueurs asymptotiques ont décliné. Ce déclin dans la taille selon l</w:t>
      </w:r>
      <w:r w:rsidR="00BA2A92">
        <w:t>’</w:t>
      </w:r>
      <w:r>
        <w:t>âge s</w:t>
      </w:r>
      <w:r w:rsidR="00BA2A92">
        <w:t>’</w:t>
      </w:r>
      <w:r>
        <w:t>est exacerbé pour la classe d</w:t>
      </w:r>
      <w:r w:rsidR="00BA2A92">
        <w:t>’</w:t>
      </w:r>
      <w:r>
        <w:t>âge de 2013.</w:t>
      </w:r>
    </w:p>
    <w:p w14:paraId="62DF7F7A" w14:textId="28B0EEF8" w:rsidR="009642ED" w:rsidRDefault="00DF6042" w:rsidP="00D86CA8">
      <w:pPr>
        <w:pStyle w:val="ListParagraph"/>
        <w:numPr>
          <w:ilvl w:val="0"/>
          <w:numId w:val="23"/>
        </w:numPr>
      </w:pPr>
      <w:r>
        <w:t>Le modèle d</w:t>
      </w:r>
      <w:r w:rsidR="00BA2A92">
        <w:t>’</w:t>
      </w:r>
      <w:r>
        <w:t>évaluation a été rejeté, de sorte qu</w:t>
      </w:r>
      <w:r w:rsidR="00BA2A92">
        <w:t>’</w:t>
      </w:r>
      <w:r>
        <w:t>il n</w:t>
      </w:r>
      <w:r w:rsidR="00BA2A92">
        <w:t>’</w:t>
      </w:r>
      <w:r>
        <w:t>y a pas de projections analytiques pour caractériser le risque de prises en 2020 et 2021</w:t>
      </w:r>
      <w:r w:rsidR="0096298B">
        <w:t xml:space="preserve">. </w:t>
      </w:r>
      <w:r>
        <w:t>Les tendances du relevé et de F relative, les comparaisons avec la classe d</w:t>
      </w:r>
      <w:r w:rsidR="00BA2A92">
        <w:t>’</w:t>
      </w:r>
      <w:r>
        <w:t>âge de 2003 en 2009 (qui s</w:t>
      </w:r>
      <w:r w:rsidR="00BA2A92">
        <w:t>’</w:t>
      </w:r>
      <w:r>
        <w:t>apparente à la classe d</w:t>
      </w:r>
      <w:r w:rsidR="00BA2A92">
        <w:t>’</w:t>
      </w:r>
      <w:r>
        <w:t>âge de 2013 en 2019) et les résultats de l</w:t>
      </w:r>
      <w:r w:rsidR="00BA2A92">
        <w:t>’</w:t>
      </w:r>
      <w:r>
        <w:t xml:space="preserve">analyse de population virtuelle (APV) </w:t>
      </w:r>
      <w:r>
        <w:lastRenderedPageBreak/>
        <w:t>de 2012 sont résumés dans le but de relier les mesures relatives actuelles aux estimations analytiques de la dernière APV dont le rendement est acceptable.</w:t>
      </w:r>
    </w:p>
    <w:p w14:paraId="0ED0D033" w14:textId="01CFE0F6" w:rsidR="00EE0E63" w:rsidRPr="003C3C0E" w:rsidRDefault="00EE0E63" w:rsidP="00EE0E63">
      <w:pPr>
        <w:pStyle w:val="ListParagraph"/>
        <w:numPr>
          <w:ilvl w:val="0"/>
          <w:numId w:val="23"/>
        </w:numPr>
      </w:pPr>
      <w:r>
        <w:t>Les valeurs de F relative ont eu tendance à être supérieures à la moyenne les premières années de la série chronologique jusqu</w:t>
      </w:r>
      <w:r w:rsidR="00BA2A92">
        <w:t>’</w:t>
      </w:r>
      <w:r>
        <w:t>en 1997 et sont demeurées basses depuis 2012.</w:t>
      </w:r>
    </w:p>
    <w:p w14:paraId="01A6E91C" w14:textId="4E1F03C9" w:rsidR="00F926EB" w:rsidRPr="003C3C0E" w:rsidRDefault="00F926EB" w:rsidP="00EE0E63">
      <w:pPr>
        <w:pStyle w:val="ListParagraph"/>
        <w:numPr>
          <w:ilvl w:val="0"/>
          <w:numId w:val="23"/>
        </w:numPr>
      </w:pPr>
      <w:r>
        <w:t>La population devrait diminuer de 2019 à 2020 et 2021, même sans aucune prise en 2020</w:t>
      </w:r>
      <w:r w:rsidR="0096298B">
        <w:t xml:space="preserve">. </w:t>
      </w:r>
      <w:r>
        <w:t>Cela s</w:t>
      </w:r>
      <w:r w:rsidR="00BA2A92">
        <w:t>’</w:t>
      </w:r>
      <w:r>
        <w:t>explique principalement par la diminution du nombre d</w:t>
      </w:r>
      <w:r w:rsidR="00BA2A92">
        <w:t>’</w:t>
      </w:r>
      <w:r>
        <w:t>individus de la classe d</w:t>
      </w:r>
      <w:r w:rsidR="00BA2A92">
        <w:t>’</w:t>
      </w:r>
      <w:r>
        <w:t>âge de 2013, dont le gain de poids devrait être très faible entre les âges 6 et 8.</w:t>
      </w:r>
    </w:p>
    <w:p w14:paraId="2EFAE302" w14:textId="7EC93DFA" w:rsidR="00A43F5F" w:rsidRPr="003C3C0E" w:rsidRDefault="00A43F5F" w:rsidP="00D86CA8">
      <w:pPr>
        <w:pStyle w:val="ListParagraph"/>
        <w:numPr>
          <w:ilvl w:val="0"/>
          <w:numId w:val="23"/>
        </w:numPr>
      </w:pPr>
      <w:r>
        <w:t>Bien que la population soit encore abondante et bien au-dessus de la biomasse moyenne de la série chronologique du relevé, le maintien d</w:t>
      </w:r>
      <w:r w:rsidR="00BA2A92">
        <w:t>’</w:t>
      </w:r>
      <w:r>
        <w:t>un quota constant sur une population en déclin (où les prises proviennent principalement d</w:t>
      </w:r>
      <w:r w:rsidR="00BA2A92">
        <w:t>’</w:t>
      </w:r>
      <w:r>
        <w:t>une seule classe d</w:t>
      </w:r>
      <w:r w:rsidR="00BA2A92">
        <w:t>’</w:t>
      </w:r>
      <w:r>
        <w:t>âge) entraînerait une tendance à la hausse de F relative. La disponibilité incertaine, combinée aux poids selon l</w:t>
      </w:r>
      <w:r w:rsidR="00BA2A92">
        <w:t>’</w:t>
      </w:r>
      <w:r>
        <w:t>âge les plus faibles observés pour la classe d</w:t>
      </w:r>
      <w:r w:rsidR="00BA2A92">
        <w:t>’</w:t>
      </w:r>
      <w:r>
        <w:t xml:space="preserve">âge de 2013, </w:t>
      </w:r>
      <w:r w:rsidR="00D35A9E">
        <w:t xml:space="preserve">n’appuie pas le </w:t>
      </w:r>
      <w:r>
        <w:t>statu quo pour le quota.</w:t>
      </w:r>
    </w:p>
    <w:p w14:paraId="313B9796" w14:textId="1BDA7B2B" w:rsidR="00A43F5F" w:rsidRDefault="00F97AC8" w:rsidP="00A43F5F">
      <w:pPr>
        <w:pStyle w:val="ListParagraph"/>
        <w:numPr>
          <w:ilvl w:val="0"/>
          <w:numId w:val="23"/>
        </w:numPr>
      </w:pPr>
      <w:r>
        <w:t>Le Comité d</w:t>
      </w:r>
      <w:r w:rsidR="00BA2A92">
        <w:t>’</w:t>
      </w:r>
      <w:r>
        <w:t xml:space="preserve">évaluation des ressources transfrontalières (CERT) recommande de ne pas augmenter le quota </w:t>
      </w:r>
      <w:r w:rsidR="00D751D7">
        <w:t>de</w:t>
      </w:r>
      <w:r>
        <w:t xml:space="preserve"> 2020 </w:t>
      </w:r>
      <w:r w:rsidR="00D751D7">
        <w:t xml:space="preserve">comparativement </w:t>
      </w:r>
      <w:r>
        <w:t xml:space="preserve">au quota de 2019 (30 000 t), </w:t>
      </w:r>
      <w:r w:rsidR="009F4D31">
        <w:t>et</w:t>
      </w:r>
      <w:r>
        <w:t xml:space="preserve"> de le réduire en 2021</w:t>
      </w:r>
      <w:r w:rsidR="0096298B">
        <w:t xml:space="preserve">. </w:t>
      </w:r>
      <w:r>
        <w:t>Il n</w:t>
      </w:r>
      <w:r w:rsidR="00BA2A92">
        <w:t>’</w:t>
      </w:r>
      <w:r>
        <w:t>y a pas de consensus sur la possibilité de réduire le quota en 2020.</w:t>
      </w:r>
    </w:p>
    <w:p w14:paraId="1EF31AEF" w14:textId="3F8AA99B" w:rsidR="00DF6042" w:rsidRPr="00A43F5F" w:rsidRDefault="00A43F5F" w:rsidP="00D86CA8">
      <w:pPr>
        <w:pStyle w:val="ListParagraph"/>
        <w:numPr>
          <w:ilvl w:val="0"/>
          <w:numId w:val="23"/>
        </w:numPr>
      </w:pPr>
      <w:r>
        <w:t>Pour obtenir des orientations sur une gamme potentiellement raisonnable d</w:t>
      </w:r>
      <w:r w:rsidR="00BA2A92">
        <w:t>’</w:t>
      </w:r>
      <w:r>
        <w:t>avis sur les quotas, le Comité d</w:t>
      </w:r>
      <w:r w:rsidR="00BA2A92">
        <w:t>’</w:t>
      </w:r>
      <w:r>
        <w:t>orientation de la gestion des stocks transfrontaliers (COGST) pourrait prendre comme point de départ les avis sur les quotas pour la classe d</w:t>
      </w:r>
      <w:r w:rsidR="00BA2A92">
        <w:t>’</w:t>
      </w:r>
      <w:r>
        <w:t>âge de 2003 en 2009-2011.</w:t>
      </w:r>
    </w:p>
    <w:p w14:paraId="375BE376" w14:textId="2BACB9C5" w:rsidR="00F6687A" w:rsidRPr="002941D2" w:rsidRDefault="00F6687A" w:rsidP="002941D2">
      <w:pPr>
        <w:pStyle w:val="Heading5"/>
        <w:spacing w:before="120" w:after="120"/>
      </w:pPr>
      <w:r w:rsidRPr="002941D2">
        <w:t>Processus d</w:t>
      </w:r>
      <w:r w:rsidR="00BA2A92" w:rsidRPr="002941D2">
        <w:t>’</w:t>
      </w:r>
      <w:r w:rsidRPr="002941D2">
        <w:t xml:space="preserve">examen du CERT </w:t>
      </w:r>
    </w:p>
    <w:p w14:paraId="354323F6" w14:textId="45058CAA" w:rsidR="00576A6E" w:rsidRDefault="00576A6E" w:rsidP="00CB6D7E">
      <w:pPr>
        <w:shd w:val="clear" w:color="auto" w:fill="FFFFFF"/>
        <w:spacing w:after="173"/>
        <w:jc w:val="both"/>
      </w:pPr>
      <w:r>
        <w:rPr>
          <w:color w:val="000000" w:themeColor="text1"/>
        </w:rPr>
        <w:t>Dans un souci de transparence et pour éviter tout conflit d</w:t>
      </w:r>
      <w:r w:rsidR="00BA2A92">
        <w:rPr>
          <w:color w:val="000000" w:themeColor="text1"/>
        </w:rPr>
        <w:t>’</w:t>
      </w:r>
      <w:r>
        <w:rPr>
          <w:color w:val="000000" w:themeColor="text1"/>
        </w:rPr>
        <w:t>intérêts apparent, le Comité d</w:t>
      </w:r>
      <w:r w:rsidR="00BA2A92">
        <w:rPr>
          <w:color w:val="000000" w:themeColor="text1"/>
        </w:rPr>
        <w:t>’</w:t>
      </w:r>
      <w:r>
        <w:rPr>
          <w:color w:val="000000" w:themeColor="text1"/>
        </w:rPr>
        <w:t>évaluation des ressources transfrontalières (CERT) a lancé en 2017 un nouveau processus d</w:t>
      </w:r>
      <w:r w:rsidR="00BA2A92">
        <w:rPr>
          <w:color w:val="000000" w:themeColor="text1"/>
        </w:rPr>
        <w:t>’</w:t>
      </w:r>
      <w:r>
        <w:rPr>
          <w:color w:val="000000" w:themeColor="text1"/>
        </w:rPr>
        <w:t>examen pour la morue et l</w:t>
      </w:r>
      <w:r w:rsidR="00BA2A92">
        <w:rPr>
          <w:color w:val="000000" w:themeColor="text1"/>
        </w:rPr>
        <w:t>’</w:t>
      </w:r>
      <w:r>
        <w:rPr>
          <w:color w:val="000000" w:themeColor="text1"/>
        </w:rPr>
        <w:t>aiglefin de l</w:t>
      </w:r>
      <w:r w:rsidR="00BA2A92">
        <w:rPr>
          <w:color w:val="000000" w:themeColor="text1"/>
        </w:rPr>
        <w:t>’</w:t>
      </w:r>
      <w:r>
        <w:rPr>
          <w:color w:val="000000" w:themeColor="text1"/>
        </w:rPr>
        <w:t>est du banc de Georges et la limande à queue jaune du banc de Georges. Vous trouverez un aperçu du processus complet</w:t>
      </w:r>
      <w:r w:rsidR="008A5176">
        <w:rPr>
          <w:color w:val="000000" w:themeColor="text1"/>
        </w:rPr>
        <w:t xml:space="preserve"> </w:t>
      </w:r>
      <w:hyperlink r:id="rId15" w:history="1">
        <w:r w:rsidR="008A5176" w:rsidRPr="008A5176">
          <w:rPr>
            <w:rStyle w:val="Hyperlink"/>
          </w:rPr>
          <w:t>en ligne</w:t>
        </w:r>
      </w:hyperlink>
      <w:r w:rsidR="008A5176">
        <w:rPr>
          <w:color w:val="000000" w:themeColor="text1"/>
        </w:rPr>
        <w:t>.</w:t>
      </w:r>
      <w:r>
        <w:rPr>
          <w:color w:val="000000" w:themeColor="text1"/>
        </w:rPr>
        <w:t xml:space="preserve"> </w:t>
      </w:r>
    </w:p>
    <w:p w14:paraId="6BC76643" w14:textId="77777777" w:rsidR="00576A6E" w:rsidRDefault="00576A6E">
      <w:pPr>
        <w:jc w:val="both"/>
      </w:pPr>
    </w:p>
    <w:p w14:paraId="71065628" w14:textId="77777777" w:rsidR="007B195A" w:rsidRDefault="007B195A" w:rsidP="000364B9">
      <w:pPr>
        <w:pStyle w:val="Heading5"/>
        <w:spacing w:after="0"/>
        <w:rPr>
          <w:bCs w:val="0"/>
          <w:i w:val="0"/>
          <w:sz w:val="22"/>
          <w:szCs w:val="22"/>
        </w:rPr>
        <w:sectPr w:rsidR="007B195A" w:rsidSect="00C36001">
          <w:type w:val="continuous"/>
          <w:pgSz w:w="12240" w:h="15840" w:code="1"/>
          <w:pgMar w:top="1440" w:right="1440" w:bottom="1080" w:left="1440" w:header="720" w:footer="720" w:gutter="0"/>
          <w:cols w:space="720"/>
          <w:titlePg/>
          <w:docGrid w:linePitch="360"/>
        </w:sectPr>
      </w:pPr>
    </w:p>
    <w:p w14:paraId="329B6DDD" w14:textId="102B87D3" w:rsidR="00176380" w:rsidRPr="00C36001" w:rsidRDefault="00C40974" w:rsidP="000364B9">
      <w:pPr>
        <w:pStyle w:val="Heading5"/>
        <w:spacing w:after="0"/>
        <w:rPr>
          <w:rStyle w:val="CommentReference"/>
          <w:b w:val="0"/>
          <w:bCs w:val="0"/>
          <w:i w:val="0"/>
          <w:iCs w:val="0"/>
          <w:color w:val="FF0000"/>
          <w:sz w:val="22"/>
          <w:szCs w:val="22"/>
        </w:rPr>
      </w:pPr>
      <w:r>
        <w:rPr>
          <w:bCs w:val="0"/>
          <w:i w:val="0"/>
          <w:sz w:val="22"/>
          <w:szCs w:val="22"/>
        </w:rPr>
        <w:t>Tableau 1. Prises, indice de la biomasse du relevé (en milliers de tonnes) et mortalité relative par pêche de l</w:t>
      </w:r>
      <w:r w:rsidR="00BA2A92">
        <w:rPr>
          <w:bCs w:val="0"/>
          <w:i w:val="0"/>
          <w:sz w:val="22"/>
          <w:szCs w:val="22"/>
        </w:rPr>
        <w:t>’</w:t>
      </w:r>
      <w:r>
        <w:rPr>
          <w:bCs w:val="0"/>
          <w:i w:val="0"/>
          <w:sz w:val="22"/>
          <w:szCs w:val="22"/>
        </w:rPr>
        <w:t>aiglefin.</w:t>
      </w:r>
    </w:p>
    <w:tbl>
      <w:tblPr>
        <w:tblW w:w="5000" w:type="pct"/>
        <w:tblLook w:val="04A0" w:firstRow="1" w:lastRow="0" w:firstColumn="1" w:lastColumn="0" w:noHBand="0" w:noVBand="1"/>
      </w:tblPr>
      <w:tblGrid>
        <w:gridCol w:w="1461"/>
        <w:gridCol w:w="1582"/>
        <w:gridCol w:w="666"/>
        <w:gridCol w:w="658"/>
        <w:gridCol w:w="666"/>
        <w:gridCol w:w="666"/>
        <w:gridCol w:w="666"/>
        <w:gridCol w:w="666"/>
        <w:gridCol w:w="666"/>
        <w:gridCol w:w="701"/>
        <w:gridCol w:w="701"/>
        <w:gridCol w:w="701"/>
        <w:gridCol w:w="666"/>
        <w:gridCol w:w="653"/>
        <w:gridCol w:w="741"/>
        <w:gridCol w:w="698"/>
        <w:gridCol w:w="762"/>
      </w:tblGrid>
      <w:tr w:rsidR="00176380" w14:paraId="5CF7FDD3" w14:textId="77777777" w:rsidTr="00EF2777">
        <w:trPr>
          <w:trHeight w:val="260"/>
        </w:trPr>
        <w:tc>
          <w:tcPr>
            <w:tcW w:w="548" w:type="pct"/>
            <w:tcBorders>
              <w:top w:val="single" w:sz="4" w:space="0" w:color="auto"/>
              <w:left w:val="nil"/>
              <w:bottom w:val="single" w:sz="8" w:space="0" w:color="000000"/>
              <w:right w:val="nil"/>
            </w:tcBorders>
            <w:shd w:val="clear" w:color="auto" w:fill="auto"/>
            <w:noWrap/>
            <w:vAlign w:val="center"/>
            <w:hideMark/>
          </w:tcPr>
          <w:p w14:paraId="0FD28331" w14:textId="299F17DC" w:rsidR="00176380" w:rsidRDefault="00176380" w:rsidP="00C36001">
            <w:pPr>
              <w:jc w:val="center"/>
              <w:rPr>
                <w:sz w:val="16"/>
                <w:szCs w:val="16"/>
              </w:rPr>
            </w:pPr>
          </w:p>
        </w:tc>
        <w:tc>
          <w:tcPr>
            <w:tcW w:w="594" w:type="pct"/>
            <w:tcBorders>
              <w:top w:val="single" w:sz="4" w:space="0" w:color="auto"/>
              <w:left w:val="nil"/>
              <w:bottom w:val="single" w:sz="8" w:space="0" w:color="000000"/>
              <w:right w:val="nil"/>
            </w:tcBorders>
            <w:shd w:val="clear" w:color="auto" w:fill="auto"/>
            <w:vAlign w:val="center"/>
            <w:hideMark/>
          </w:tcPr>
          <w:p w14:paraId="19FFA25B" w14:textId="576318C1" w:rsidR="00176380" w:rsidRDefault="00176380" w:rsidP="00C36001">
            <w:pPr>
              <w:jc w:val="center"/>
              <w:rPr>
                <w:sz w:val="16"/>
                <w:szCs w:val="16"/>
              </w:rPr>
            </w:pPr>
          </w:p>
        </w:tc>
        <w:tc>
          <w:tcPr>
            <w:tcW w:w="250" w:type="pct"/>
            <w:tcBorders>
              <w:top w:val="single" w:sz="4" w:space="0" w:color="auto"/>
              <w:left w:val="nil"/>
              <w:bottom w:val="single" w:sz="8" w:space="0" w:color="000000"/>
              <w:right w:val="nil"/>
            </w:tcBorders>
            <w:shd w:val="clear" w:color="auto" w:fill="auto"/>
            <w:vAlign w:val="center"/>
            <w:hideMark/>
          </w:tcPr>
          <w:p w14:paraId="7F042F55" w14:textId="77777777" w:rsidR="00176380" w:rsidRDefault="00176380" w:rsidP="00C36001">
            <w:pPr>
              <w:jc w:val="center"/>
              <w:rPr>
                <w:sz w:val="16"/>
                <w:szCs w:val="16"/>
              </w:rPr>
            </w:pPr>
            <w:r>
              <w:rPr>
                <w:sz w:val="16"/>
                <w:szCs w:val="16"/>
              </w:rPr>
              <w:t>2008</w:t>
            </w:r>
          </w:p>
        </w:tc>
        <w:tc>
          <w:tcPr>
            <w:tcW w:w="247" w:type="pct"/>
            <w:tcBorders>
              <w:top w:val="single" w:sz="4" w:space="0" w:color="auto"/>
              <w:left w:val="nil"/>
              <w:bottom w:val="single" w:sz="8" w:space="0" w:color="000000"/>
              <w:right w:val="nil"/>
            </w:tcBorders>
            <w:shd w:val="clear" w:color="auto" w:fill="auto"/>
            <w:vAlign w:val="center"/>
            <w:hideMark/>
          </w:tcPr>
          <w:p w14:paraId="5E98CB82" w14:textId="77777777" w:rsidR="00176380" w:rsidRDefault="00176380" w:rsidP="00C36001">
            <w:pPr>
              <w:jc w:val="center"/>
              <w:rPr>
                <w:sz w:val="16"/>
                <w:szCs w:val="16"/>
              </w:rPr>
            </w:pPr>
            <w:r>
              <w:rPr>
                <w:sz w:val="16"/>
                <w:szCs w:val="16"/>
              </w:rPr>
              <w:t>2009</w:t>
            </w:r>
          </w:p>
        </w:tc>
        <w:tc>
          <w:tcPr>
            <w:tcW w:w="250" w:type="pct"/>
            <w:tcBorders>
              <w:top w:val="single" w:sz="4" w:space="0" w:color="auto"/>
              <w:left w:val="nil"/>
              <w:bottom w:val="single" w:sz="8" w:space="0" w:color="000000"/>
              <w:right w:val="nil"/>
            </w:tcBorders>
            <w:shd w:val="clear" w:color="auto" w:fill="auto"/>
            <w:vAlign w:val="center"/>
            <w:hideMark/>
          </w:tcPr>
          <w:p w14:paraId="26C42F57" w14:textId="77777777" w:rsidR="00176380" w:rsidRDefault="00176380" w:rsidP="00C36001">
            <w:pPr>
              <w:jc w:val="center"/>
              <w:rPr>
                <w:sz w:val="16"/>
                <w:szCs w:val="16"/>
              </w:rPr>
            </w:pPr>
            <w:r>
              <w:rPr>
                <w:sz w:val="16"/>
                <w:szCs w:val="16"/>
              </w:rPr>
              <w:t>2010</w:t>
            </w:r>
          </w:p>
        </w:tc>
        <w:tc>
          <w:tcPr>
            <w:tcW w:w="250" w:type="pct"/>
            <w:tcBorders>
              <w:top w:val="single" w:sz="4" w:space="0" w:color="auto"/>
              <w:left w:val="nil"/>
              <w:bottom w:val="single" w:sz="8" w:space="0" w:color="000000"/>
              <w:right w:val="nil"/>
            </w:tcBorders>
            <w:shd w:val="clear" w:color="auto" w:fill="auto"/>
            <w:vAlign w:val="center"/>
            <w:hideMark/>
          </w:tcPr>
          <w:p w14:paraId="4F58F2C6" w14:textId="77777777" w:rsidR="00176380" w:rsidRDefault="00176380" w:rsidP="00C36001">
            <w:pPr>
              <w:jc w:val="center"/>
              <w:rPr>
                <w:sz w:val="16"/>
                <w:szCs w:val="16"/>
              </w:rPr>
            </w:pPr>
            <w:r>
              <w:rPr>
                <w:sz w:val="16"/>
                <w:szCs w:val="16"/>
              </w:rPr>
              <w:t>2011</w:t>
            </w:r>
          </w:p>
        </w:tc>
        <w:tc>
          <w:tcPr>
            <w:tcW w:w="250" w:type="pct"/>
            <w:tcBorders>
              <w:top w:val="single" w:sz="4" w:space="0" w:color="auto"/>
              <w:left w:val="nil"/>
              <w:bottom w:val="single" w:sz="8" w:space="0" w:color="000000"/>
              <w:right w:val="nil"/>
            </w:tcBorders>
            <w:shd w:val="clear" w:color="auto" w:fill="auto"/>
            <w:noWrap/>
            <w:vAlign w:val="center"/>
            <w:hideMark/>
          </w:tcPr>
          <w:p w14:paraId="22666B6D" w14:textId="77777777" w:rsidR="00176380" w:rsidRDefault="00176380" w:rsidP="00C36001">
            <w:pPr>
              <w:jc w:val="center"/>
              <w:rPr>
                <w:sz w:val="16"/>
                <w:szCs w:val="16"/>
              </w:rPr>
            </w:pPr>
            <w:r>
              <w:rPr>
                <w:sz w:val="16"/>
                <w:szCs w:val="16"/>
              </w:rPr>
              <w:t>2012</w:t>
            </w:r>
          </w:p>
        </w:tc>
        <w:tc>
          <w:tcPr>
            <w:tcW w:w="250" w:type="pct"/>
            <w:tcBorders>
              <w:top w:val="single" w:sz="4" w:space="0" w:color="auto"/>
              <w:left w:val="nil"/>
              <w:bottom w:val="single" w:sz="8" w:space="0" w:color="000000"/>
              <w:right w:val="nil"/>
            </w:tcBorders>
            <w:shd w:val="clear" w:color="auto" w:fill="auto"/>
            <w:noWrap/>
            <w:vAlign w:val="center"/>
            <w:hideMark/>
          </w:tcPr>
          <w:p w14:paraId="4E33F1BD" w14:textId="77777777" w:rsidR="00176380" w:rsidRDefault="00176380" w:rsidP="00C36001">
            <w:pPr>
              <w:jc w:val="center"/>
              <w:rPr>
                <w:sz w:val="16"/>
                <w:szCs w:val="16"/>
              </w:rPr>
            </w:pPr>
            <w:r>
              <w:rPr>
                <w:sz w:val="16"/>
                <w:szCs w:val="16"/>
              </w:rPr>
              <w:t>2013</w:t>
            </w:r>
          </w:p>
        </w:tc>
        <w:tc>
          <w:tcPr>
            <w:tcW w:w="250" w:type="pct"/>
            <w:tcBorders>
              <w:top w:val="single" w:sz="4" w:space="0" w:color="auto"/>
              <w:left w:val="nil"/>
              <w:bottom w:val="single" w:sz="8" w:space="0" w:color="000000"/>
              <w:right w:val="nil"/>
            </w:tcBorders>
            <w:shd w:val="clear" w:color="auto" w:fill="auto"/>
            <w:vAlign w:val="center"/>
            <w:hideMark/>
          </w:tcPr>
          <w:p w14:paraId="39CDC1E4" w14:textId="77777777" w:rsidR="00176380" w:rsidRDefault="00176380" w:rsidP="00C36001">
            <w:pPr>
              <w:jc w:val="center"/>
              <w:rPr>
                <w:sz w:val="16"/>
                <w:szCs w:val="16"/>
              </w:rPr>
            </w:pPr>
            <w:r>
              <w:rPr>
                <w:sz w:val="16"/>
                <w:szCs w:val="16"/>
              </w:rPr>
              <w:t>2014</w:t>
            </w:r>
          </w:p>
        </w:tc>
        <w:tc>
          <w:tcPr>
            <w:tcW w:w="263" w:type="pct"/>
            <w:tcBorders>
              <w:top w:val="single" w:sz="4" w:space="0" w:color="auto"/>
              <w:left w:val="nil"/>
              <w:bottom w:val="single" w:sz="8" w:space="0" w:color="000000"/>
              <w:right w:val="nil"/>
            </w:tcBorders>
            <w:shd w:val="clear" w:color="auto" w:fill="auto"/>
            <w:vAlign w:val="center"/>
            <w:hideMark/>
          </w:tcPr>
          <w:p w14:paraId="259426B0" w14:textId="77777777" w:rsidR="00176380" w:rsidRDefault="00176380" w:rsidP="00C36001">
            <w:pPr>
              <w:jc w:val="center"/>
              <w:rPr>
                <w:sz w:val="16"/>
                <w:szCs w:val="16"/>
              </w:rPr>
            </w:pPr>
            <w:r>
              <w:rPr>
                <w:sz w:val="16"/>
                <w:szCs w:val="16"/>
              </w:rPr>
              <w:t>2015</w:t>
            </w:r>
          </w:p>
        </w:tc>
        <w:tc>
          <w:tcPr>
            <w:tcW w:w="263" w:type="pct"/>
            <w:tcBorders>
              <w:top w:val="single" w:sz="4" w:space="0" w:color="auto"/>
              <w:left w:val="nil"/>
              <w:bottom w:val="single" w:sz="8" w:space="0" w:color="auto"/>
              <w:right w:val="nil"/>
            </w:tcBorders>
            <w:shd w:val="clear" w:color="auto" w:fill="auto"/>
            <w:vAlign w:val="center"/>
            <w:hideMark/>
          </w:tcPr>
          <w:p w14:paraId="3F9D0621" w14:textId="77777777" w:rsidR="00176380" w:rsidRDefault="00176380" w:rsidP="00C36001">
            <w:pPr>
              <w:jc w:val="center"/>
              <w:rPr>
                <w:sz w:val="16"/>
                <w:szCs w:val="16"/>
              </w:rPr>
            </w:pPr>
            <w:r>
              <w:rPr>
                <w:sz w:val="16"/>
                <w:szCs w:val="16"/>
              </w:rPr>
              <w:t>2016</w:t>
            </w:r>
          </w:p>
        </w:tc>
        <w:tc>
          <w:tcPr>
            <w:tcW w:w="263" w:type="pct"/>
            <w:tcBorders>
              <w:top w:val="single" w:sz="4" w:space="0" w:color="auto"/>
              <w:left w:val="nil"/>
              <w:bottom w:val="single" w:sz="8" w:space="0" w:color="auto"/>
              <w:right w:val="nil"/>
            </w:tcBorders>
            <w:shd w:val="clear" w:color="auto" w:fill="auto"/>
            <w:vAlign w:val="center"/>
            <w:hideMark/>
          </w:tcPr>
          <w:p w14:paraId="0600F1D0" w14:textId="77777777" w:rsidR="00176380" w:rsidRDefault="00176380" w:rsidP="00C36001">
            <w:pPr>
              <w:jc w:val="center"/>
              <w:rPr>
                <w:sz w:val="16"/>
                <w:szCs w:val="16"/>
              </w:rPr>
            </w:pPr>
            <w:r>
              <w:rPr>
                <w:sz w:val="16"/>
                <w:szCs w:val="16"/>
              </w:rPr>
              <w:t>2017</w:t>
            </w:r>
          </w:p>
        </w:tc>
        <w:tc>
          <w:tcPr>
            <w:tcW w:w="250" w:type="pct"/>
            <w:tcBorders>
              <w:top w:val="single" w:sz="4" w:space="0" w:color="auto"/>
              <w:left w:val="nil"/>
              <w:bottom w:val="single" w:sz="8" w:space="0" w:color="auto"/>
              <w:right w:val="nil"/>
            </w:tcBorders>
            <w:shd w:val="clear" w:color="auto" w:fill="auto"/>
            <w:vAlign w:val="center"/>
            <w:hideMark/>
          </w:tcPr>
          <w:p w14:paraId="6D497986" w14:textId="77777777" w:rsidR="00176380" w:rsidRDefault="00176380" w:rsidP="00C36001">
            <w:pPr>
              <w:jc w:val="center"/>
              <w:rPr>
                <w:sz w:val="16"/>
                <w:szCs w:val="16"/>
              </w:rPr>
            </w:pPr>
            <w:r>
              <w:rPr>
                <w:sz w:val="16"/>
                <w:szCs w:val="16"/>
              </w:rPr>
              <w:t>2018</w:t>
            </w:r>
          </w:p>
        </w:tc>
        <w:tc>
          <w:tcPr>
            <w:tcW w:w="245" w:type="pct"/>
            <w:tcBorders>
              <w:top w:val="single" w:sz="4" w:space="0" w:color="auto"/>
              <w:left w:val="nil"/>
              <w:bottom w:val="single" w:sz="8" w:space="0" w:color="auto"/>
              <w:right w:val="nil"/>
            </w:tcBorders>
            <w:shd w:val="clear" w:color="auto" w:fill="auto"/>
            <w:vAlign w:val="center"/>
            <w:hideMark/>
          </w:tcPr>
          <w:p w14:paraId="36C7F607" w14:textId="77777777" w:rsidR="00176380" w:rsidRDefault="00176380" w:rsidP="00C36001">
            <w:pPr>
              <w:jc w:val="center"/>
              <w:rPr>
                <w:sz w:val="16"/>
                <w:szCs w:val="16"/>
              </w:rPr>
            </w:pPr>
            <w:r>
              <w:rPr>
                <w:sz w:val="16"/>
                <w:szCs w:val="16"/>
              </w:rPr>
              <w:t>2019</w:t>
            </w:r>
          </w:p>
        </w:tc>
        <w:tc>
          <w:tcPr>
            <w:tcW w:w="278" w:type="pct"/>
            <w:tcBorders>
              <w:top w:val="single" w:sz="4" w:space="0" w:color="auto"/>
              <w:left w:val="nil"/>
              <w:bottom w:val="single" w:sz="8" w:space="0" w:color="auto"/>
              <w:right w:val="nil"/>
            </w:tcBorders>
            <w:shd w:val="clear" w:color="auto" w:fill="auto"/>
            <w:noWrap/>
            <w:vAlign w:val="center"/>
            <w:hideMark/>
          </w:tcPr>
          <w:p w14:paraId="30363732" w14:textId="0FB9890C" w:rsidR="00176380" w:rsidRDefault="00176380" w:rsidP="00C36001">
            <w:pPr>
              <w:jc w:val="center"/>
              <w:rPr>
                <w:sz w:val="16"/>
                <w:szCs w:val="16"/>
              </w:rPr>
            </w:pPr>
            <w:r>
              <w:rPr>
                <w:sz w:val="16"/>
                <w:szCs w:val="16"/>
              </w:rPr>
              <w:t>Moy.</w:t>
            </w:r>
            <w:r>
              <w:rPr>
                <w:sz w:val="16"/>
                <w:szCs w:val="16"/>
                <w:vertAlign w:val="superscript"/>
              </w:rPr>
              <w:t>1</w:t>
            </w:r>
          </w:p>
        </w:tc>
        <w:tc>
          <w:tcPr>
            <w:tcW w:w="262" w:type="pct"/>
            <w:tcBorders>
              <w:top w:val="single" w:sz="4" w:space="0" w:color="auto"/>
              <w:left w:val="nil"/>
              <w:bottom w:val="single" w:sz="8" w:space="0" w:color="auto"/>
              <w:right w:val="nil"/>
            </w:tcBorders>
            <w:shd w:val="clear" w:color="auto" w:fill="auto"/>
            <w:noWrap/>
            <w:vAlign w:val="center"/>
            <w:hideMark/>
          </w:tcPr>
          <w:p w14:paraId="2AF04C09" w14:textId="5BCB382C" w:rsidR="00176380" w:rsidRDefault="00176380" w:rsidP="00C36001">
            <w:pPr>
              <w:jc w:val="center"/>
              <w:rPr>
                <w:sz w:val="16"/>
                <w:szCs w:val="16"/>
              </w:rPr>
            </w:pPr>
            <w:r>
              <w:rPr>
                <w:sz w:val="16"/>
                <w:szCs w:val="16"/>
              </w:rPr>
              <w:t>Min.</w:t>
            </w:r>
            <w:r>
              <w:rPr>
                <w:sz w:val="16"/>
                <w:szCs w:val="16"/>
                <w:vertAlign w:val="superscript"/>
              </w:rPr>
              <w:t>1</w:t>
            </w:r>
          </w:p>
        </w:tc>
        <w:tc>
          <w:tcPr>
            <w:tcW w:w="286" w:type="pct"/>
            <w:tcBorders>
              <w:top w:val="single" w:sz="4" w:space="0" w:color="auto"/>
              <w:left w:val="nil"/>
              <w:bottom w:val="single" w:sz="8" w:space="0" w:color="auto"/>
              <w:right w:val="nil"/>
            </w:tcBorders>
            <w:shd w:val="clear" w:color="auto" w:fill="auto"/>
            <w:noWrap/>
            <w:vAlign w:val="center"/>
            <w:hideMark/>
          </w:tcPr>
          <w:p w14:paraId="5FA1CB10" w14:textId="014D46E2" w:rsidR="00176380" w:rsidRDefault="00176380" w:rsidP="00C36001">
            <w:pPr>
              <w:jc w:val="center"/>
              <w:rPr>
                <w:sz w:val="16"/>
                <w:szCs w:val="16"/>
              </w:rPr>
            </w:pPr>
            <w:r>
              <w:rPr>
                <w:sz w:val="16"/>
                <w:szCs w:val="16"/>
              </w:rPr>
              <w:t>Max.</w:t>
            </w:r>
            <w:r>
              <w:rPr>
                <w:sz w:val="16"/>
                <w:szCs w:val="16"/>
                <w:vertAlign w:val="superscript"/>
              </w:rPr>
              <w:t>1</w:t>
            </w:r>
          </w:p>
        </w:tc>
      </w:tr>
      <w:tr w:rsidR="00176380" w14:paraId="470B0D06" w14:textId="77777777" w:rsidTr="00EF2777">
        <w:trPr>
          <w:trHeight w:val="250"/>
        </w:trPr>
        <w:tc>
          <w:tcPr>
            <w:tcW w:w="548" w:type="pct"/>
            <w:tcBorders>
              <w:top w:val="nil"/>
              <w:left w:val="nil"/>
              <w:bottom w:val="nil"/>
              <w:right w:val="nil"/>
            </w:tcBorders>
            <w:shd w:val="clear" w:color="auto" w:fill="auto"/>
            <w:noWrap/>
            <w:vAlign w:val="center"/>
            <w:hideMark/>
          </w:tcPr>
          <w:p w14:paraId="30D17FC3" w14:textId="77777777" w:rsidR="00176380" w:rsidRDefault="00176380">
            <w:pPr>
              <w:rPr>
                <w:b/>
                <w:bCs/>
                <w:sz w:val="16"/>
                <w:szCs w:val="16"/>
              </w:rPr>
            </w:pPr>
            <w:r>
              <w:rPr>
                <w:b/>
                <w:bCs/>
                <w:sz w:val="16"/>
                <w:szCs w:val="16"/>
              </w:rPr>
              <w:t>Canada</w:t>
            </w:r>
            <w:r>
              <w:rPr>
                <w:b/>
                <w:bCs/>
                <w:sz w:val="16"/>
                <w:szCs w:val="16"/>
                <w:vertAlign w:val="superscript"/>
              </w:rPr>
              <w:t>2</w:t>
            </w:r>
          </w:p>
        </w:tc>
        <w:tc>
          <w:tcPr>
            <w:tcW w:w="594" w:type="pct"/>
            <w:tcBorders>
              <w:top w:val="nil"/>
              <w:left w:val="nil"/>
              <w:bottom w:val="nil"/>
              <w:right w:val="nil"/>
            </w:tcBorders>
            <w:shd w:val="clear" w:color="auto" w:fill="auto"/>
            <w:vAlign w:val="center"/>
            <w:hideMark/>
          </w:tcPr>
          <w:p w14:paraId="701F3C32" w14:textId="77777777" w:rsidR="00176380" w:rsidRDefault="00176380">
            <w:pPr>
              <w:rPr>
                <w:b/>
                <w:bCs/>
                <w:sz w:val="16"/>
                <w:szCs w:val="16"/>
              </w:rPr>
            </w:pPr>
            <w:r>
              <w:rPr>
                <w:b/>
                <w:bCs/>
                <w:sz w:val="16"/>
                <w:szCs w:val="16"/>
              </w:rPr>
              <w:t>Quota</w:t>
            </w:r>
          </w:p>
        </w:tc>
        <w:tc>
          <w:tcPr>
            <w:tcW w:w="250" w:type="pct"/>
            <w:tcBorders>
              <w:top w:val="nil"/>
              <w:left w:val="nil"/>
              <w:bottom w:val="nil"/>
              <w:right w:val="nil"/>
            </w:tcBorders>
            <w:shd w:val="clear" w:color="auto" w:fill="auto"/>
            <w:vAlign w:val="center"/>
            <w:hideMark/>
          </w:tcPr>
          <w:p w14:paraId="79553AA1" w14:textId="77777777" w:rsidR="00176380" w:rsidRDefault="00176380">
            <w:pPr>
              <w:jc w:val="center"/>
              <w:rPr>
                <w:sz w:val="16"/>
                <w:szCs w:val="16"/>
              </w:rPr>
            </w:pPr>
            <w:r>
              <w:rPr>
                <w:sz w:val="16"/>
                <w:szCs w:val="16"/>
              </w:rPr>
              <w:t>15</w:t>
            </w:r>
          </w:p>
        </w:tc>
        <w:tc>
          <w:tcPr>
            <w:tcW w:w="247" w:type="pct"/>
            <w:tcBorders>
              <w:top w:val="nil"/>
              <w:left w:val="nil"/>
              <w:bottom w:val="nil"/>
              <w:right w:val="nil"/>
            </w:tcBorders>
            <w:shd w:val="clear" w:color="auto" w:fill="auto"/>
            <w:vAlign w:val="center"/>
            <w:hideMark/>
          </w:tcPr>
          <w:p w14:paraId="55B7250D" w14:textId="77777777" w:rsidR="00176380" w:rsidRDefault="00176380">
            <w:pPr>
              <w:jc w:val="center"/>
              <w:rPr>
                <w:sz w:val="16"/>
                <w:szCs w:val="16"/>
              </w:rPr>
            </w:pPr>
            <w:r>
              <w:rPr>
                <w:sz w:val="16"/>
                <w:szCs w:val="16"/>
              </w:rPr>
              <w:t>18,9</w:t>
            </w:r>
          </w:p>
        </w:tc>
        <w:tc>
          <w:tcPr>
            <w:tcW w:w="250" w:type="pct"/>
            <w:tcBorders>
              <w:top w:val="nil"/>
              <w:left w:val="nil"/>
              <w:bottom w:val="nil"/>
              <w:right w:val="nil"/>
            </w:tcBorders>
            <w:shd w:val="clear" w:color="auto" w:fill="auto"/>
            <w:vAlign w:val="center"/>
            <w:hideMark/>
          </w:tcPr>
          <w:p w14:paraId="6E155995" w14:textId="77777777" w:rsidR="00176380" w:rsidRDefault="00176380">
            <w:pPr>
              <w:jc w:val="center"/>
              <w:rPr>
                <w:sz w:val="16"/>
                <w:szCs w:val="16"/>
              </w:rPr>
            </w:pPr>
            <w:r>
              <w:rPr>
                <w:sz w:val="16"/>
                <w:szCs w:val="16"/>
              </w:rPr>
              <w:t>17,6</w:t>
            </w:r>
          </w:p>
        </w:tc>
        <w:tc>
          <w:tcPr>
            <w:tcW w:w="250" w:type="pct"/>
            <w:tcBorders>
              <w:top w:val="nil"/>
              <w:left w:val="nil"/>
              <w:bottom w:val="nil"/>
              <w:right w:val="nil"/>
            </w:tcBorders>
            <w:shd w:val="clear" w:color="auto" w:fill="auto"/>
            <w:vAlign w:val="center"/>
            <w:hideMark/>
          </w:tcPr>
          <w:p w14:paraId="441A9E9E" w14:textId="77777777" w:rsidR="00176380" w:rsidRDefault="00176380">
            <w:pPr>
              <w:jc w:val="center"/>
              <w:rPr>
                <w:sz w:val="16"/>
                <w:szCs w:val="16"/>
              </w:rPr>
            </w:pPr>
            <w:r>
              <w:rPr>
                <w:sz w:val="16"/>
                <w:szCs w:val="16"/>
              </w:rPr>
              <w:t>12,5</w:t>
            </w:r>
          </w:p>
        </w:tc>
        <w:tc>
          <w:tcPr>
            <w:tcW w:w="250" w:type="pct"/>
            <w:tcBorders>
              <w:top w:val="nil"/>
              <w:left w:val="nil"/>
              <w:bottom w:val="nil"/>
              <w:right w:val="nil"/>
            </w:tcBorders>
            <w:shd w:val="clear" w:color="auto" w:fill="auto"/>
            <w:noWrap/>
            <w:vAlign w:val="center"/>
            <w:hideMark/>
          </w:tcPr>
          <w:p w14:paraId="4C43E60B" w14:textId="77777777" w:rsidR="00176380" w:rsidRDefault="00176380">
            <w:pPr>
              <w:jc w:val="center"/>
              <w:rPr>
                <w:sz w:val="16"/>
                <w:szCs w:val="16"/>
              </w:rPr>
            </w:pPr>
            <w:r>
              <w:rPr>
                <w:sz w:val="16"/>
                <w:szCs w:val="16"/>
              </w:rPr>
              <w:t>9,1</w:t>
            </w:r>
          </w:p>
        </w:tc>
        <w:tc>
          <w:tcPr>
            <w:tcW w:w="250" w:type="pct"/>
            <w:tcBorders>
              <w:top w:val="nil"/>
              <w:left w:val="nil"/>
              <w:bottom w:val="nil"/>
              <w:right w:val="nil"/>
            </w:tcBorders>
            <w:shd w:val="clear" w:color="auto" w:fill="auto"/>
            <w:noWrap/>
            <w:vAlign w:val="center"/>
            <w:hideMark/>
          </w:tcPr>
          <w:p w14:paraId="63DD1B3F" w14:textId="77777777" w:rsidR="00176380" w:rsidRDefault="00176380">
            <w:pPr>
              <w:jc w:val="center"/>
              <w:rPr>
                <w:sz w:val="16"/>
                <w:szCs w:val="16"/>
              </w:rPr>
            </w:pPr>
            <w:r>
              <w:rPr>
                <w:sz w:val="16"/>
                <w:szCs w:val="16"/>
              </w:rPr>
              <w:t>6,4</w:t>
            </w:r>
          </w:p>
        </w:tc>
        <w:tc>
          <w:tcPr>
            <w:tcW w:w="250" w:type="pct"/>
            <w:tcBorders>
              <w:top w:val="nil"/>
              <w:left w:val="nil"/>
              <w:bottom w:val="nil"/>
              <w:right w:val="nil"/>
            </w:tcBorders>
            <w:shd w:val="clear" w:color="auto" w:fill="auto"/>
            <w:vAlign w:val="center"/>
            <w:hideMark/>
          </w:tcPr>
          <w:p w14:paraId="346B2544" w14:textId="77777777" w:rsidR="00176380" w:rsidRDefault="00176380">
            <w:pPr>
              <w:jc w:val="center"/>
              <w:rPr>
                <w:sz w:val="16"/>
                <w:szCs w:val="16"/>
              </w:rPr>
            </w:pPr>
            <w:r>
              <w:rPr>
                <w:sz w:val="16"/>
                <w:szCs w:val="16"/>
              </w:rPr>
              <w:t>16,5</w:t>
            </w:r>
          </w:p>
        </w:tc>
        <w:tc>
          <w:tcPr>
            <w:tcW w:w="263" w:type="pct"/>
            <w:tcBorders>
              <w:top w:val="nil"/>
              <w:left w:val="nil"/>
              <w:bottom w:val="nil"/>
              <w:right w:val="nil"/>
            </w:tcBorders>
            <w:shd w:val="clear" w:color="auto" w:fill="auto"/>
            <w:vAlign w:val="center"/>
            <w:hideMark/>
          </w:tcPr>
          <w:p w14:paraId="0D817254" w14:textId="77777777" w:rsidR="00176380" w:rsidRDefault="00176380">
            <w:pPr>
              <w:jc w:val="center"/>
              <w:rPr>
                <w:sz w:val="16"/>
                <w:szCs w:val="16"/>
              </w:rPr>
            </w:pPr>
            <w:r>
              <w:rPr>
                <w:sz w:val="16"/>
                <w:szCs w:val="16"/>
              </w:rPr>
              <w:t>19,2</w:t>
            </w:r>
          </w:p>
        </w:tc>
        <w:tc>
          <w:tcPr>
            <w:tcW w:w="263" w:type="pct"/>
            <w:tcBorders>
              <w:top w:val="nil"/>
              <w:left w:val="nil"/>
              <w:bottom w:val="nil"/>
              <w:right w:val="nil"/>
            </w:tcBorders>
            <w:shd w:val="clear" w:color="auto" w:fill="auto"/>
            <w:vAlign w:val="center"/>
            <w:hideMark/>
          </w:tcPr>
          <w:p w14:paraId="3A0BC513" w14:textId="77777777" w:rsidR="00176380" w:rsidRDefault="00176380">
            <w:pPr>
              <w:jc w:val="center"/>
              <w:rPr>
                <w:sz w:val="16"/>
                <w:szCs w:val="16"/>
              </w:rPr>
            </w:pPr>
            <w:r>
              <w:rPr>
                <w:sz w:val="16"/>
                <w:szCs w:val="16"/>
              </w:rPr>
              <w:t>21,8</w:t>
            </w:r>
          </w:p>
        </w:tc>
        <w:tc>
          <w:tcPr>
            <w:tcW w:w="263" w:type="pct"/>
            <w:tcBorders>
              <w:top w:val="nil"/>
              <w:left w:val="nil"/>
              <w:bottom w:val="nil"/>
              <w:right w:val="nil"/>
            </w:tcBorders>
            <w:shd w:val="clear" w:color="auto" w:fill="auto"/>
            <w:vAlign w:val="center"/>
            <w:hideMark/>
          </w:tcPr>
          <w:p w14:paraId="70944B75" w14:textId="77777777" w:rsidR="00176380" w:rsidRDefault="00176380">
            <w:pPr>
              <w:jc w:val="center"/>
              <w:rPr>
                <w:sz w:val="16"/>
                <w:szCs w:val="16"/>
              </w:rPr>
            </w:pPr>
            <w:r>
              <w:rPr>
                <w:sz w:val="16"/>
                <w:szCs w:val="16"/>
              </w:rPr>
              <w:t>20,5</w:t>
            </w:r>
          </w:p>
        </w:tc>
        <w:tc>
          <w:tcPr>
            <w:tcW w:w="250" w:type="pct"/>
            <w:tcBorders>
              <w:top w:val="nil"/>
              <w:left w:val="nil"/>
              <w:bottom w:val="nil"/>
              <w:right w:val="nil"/>
            </w:tcBorders>
            <w:shd w:val="clear" w:color="auto" w:fill="auto"/>
            <w:vAlign w:val="center"/>
            <w:hideMark/>
          </w:tcPr>
          <w:p w14:paraId="041FB461" w14:textId="77777777" w:rsidR="00176380" w:rsidRDefault="00176380">
            <w:pPr>
              <w:jc w:val="center"/>
              <w:rPr>
                <w:sz w:val="16"/>
                <w:szCs w:val="16"/>
              </w:rPr>
            </w:pPr>
            <w:r>
              <w:rPr>
                <w:sz w:val="16"/>
                <w:szCs w:val="16"/>
              </w:rPr>
              <w:t>24,0</w:t>
            </w:r>
          </w:p>
        </w:tc>
        <w:tc>
          <w:tcPr>
            <w:tcW w:w="245" w:type="pct"/>
            <w:tcBorders>
              <w:top w:val="nil"/>
              <w:left w:val="nil"/>
              <w:bottom w:val="nil"/>
              <w:right w:val="nil"/>
            </w:tcBorders>
            <w:shd w:val="clear" w:color="auto" w:fill="auto"/>
            <w:vAlign w:val="center"/>
            <w:hideMark/>
          </w:tcPr>
          <w:p w14:paraId="4F579DDE"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6F502310" w14:textId="77777777" w:rsidR="00176380" w:rsidRDefault="00176380">
            <w:pPr>
              <w:jc w:val="center"/>
              <w:rPr>
                <w:sz w:val="20"/>
                <w:szCs w:val="20"/>
              </w:rPr>
            </w:pPr>
          </w:p>
        </w:tc>
        <w:tc>
          <w:tcPr>
            <w:tcW w:w="262" w:type="pct"/>
            <w:tcBorders>
              <w:top w:val="nil"/>
              <w:left w:val="nil"/>
              <w:bottom w:val="nil"/>
              <w:right w:val="nil"/>
            </w:tcBorders>
            <w:shd w:val="clear" w:color="auto" w:fill="auto"/>
            <w:noWrap/>
            <w:vAlign w:val="bottom"/>
            <w:hideMark/>
          </w:tcPr>
          <w:p w14:paraId="705E1FB6" w14:textId="77777777" w:rsidR="00176380" w:rsidRDefault="00176380">
            <w:pPr>
              <w:rPr>
                <w:sz w:val="20"/>
                <w:szCs w:val="20"/>
              </w:rPr>
            </w:pPr>
          </w:p>
        </w:tc>
        <w:tc>
          <w:tcPr>
            <w:tcW w:w="286" w:type="pct"/>
            <w:tcBorders>
              <w:top w:val="nil"/>
              <w:left w:val="nil"/>
              <w:bottom w:val="nil"/>
              <w:right w:val="nil"/>
            </w:tcBorders>
            <w:shd w:val="clear" w:color="auto" w:fill="auto"/>
            <w:noWrap/>
            <w:vAlign w:val="bottom"/>
            <w:hideMark/>
          </w:tcPr>
          <w:p w14:paraId="65F36F8B" w14:textId="77777777" w:rsidR="00176380" w:rsidRDefault="00176380">
            <w:pPr>
              <w:rPr>
                <w:sz w:val="20"/>
                <w:szCs w:val="20"/>
              </w:rPr>
            </w:pPr>
          </w:p>
        </w:tc>
      </w:tr>
      <w:tr w:rsidR="00176380" w14:paraId="5E1240BD" w14:textId="77777777" w:rsidTr="00EF2777">
        <w:trPr>
          <w:trHeight w:val="250"/>
        </w:trPr>
        <w:tc>
          <w:tcPr>
            <w:tcW w:w="548" w:type="pct"/>
            <w:tcBorders>
              <w:top w:val="nil"/>
              <w:left w:val="nil"/>
              <w:bottom w:val="nil"/>
              <w:right w:val="nil"/>
            </w:tcBorders>
            <w:shd w:val="clear" w:color="auto" w:fill="auto"/>
            <w:noWrap/>
            <w:vAlign w:val="center"/>
            <w:hideMark/>
          </w:tcPr>
          <w:p w14:paraId="0DFF7DBE" w14:textId="77777777" w:rsidR="00176380" w:rsidRDefault="00176380">
            <w:pPr>
              <w:rPr>
                <w:sz w:val="20"/>
                <w:szCs w:val="20"/>
              </w:rPr>
            </w:pPr>
          </w:p>
        </w:tc>
        <w:tc>
          <w:tcPr>
            <w:tcW w:w="594" w:type="pct"/>
            <w:tcBorders>
              <w:top w:val="nil"/>
              <w:left w:val="nil"/>
              <w:bottom w:val="nil"/>
              <w:right w:val="nil"/>
            </w:tcBorders>
            <w:shd w:val="clear" w:color="auto" w:fill="auto"/>
            <w:vAlign w:val="center"/>
            <w:hideMark/>
          </w:tcPr>
          <w:p w14:paraId="1D879E58" w14:textId="77777777" w:rsidR="00176380" w:rsidRDefault="00176380">
            <w:pPr>
              <w:rPr>
                <w:b/>
                <w:bCs/>
                <w:sz w:val="16"/>
                <w:szCs w:val="16"/>
              </w:rPr>
            </w:pPr>
            <w:r>
              <w:rPr>
                <w:b/>
                <w:bCs/>
                <w:sz w:val="16"/>
                <w:szCs w:val="16"/>
              </w:rPr>
              <w:t>Débarquements</w:t>
            </w:r>
          </w:p>
        </w:tc>
        <w:tc>
          <w:tcPr>
            <w:tcW w:w="250" w:type="pct"/>
            <w:tcBorders>
              <w:top w:val="nil"/>
              <w:left w:val="nil"/>
              <w:bottom w:val="nil"/>
              <w:right w:val="nil"/>
            </w:tcBorders>
            <w:shd w:val="clear" w:color="auto" w:fill="auto"/>
            <w:vAlign w:val="center"/>
            <w:hideMark/>
          </w:tcPr>
          <w:p w14:paraId="76D251E9" w14:textId="77777777" w:rsidR="00176380" w:rsidRDefault="00176380">
            <w:pPr>
              <w:jc w:val="center"/>
              <w:rPr>
                <w:sz w:val="16"/>
                <w:szCs w:val="16"/>
              </w:rPr>
            </w:pPr>
            <w:r>
              <w:rPr>
                <w:sz w:val="16"/>
                <w:szCs w:val="16"/>
              </w:rPr>
              <w:t>14,8</w:t>
            </w:r>
          </w:p>
        </w:tc>
        <w:tc>
          <w:tcPr>
            <w:tcW w:w="247" w:type="pct"/>
            <w:tcBorders>
              <w:top w:val="nil"/>
              <w:left w:val="nil"/>
              <w:bottom w:val="nil"/>
              <w:right w:val="nil"/>
            </w:tcBorders>
            <w:shd w:val="clear" w:color="auto" w:fill="auto"/>
            <w:vAlign w:val="center"/>
            <w:hideMark/>
          </w:tcPr>
          <w:p w14:paraId="7D9D3D78" w14:textId="77777777" w:rsidR="00176380" w:rsidRDefault="00176380">
            <w:pPr>
              <w:jc w:val="center"/>
              <w:rPr>
                <w:sz w:val="16"/>
                <w:szCs w:val="16"/>
              </w:rPr>
            </w:pPr>
            <w:r>
              <w:rPr>
                <w:sz w:val="16"/>
                <w:szCs w:val="16"/>
              </w:rPr>
              <w:t>17,6</w:t>
            </w:r>
          </w:p>
        </w:tc>
        <w:tc>
          <w:tcPr>
            <w:tcW w:w="250" w:type="pct"/>
            <w:tcBorders>
              <w:top w:val="nil"/>
              <w:left w:val="nil"/>
              <w:bottom w:val="nil"/>
              <w:right w:val="nil"/>
            </w:tcBorders>
            <w:shd w:val="clear" w:color="auto" w:fill="auto"/>
            <w:vAlign w:val="center"/>
            <w:hideMark/>
          </w:tcPr>
          <w:p w14:paraId="144C1F1B" w14:textId="77777777" w:rsidR="00176380" w:rsidRDefault="00176380">
            <w:pPr>
              <w:jc w:val="center"/>
              <w:rPr>
                <w:sz w:val="16"/>
                <w:szCs w:val="16"/>
              </w:rPr>
            </w:pPr>
            <w:r>
              <w:rPr>
                <w:sz w:val="16"/>
                <w:szCs w:val="16"/>
              </w:rPr>
              <w:t>16,6</w:t>
            </w:r>
          </w:p>
        </w:tc>
        <w:tc>
          <w:tcPr>
            <w:tcW w:w="250" w:type="pct"/>
            <w:tcBorders>
              <w:top w:val="nil"/>
              <w:left w:val="nil"/>
              <w:bottom w:val="nil"/>
              <w:right w:val="nil"/>
            </w:tcBorders>
            <w:shd w:val="clear" w:color="auto" w:fill="auto"/>
            <w:vAlign w:val="center"/>
            <w:hideMark/>
          </w:tcPr>
          <w:p w14:paraId="475201AF" w14:textId="77777777" w:rsidR="00176380" w:rsidRDefault="00176380">
            <w:pPr>
              <w:jc w:val="center"/>
              <w:rPr>
                <w:sz w:val="16"/>
                <w:szCs w:val="16"/>
              </w:rPr>
            </w:pPr>
            <w:r>
              <w:rPr>
                <w:sz w:val="16"/>
                <w:szCs w:val="16"/>
              </w:rPr>
              <w:t>11,2</w:t>
            </w:r>
          </w:p>
        </w:tc>
        <w:tc>
          <w:tcPr>
            <w:tcW w:w="250" w:type="pct"/>
            <w:tcBorders>
              <w:top w:val="nil"/>
              <w:left w:val="nil"/>
              <w:bottom w:val="nil"/>
              <w:right w:val="nil"/>
            </w:tcBorders>
            <w:shd w:val="clear" w:color="auto" w:fill="auto"/>
            <w:noWrap/>
            <w:vAlign w:val="center"/>
            <w:hideMark/>
          </w:tcPr>
          <w:p w14:paraId="30177D3A" w14:textId="77777777" w:rsidR="00176380" w:rsidRDefault="00176380">
            <w:pPr>
              <w:jc w:val="center"/>
              <w:rPr>
                <w:sz w:val="16"/>
                <w:szCs w:val="16"/>
              </w:rPr>
            </w:pPr>
            <w:r>
              <w:rPr>
                <w:sz w:val="16"/>
                <w:szCs w:val="16"/>
              </w:rPr>
              <w:t>5</w:t>
            </w:r>
          </w:p>
        </w:tc>
        <w:tc>
          <w:tcPr>
            <w:tcW w:w="250" w:type="pct"/>
            <w:tcBorders>
              <w:top w:val="nil"/>
              <w:left w:val="nil"/>
              <w:bottom w:val="nil"/>
              <w:right w:val="nil"/>
            </w:tcBorders>
            <w:shd w:val="clear" w:color="auto" w:fill="auto"/>
            <w:noWrap/>
            <w:vAlign w:val="center"/>
            <w:hideMark/>
          </w:tcPr>
          <w:p w14:paraId="102BEE11" w14:textId="77777777" w:rsidR="00176380" w:rsidRDefault="00176380">
            <w:pPr>
              <w:jc w:val="center"/>
              <w:rPr>
                <w:sz w:val="16"/>
                <w:szCs w:val="16"/>
              </w:rPr>
            </w:pPr>
            <w:r>
              <w:rPr>
                <w:sz w:val="16"/>
                <w:szCs w:val="16"/>
              </w:rPr>
              <w:t>4,6</w:t>
            </w:r>
          </w:p>
        </w:tc>
        <w:tc>
          <w:tcPr>
            <w:tcW w:w="250" w:type="pct"/>
            <w:tcBorders>
              <w:top w:val="nil"/>
              <w:left w:val="nil"/>
              <w:bottom w:val="nil"/>
              <w:right w:val="nil"/>
            </w:tcBorders>
            <w:shd w:val="clear" w:color="auto" w:fill="auto"/>
            <w:vAlign w:val="center"/>
            <w:hideMark/>
          </w:tcPr>
          <w:p w14:paraId="0058CD68" w14:textId="77777777" w:rsidR="00176380" w:rsidRDefault="00176380">
            <w:pPr>
              <w:jc w:val="center"/>
              <w:rPr>
                <w:sz w:val="16"/>
                <w:szCs w:val="16"/>
              </w:rPr>
            </w:pPr>
            <w:r>
              <w:rPr>
                <w:sz w:val="16"/>
                <w:szCs w:val="16"/>
              </w:rPr>
              <w:t>13</w:t>
            </w:r>
          </w:p>
        </w:tc>
        <w:tc>
          <w:tcPr>
            <w:tcW w:w="263" w:type="pct"/>
            <w:tcBorders>
              <w:top w:val="nil"/>
              <w:left w:val="nil"/>
              <w:bottom w:val="nil"/>
              <w:right w:val="nil"/>
            </w:tcBorders>
            <w:shd w:val="clear" w:color="auto" w:fill="auto"/>
            <w:vAlign w:val="center"/>
            <w:hideMark/>
          </w:tcPr>
          <w:p w14:paraId="69CCD057" w14:textId="77777777" w:rsidR="00176380" w:rsidRDefault="00176380">
            <w:pPr>
              <w:jc w:val="center"/>
              <w:rPr>
                <w:sz w:val="16"/>
                <w:szCs w:val="16"/>
              </w:rPr>
            </w:pPr>
            <w:r>
              <w:rPr>
                <w:sz w:val="16"/>
                <w:szCs w:val="16"/>
              </w:rPr>
              <w:t>14,6</w:t>
            </w:r>
          </w:p>
        </w:tc>
        <w:tc>
          <w:tcPr>
            <w:tcW w:w="263" w:type="pct"/>
            <w:tcBorders>
              <w:top w:val="nil"/>
              <w:left w:val="nil"/>
              <w:bottom w:val="nil"/>
              <w:right w:val="nil"/>
            </w:tcBorders>
            <w:shd w:val="clear" w:color="auto" w:fill="auto"/>
            <w:vAlign w:val="center"/>
            <w:hideMark/>
          </w:tcPr>
          <w:p w14:paraId="71619755" w14:textId="77777777" w:rsidR="00176380" w:rsidRDefault="00176380">
            <w:pPr>
              <w:jc w:val="center"/>
              <w:rPr>
                <w:sz w:val="16"/>
                <w:szCs w:val="16"/>
              </w:rPr>
            </w:pPr>
            <w:r>
              <w:rPr>
                <w:sz w:val="16"/>
                <w:szCs w:val="16"/>
              </w:rPr>
              <w:t>11,9</w:t>
            </w:r>
          </w:p>
        </w:tc>
        <w:tc>
          <w:tcPr>
            <w:tcW w:w="263" w:type="pct"/>
            <w:tcBorders>
              <w:top w:val="nil"/>
              <w:left w:val="nil"/>
              <w:bottom w:val="nil"/>
              <w:right w:val="nil"/>
            </w:tcBorders>
            <w:shd w:val="clear" w:color="auto" w:fill="auto"/>
            <w:vAlign w:val="center"/>
            <w:hideMark/>
          </w:tcPr>
          <w:p w14:paraId="47F79E86" w14:textId="77777777" w:rsidR="00176380" w:rsidRDefault="00176380">
            <w:pPr>
              <w:jc w:val="center"/>
              <w:rPr>
                <w:sz w:val="16"/>
                <w:szCs w:val="16"/>
              </w:rPr>
            </w:pPr>
            <w:r>
              <w:rPr>
                <w:sz w:val="16"/>
                <w:szCs w:val="16"/>
              </w:rPr>
              <w:t>13,4</w:t>
            </w:r>
          </w:p>
        </w:tc>
        <w:tc>
          <w:tcPr>
            <w:tcW w:w="250" w:type="pct"/>
            <w:tcBorders>
              <w:top w:val="nil"/>
              <w:left w:val="nil"/>
              <w:bottom w:val="nil"/>
              <w:right w:val="nil"/>
            </w:tcBorders>
            <w:shd w:val="clear" w:color="auto" w:fill="auto"/>
            <w:vAlign w:val="center"/>
            <w:hideMark/>
          </w:tcPr>
          <w:p w14:paraId="01896442" w14:textId="77777777" w:rsidR="00176380" w:rsidRDefault="00176380">
            <w:pPr>
              <w:jc w:val="center"/>
              <w:rPr>
                <w:sz w:val="16"/>
                <w:szCs w:val="16"/>
              </w:rPr>
            </w:pPr>
            <w:r>
              <w:rPr>
                <w:sz w:val="16"/>
                <w:szCs w:val="16"/>
              </w:rPr>
              <w:t>12,2</w:t>
            </w:r>
          </w:p>
        </w:tc>
        <w:tc>
          <w:tcPr>
            <w:tcW w:w="245" w:type="pct"/>
            <w:tcBorders>
              <w:top w:val="nil"/>
              <w:left w:val="nil"/>
              <w:bottom w:val="nil"/>
              <w:right w:val="nil"/>
            </w:tcBorders>
            <w:shd w:val="clear" w:color="auto" w:fill="auto"/>
            <w:vAlign w:val="center"/>
            <w:hideMark/>
          </w:tcPr>
          <w:p w14:paraId="0ED7E8D5"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0C0BF758" w14:textId="77777777" w:rsidR="00176380" w:rsidRDefault="00176380">
            <w:pPr>
              <w:jc w:val="center"/>
              <w:rPr>
                <w:sz w:val="16"/>
                <w:szCs w:val="16"/>
              </w:rPr>
            </w:pPr>
            <w:r>
              <w:rPr>
                <w:sz w:val="16"/>
                <w:szCs w:val="16"/>
              </w:rPr>
              <w:t>6,4</w:t>
            </w:r>
          </w:p>
        </w:tc>
        <w:tc>
          <w:tcPr>
            <w:tcW w:w="262" w:type="pct"/>
            <w:tcBorders>
              <w:top w:val="nil"/>
              <w:left w:val="nil"/>
              <w:bottom w:val="nil"/>
              <w:right w:val="nil"/>
            </w:tcBorders>
            <w:shd w:val="clear" w:color="auto" w:fill="auto"/>
            <w:noWrap/>
            <w:vAlign w:val="bottom"/>
            <w:hideMark/>
          </w:tcPr>
          <w:p w14:paraId="421CA048" w14:textId="77777777" w:rsidR="00176380" w:rsidRDefault="00176380">
            <w:pPr>
              <w:jc w:val="center"/>
              <w:rPr>
                <w:sz w:val="16"/>
                <w:szCs w:val="16"/>
              </w:rPr>
            </w:pPr>
            <w:r>
              <w:rPr>
                <w:sz w:val="16"/>
                <w:szCs w:val="16"/>
              </w:rPr>
              <w:t>0,5</w:t>
            </w:r>
          </w:p>
        </w:tc>
        <w:tc>
          <w:tcPr>
            <w:tcW w:w="286" w:type="pct"/>
            <w:tcBorders>
              <w:top w:val="nil"/>
              <w:left w:val="nil"/>
              <w:bottom w:val="nil"/>
              <w:right w:val="nil"/>
            </w:tcBorders>
            <w:shd w:val="clear" w:color="auto" w:fill="auto"/>
            <w:noWrap/>
            <w:vAlign w:val="bottom"/>
            <w:hideMark/>
          </w:tcPr>
          <w:p w14:paraId="5F3DB9EA" w14:textId="77777777" w:rsidR="00176380" w:rsidRDefault="00176380">
            <w:pPr>
              <w:jc w:val="center"/>
              <w:rPr>
                <w:sz w:val="16"/>
                <w:szCs w:val="16"/>
              </w:rPr>
            </w:pPr>
            <w:r>
              <w:rPr>
                <w:sz w:val="16"/>
                <w:szCs w:val="16"/>
              </w:rPr>
              <w:t>17,6</w:t>
            </w:r>
          </w:p>
        </w:tc>
      </w:tr>
      <w:tr w:rsidR="00176380" w14:paraId="0BDF67C2" w14:textId="77777777" w:rsidTr="00EF2777">
        <w:trPr>
          <w:trHeight w:val="250"/>
        </w:trPr>
        <w:tc>
          <w:tcPr>
            <w:tcW w:w="548" w:type="pct"/>
            <w:tcBorders>
              <w:top w:val="nil"/>
              <w:left w:val="nil"/>
              <w:bottom w:val="nil"/>
              <w:right w:val="nil"/>
            </w:tcBorders>
            <w:shd w:val="clear" w:color="auto" w:fill="auto"/>
            <w:noWrap/>
            <w:vAlign w:val="center"/>
            <w:hideMark/>
          </w:tcPr>
          <w:p w14:paraId="7D4A80BA" w14:textId="77777777" w:rsidR="00176380" w:rsidRDefault="00176380">
            <w:pPr>
              <w:jc w:val="center"/>
              <w:rPr>
                <w:sz w:val="16"/>
                <w:szCs w:val="16"/>
              </w:rPr>
            </w:pPr>
          </w:p>
        </w:tc>
        <w:tc>
          <w:tcPr>
            <w:tcW w:w="594" w:type="pct"/>
            <w:tcBorders>
              <w:top w:val="nil"/>
              <w:left w:val="nil"/>
              <w:bottom w:val="nil"/>
              <w:right w:val="nil"/>
            </w:tcBorders>
            <w:shd w:val="clear" w:color="auto" w:fill="auto"/>
            <w:vAlign w:val="center"/>
            <w:hideMark/>
          </w:tcPr>
          <w:p w14:paraId="2E395941" w14:textId="77777777" w:rsidR="00176380" w:rsidRDefault="00176380">
            <w:pPr>
              <w:rPr>
                <w:b/>
                <w:bCs/>
                <w:sz w:val="16"/>
                <w:szCs w:val="16"/>
              </w:rPr>
            </w:pPr>
            <w:r>
              <w:rPr>
                <w:b/>
                <w:bCs/>
                <w:sz w:val="16"/>
                <w:szCs w:val="16"/>
              </w:rPr>
              <w:t>Rejets</w:t>
            </w:r>
          </w:p>
        </w:tc>
        <w:tc>
          <w:tcPr>
            <w:tcW w:w="250" w:type="pct"/>
            <w:tcBorders>
              <w:top w:val="nil"/>
              <w:left w:val="nil"/>
              <w:bottom w:val="nil"/>
              <w:right w:val="nil"/>
            </w:tcBorders>
            <w:shd w:val="clear" w:color="auto" w:fill="auto"/>
            <w:vAlign w:val="center"/>
            <w:hideMark/>
          </w:tcPr>
          <w:p w14:paraId="6921EBDA" w14:textId="77777777" w:rsidR="00176380" w:rsidRDefault="00176380">
            <w:pPr>
              <w:jc w:val="center"/>
              <w:rPr>
                <w:sz w:val="16"/>
                <w:szCs w:val="16"/>
              </w:rPr>
            </w:pPr>
            <w:r>
              <w:rPr>
                <w:sz w:val="16"/>
                <w:szCs w:val="16"/>
              </w:rPr>
              <w:t>&lt; 0,1</w:t>
            </w:r>
          </w:p>
        </w:tc>
        <w:tc>
          <w:tcPr>
            <w:tcW w:w="247" w:type="pct"/>
            <w:tcBorders>
              <w:top w:val="nil"/>
              <w:left w:val="nil"/>
              <w:bottom w:val="nil"/>
              <w:right w:val="nil"/>
            </w:tcBorders>
            <w:shd w:val="clear" w:color="auto" w:fill="auto"/>
            <w:vAlign w:val="center"/>
            <w:hideMark/>
          </w:tcPr>
          <w:p w14:paraId="5561F0D9" w14:textId="77777777" w:rsidR="00176380" w:rsidRDefault="00176380">
            <w:pPr>
              <w:jc w:val="center"/>
              <w:rPr>
                <w:sz w:val="16"/>
                <w:szCs w:val="16"/>
              </w:rPr>
            </w:pPr>
            <w:r>
              <w:rPr>
                <w:sz w:val="16"/>
                <w:szCs w:val="16"/>
              </w:rPr>
              <w:t>0,1</w:t>
            </w:r>
          </w:p>
        </w:tc>
        <w:tc>
          <w:tcPr>
            <w:tcW w:w="250" w:type="pct"/>
            <w:tcBorders>
              <w:top w:val="nil"/>
              <w:left w:val="nil"/>
              <w:bottom w:val="nil"/>
              <w:right w:val="nil"/>
            </w:tcBorders>
            <w:shd w:val="clear" w:color="auto" w:fill="auto"/>
            <w:vAlign w:val="center"/>
            <w:hideMark/>
          </w:tcPr>
          <w:p w14:paraId="296188D4" w14:textId="77777777" w:rsidR="00176380" w:rsidRDefault="00176380">
            <w:pPr>
              <w:jc w:val="center"/>
              <w:rPr>
                <w:sz w:val="16"/>
                <w:szCs w:val="16"/>
              </w:rPr>
            </w:pPr>
            <w:r>
              <w:rPr>
                <w:sz w:val="16"/>
                <w:szCs w:val="16"/>
              </w:rPr>
              <w:t>&lt; 0,1</w:t>
            </w:r>
          </w:p>
        </w:tc>
        <w:tc>
          <w:tcPr>
            <w:tcW w:w="250" w:type="pct"/>
            <w:tcBorders>
              <w:top w:val="nil"/>
              <w:left w:val="nil"/>
              <w:bottom w:val="nil"/>
              <w:right w:val="nil"/>
            </w:tcBorders>
            <w:shd w:val="clear" w:color="auto" w:fill="auto"/>
            <w:vAlign w:val="center"/>
            <w:hideMark/>
          </w:tcPr>
          <w:p w14:paraId="1DCAF83F" w14:textId="77777777" w:rsidR="00176380" w:rsidRDefault="00176380">
            <w:pPr>
              <w:jc w:val="center"/>
              <w:rPr>
                <w:sz w:val="16"/>
                <w:szCs w:val="16"/>
              </w:rPr>
            </w:pPr>
            <w:r>
              <w:rPr>
                <w:sz w:val="16"/>
                <w:szCs w:val="16"/>
              </w:rPr>
              <w:t>&lt; 0,1</w:t>
            </w:r>
          </w:p>
        </w:tc>
        <w:tc>
          <w:tcPr>
            <w:tcW w:w="250" w:type="pct"/>
            <w:tcBorders>
              <w:top w:val="nil"/>
              <w:left w:val="nil"/>
              <w:bottom w:val="nil"/>
              <w:right w:val="nil"/>
            </w:tcBorders>
            <w:shd w:val="clear" w:color="auto" w:fill="auto"/>
            <w:noWrap/>
            <w:vAlign w:val="center"/>
            <w:hideMark/>
          </w:tcPr>
          <w:p w14:paraId="0EA24A74" w14:textId="77777777" w:rsidR="00176380" w:rsidRDefault="00176380">
            <w:pPr>
              <w:jc w:val="center"/>
              <w:rPr>
                <w:sz w:val="16"/>
                <w:szCs w:val="16"/>
              </w:rPr>
            </w:pPr>
            <w:r>
              <w:rPr>
                <w:sz w:val="16"/>
                <w:szCs w:val="16"/>
              </w:rPr>
              <w:t>&lt; 0,1</w:t>
            </w:r>
          </w:p>
        </w:tc>
        <w:tc>
          <w:tcPr>
            <w:tcW w:w="250" w:type="pct"/>
            <w:tcBorders>
              <w:top w:val="nil"/>
              <w:left w:val="nil"/>
              <w:bottom w:val="nil"/>
              <w:right w:val="nil"/>
            </w:tcBorders>
            <w:shd w:val="clear" w:color="auto" w:fill="auto"/>
            <w:noWrap/>
            <w:vAlign w:val="center"/>
            <w:hideMark/>
          </w:tcPr>
          <w:p w14:paraId="030EF526" w14:textId="77777777" w:rsidR="00176380" w:rsidRDefault="00176380">
            <w:pPr>
              <w:jc w:val="center"/>
              <w:rPr>
                <w:sz w:val="16"/>
                <w:szCs w:val="16"/>
              </w:rPr>
            </w:pPr>
            <w:r>
              <w:rPr>
                <w:sz w:val="16"/>
                <w:szCs w:val="16"/>
              </w:rPr>
              <w:t>&lt; 0,1</w:t>
            </w:r>
          </w:p>
        </w:tc>
        <w:tc>
          <w:tcPr>
            <w:tcW w:w="250" w:type="pct"/>
            <w:tcBorders>
              <w:top w:val="nil"/>
              <w:left w:val="nil"/>
              <w:bottom w:val="nil"/>
              <w:right w:val="nil"/>
            </w:tcBorders>
            <w:shd w:val="clear" w:color="auto" w:fill="auto"/>
            <w:vAlign w:val="center"/>
            <w:hideMark/>
          </w:tcPr>
          <w:p w14:paraId="6FDF5E56" w14:textId="77777777" w:rsidR="00176380" w:rsidRDefault="00176380">
            <w:pPr>
              <w:jc w:val="center"/>
              <w:rPr>
                <w:sz w:val="16"/>
                <w:szCs w:val="16"/>
              </w:rPr>
            </w:pPr>
            <w:r>
              <w:rPr>
                <w:sz w:val="16"/>
                <w:szCs w:val="16"/>
              </w:rPr>
              <w:t>&lt; 0,1</w:t>
            </w:r>
          </w:p>
        </w:tc>
        <w:tc>
          <w:tcPr>
            <w:tcW w:w="263" w:type="pct"/>
            <w:tcBorders>
              <w:top w:val="nil"/>
              <w:left w:val="nil"/>
              <w:bottom w:val="nil"/>
              <w:right w:val="nil"/>
            </w:tcBorders>
            <w:shd w:val="clear" w:color="auto" w:fill="auto"/>
            <w:vAlign w:val="center"/>
            <w:hideMark/>
          </w:tcPr>
          <w:p w14:paraId="6732F789" w14:textId="77777777" w:rsidR="00176380" w:rsidRDefault="00176380">
            <w:pPr>
              <w:jc w:val="center"/>
              <w:rPr>
                <w:sz w:val="16"/>
                <w:szCs w:val="16"/>
              </w:rPr>
            </w:pPr>
            <w:r>
              <w:rPr>
                <w:sz w:val="16"/>
                <w:szCs w:val="16"/>
              </w:rPr>
              <w:t>&lt; 0,1</w:t>
            </w:r>
          </w:p>
        </w:tc>
        <w:tc>
          <w:tcPr>
            <w:tcW w:w="263" w:type="pct"/>
            <w:tcBorders>
              <w:top w:val="nil"/>
              <w:left w:val="nil"/>
              <w:bottom w:val="nil"/>
              <w:right w:val="nil"/>
            </w:tcBorders>
            <w:shd w:val="clear" w:color="auto" w:fill="auto"/>
            <w:vAlign w:val="center"/>
            <w:hideMark/>
          </w:tcPr>
          <w:p w14:paraId="294F4213" w14:textId="77777777" w:rsidR="00176380" w:rsidRDefault="00176380">
            <w:pPr>
              <w:jc w:val="center"/>
              <w:rPr>
                <w:sz w:val="16"/>
                <w:szCs w:val="16"/>
              </w:rPr>
            </w:pPr>
            <w:r>
              <w:rPr>
                <w:sz w:val="16"/>
                <w:szCs w:val="16"/>
              </w:rPr>
              <w:t>&lt; 0,1</w:t>
            </w:r>
          </w:p>
        </w:tc>
        <w:tc>
          <w:tcPr>
            <w:tcW w:w="263" w:type="pct"/>
            <w:tcBorders>
              <w:top w:val="nil"/>
              <w:left w:val="nil"/>
              <w:bottom w:val="nil"/>
              <w:right w:val="nil"/>
            </w:tcBorders>
            <w:shd w:val="clear" w:color="auto" w:fill="auto"/>
            <w:vAlign w:val="center"/>
            <w:hideMark/>
          </w:tcPr>
          <w:p w14:paraId="60A69DAE" w14:textId="77777777" w:rsidR="00176380" w:rsidRDefault="00176380">
            <w:pPr>
              <w:jc w:val="center"/>
              <w:rPr>
                <w:sz w:val="16"/>
                <w:szCs w:val="16"/>
              </w:rPr>
            </w:pPr>
            <w:r>
              <w:rPr>
                <w:sz w:val="16"/>
                <w:szCs w:val="16"/>
              </w:rPr>
              <w:t>&lt; 0,1</w:t>
            </w:r>
          </w:p>
        </w:tc>
        <w:tc>
          <w:tcPr>
            <w:tcW w:w="250" w:type="pct"/>
            <w:tcBorders>
              <w:top w:val="nil"/>
              <w:left w:val="nil"/>
              <w:bottom w:val="nil"/>
              <w:right w:val="nil"/>
            </w:tcBorders>
            <w:shd w:val="clear" w:color="auto" w:fill="auto"/>
            <w:vAlign w:val="center"/>
            <w:hideMark/>
          </w:tcPr>
          <w:p w14:paraId="72FC00B0" w14:textId="77777777" w:rsidR="00176380" w:rsidRDefault="00176380">
            <w:pPr>
              <w:jc w:val="center"/>
              <w:rPr>
                <w:sz w:val="16"/>
                <w:szCs w:val="16"/>
              </w:rPr>
            </w:pPr>
            <w:r>
              <w:rPr>
                <w:sz w:val="16"/>
                <w:szCs w:val="16"/>
              </w:rPr>
              <w:t>&lt; 0,1</w:t>
            </w:r>
          </w:p>
        </w:tc>
        <w:tc>
          <w:tcPr>
            <w:tcW w:w="245" w:type="pct"/>
            <w:tcBorders>
              <w:top w:val="nil"/>
              <w:left w:val="nil"/>
              <w:bottom w:val="nil"/>
              <w:right w:val="nil"/>
            </w:tcBorders>
            <w:shd w:val="clear" w:color="auto" w:fill="auto"/>
            <w:vAlign w:val="center"/>
            <w:hideMark/>
          </w:tcPr>
          <w:p w14:paraId="48B35008"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2212128F" w14:textId="77777777" w:rsidR="00176380" w:rsidRDefault="00176380">
            <w:pPr>
              <w:jc w:val="center"/>
              <w:rPr>
                <w:sz w:val="16"/>
                <w:szCs w:val="16"/>
              </w:rPr>
            </w:pPr>
            <w:r>
              <w:rPr>
                <w:sz w:val="16"/>
                <w:szCs w:val="16"/>
              </w:rPr>
              <w:t>0,1</w:t>
            </w:r>
          </w:p>
        </w:tc>
        <w:tc>
          <w:tcPr>
            <w:tcW w:w="262" w:type="pct"/>
            <w:tcBorders>
              <w:top w:val="nil"/>
              <w:left w:val="nil"/>
              <w:bottom w:val="nil"/>
              <w:right w:val="nil"/>
            </w:tcBorders>
            <w:shd w:val="clear" w:color="auto" w:fill="auto"/>
            <w:vAlign w:val="center"/>
            <w:hideMark/>
          </w:tcPr>
          <w:p w14:paraId="2A5EAEA6" w14:textId="77777777" w:rsidR="00176380" w:rsidRDefault="00176380">
            <w:pPr>
              <w:jc w:val="center"/>
              <w:rPr>
                <w:sz w:val="16"/>
                <w:szCs w:val="16"/>
              </w:rPr>
            </w:pPr>
            <w:r>
              <w:rPr>
                <w:sz w:val="16"/>
                <w:szCs w:val="16"/>
              </w:rPr>
              <w:t>&lt; 0,1</w:t>
            </w:r>
          </w:p>
        </w:tc>
        <w:tc>
          <w:tcPr>
            <w:tcW w:w="286" w:type="pct"/>
            <w:tcBorders>
              <w:top w:val="nil"/>
              <w:left w:val="nil"/>
              <w:bottom w:val="nil"/>
              <w:right w:val="nil"/>
            </w:tcBorders>
            <w:shd w:val="clear" w:color="auto" w:fill="auto"/>
            <w:noWrap/>
            <w:vAlign w:val="bottom"/>
            <w:hideMark/>
          </w:tcPr>
          <w:p w14:paraId="0D5EE0B6" w14:textId="77777777" w:rsidR="00176380" w:rsidRDefault="00176380">
            <w:pPr>
              <w:jc w:val="center"/>
              <w:rPr>
                <w:sz w:val="16"/>
                <w:szCs w:val="16"/>
              </w:rPr>
            </w:pPr>
            <w:r>
              <w:rPr>
                <w:sz w:val="16"/>
                <w:szCs w:val="16"/>
              </w:rPr>
              <w:t>0,2</w:t>
            </w:r>
          </w:p>
        </w:tc>
      </w:tr>
      <w:tr w:rsidR="00176380" w14:paraId="1C241F75" w14:textId="77777777" w:rsidTr="00EF2777">
        <w:trPr>
          <w:trHeight w:val="250"/>
        </w:trPr>
        <w:tc>
          <w:tcPr>
            <w:tcW w:w="548" w:type="pct"/>
            <w:tcBorders>
              <w:top w:val="nil"/>
              <w:left w:val="nil"/>
              <w:bottom w:val="nil"/>
              <w:right w:val="nil"/>
            </w:tcBorders>
            <w:shd w:val="clear" w:color="auto" w:fill="auto"/>
            <w:noWrap/>
            <w:vAlign w:val="center"/>
            <w:hideMark/>
          </w:tcPr>
          <w:p w14:paraId="149C3573" w14:textId="77777777" w:rsidR="00176380" w:rsidRDefault="00176380">
            <w:pPr>
              <w:rPr>
                <w:b/>
                <w:bCs/>
                <w:sz w:val="16"/>
                <w:szCs w:val="16"/>
              </w:rPr>
            </w:pPr>
            <w:r>
              <w:rPr>
                <w:b/>
                <w:bCs/>
                <w:sz w:val="16"/>
                <w:szCs w:val="16"/>
              </w:rPr>
              <w:t>É.-U.</w:t>
            </w:r>
            <w:r>
              <w:rPr>
                <w:b/>
                <w:bCs/>
                <w:sz w:val="16"/>
                <w:szCs w:val="16"/>
                <w:vertAlign w:val="superscript"/>
              </w:rPr>
              <w:t>2</w:t>
            </w:r>
          </w:p>
        </w:tc>
        <w:tc>
          <w:tcPr>
            <w:tcW w:w="594" w:type="pct"/>
            <w:tcBorders>
              <w:top w:val="nil"/>
              <w:left w:val="nil"/>
              <w:bottom w:val="nil"/>
              <w:right w:val="nil"/>
            </w:tcBorders>
            <w:shd w:val="clear" w:color="auto" w:fill="auto"/>
            <w:vAlign w:val="center"/>
            <w:hideMark/>
          </w:tcPr>
          <w:p w14:paraId="47BB4A8E" w14:textId="77777777" w:rsidR="00176380" w:rsidRDefault="00176380">
            <w:pPr>
              <w:rPr>
                <w:b/>
                <w:bCs/>
                <w:sz w:val="16"/>
                <w:szCs w:val="16"/>
              </w:rPr>
            </w:pPr>
            <w:r>
              <w:rPr>
                <w:b/>
                <w:bCs/>
                <w:sz w:val="16"/>
                <w:szCs w:val="16"/>
              </w:rPr>
              <w:t>Quota</w:t>
            </w:r>
            <w:r>
              <w:rPr>
                <w:sz w:val="16"/>
                <w:szCs w:val="16"/>
                <w:vertAlign w:val="superscript"/>
              </w:rPr>
              <w:t>3</w:t>
            </w:r>
          </w:p>
        </w:tc>
        <w:tc>
          <w:tcPr>
            <w:tcW w:w="250" w:type="pct"/>
            <w:tcBorders>
              <w:top w:val="nil"/>
              <w:left w:val="nil"/>
              <w:bottom w:val="nil"/>
              <w:right w:val="nil"/>
            </w:tcBorders>
            <w:shd w:val="clear" w:color="auto" w:fill="auto"/>
            <w:vAlign w:val="center"/>
            <w:hideMark/>
          </w:tcPr>
          <w:p w14:paraId="7727F1E4" w14:textId="77777777" w:rsidR="00176380" w:rsidRDefault="00176380">
            <w:pPr>
              <w:jc w:val="center"/>
              <w:rPr>
                <w:sz w:val="16"/>
                <w:szCs w:val="16"/>
              </w:rPr>
            </w:pPr>
            <w:r>
              <w:rPr>
                <w:sz w:val="16"/>
                <w:szCs w:val="16"/>
              </w:rPr>
              <w:t>8,1</w:t>
            </w:r>
          </w:p>
        </w:tc>
        <w:tc>
          <w:tcPr>
            <w:tcW w:w="247" w:type="pct"/>
            <w:tcBorders>
              <w:top w:val="nil"/>
              <w:left w:val="nil"/>
              <w:bottom w:val="nil"/>
              <w:right w:val="nil"/>
            </w:tcBorders>
            <w:shd w:val="clear" w:color="auto" w:fill="auto"/>
            <w:vAlign w:val="center"/>
            <w:hideMark/>
          </w:tcPr>
          <w:p w14:paraId="52779C88" w14:textId="77777777" w:rsidR="00176380" w:rsidRDefault="00176380">
            <w:pPr>
              <w:jc w:val="center"/>
              <w:rPr>
                <w:sz w:val="16"/>
                <w:szCs w:val="16"/>
              </w:rPr>
            </w:pPr>
            <w:r>
              <w:rPr>
                <w:sz w:val="16"/>
                <w:szCs w:val="16"/>
              </w:rPr>
              <w:t>11,1</w:t>
            </w:r>
          </w:p>
        </w:tc>
        <w:tc>
          <w:tcPr>
            <w:tcW w:w="250" w:type="pct"/>
            <w:tcBorders>
              <w:top w:val="nil"/>
              <w:left w:val="nil"/>
              <w:bottom w:val="nil"/>
              <w:right w:val="nil"/>
            </w:tcBorders>
            <w:shd w:val="clear" w:color="auto" w:fill="auto"/>
            <w:vAlign w:val="center"/>
            <w:hideMark/>
          </w:tcPr>
          <w:p w14:paraId="51BCEC0A" w14:textId="77777777" w:rsidR="00176380" w:rsidRDefault="00176380">
            <w:pPr>
              <w:jc w:val="center"/>
              <w:rPr>
                <w:sz w:val="16"/>
                <w:szCs w:val="16"/>
              </w:rPr>
            </w:pPr>
            <w:r>
              <w:rPr>
                <w:sz w:val="16"/>
                <w:szCs w:val="16"/>
              </w:rPr>
              <w:t>12</w:t>
            </w:r>
          </w:p>
        </w:tc>
        <w:tc>
          <w:tcPr>
            <w:tcW w:w="250" w:type="pct"/>
            <w:tcBorders>
              <w:top w:val="nil"/>
              <w:left w:val="nil"/>
              <w:bottom w:val="nil"/>
              <w:right w:val="nil"/>
            </w:tcBorders>
            <w:shd w:val="clear" w:color="auto" w:fill="auto"/>
            <w:vAlign w:val="center"/>
            <w:hideMark/>
          </w:tcPr>
          <w:p w14:paraId="57B82548" w14:textId="77777777" w:rsidR="00176380" w:rsidRDefault="00176380">
            <w:pPr>
              <w:jc w:val="center"/>
              <w:rPr>
                <w:sz w:val="16"/>
                <w:szCs w:val="16"/>
              </w:rPr>
            </w:pPr>
            <w:r>
              <w:rPr>
                <w:sz w:val="16"/>
                <w:szCs w:val="16"/>
              </w:rPr>
              <w:t>9,5</w:t>
            </w:r>
          </w:p>
        </w:tc>
        <w:tc>
          <w:tcPr>
            <w:tcW w:w="250" w:type="pct"/>
            <w:tcBorders>
              <w:top w:val="nil"/>
              <w:left w:val="nil"/>
              <w:bottom w:val="nil"/>
              <w:right w:val="nil"/>
            </w:tcBorders>
            <w:shd w:val="clear" w:color="auto" w:fill="auto"/>
            <w:noWrap/>
            <w:vAlign w:val="center"/>
            <w:hideMark/>
          </w:tcPr>
          <w:p w14:paraId="4E7B1957" w14:textId="77777777" w:rsidR="00176380" w:rsidRDefault="00176380">
            <w:pPr>
              <w:jc w:val="center"/>
              <w:rPr>
                <w:sz w:val="16"/>
                <w:szCs w:val="16"/>
              </w:rPr>
            </w:pPr>
            <w:r>
              <w:rPr>
                <w:sz w:val="16"/>
                <w:szCs w:val="16"/>
              </w:rPr>
              <w:t>6,9</w:t>
            </w:r>
          </w:p>
        </w:tc>
        <w:tc>
          <w:tcPr>
            <w:tcW w:w="250" w:type="pct"/>
            <w:tcBorders>
              <w:top w:val="nil"/>
              <w:left w:val="nil"/>
              <w:bottom w:val="nil"/>
              <w:right w:val="nil"/>
            </w:tcBorders>
            <w:shd w:val="clear" w:color="auto" w:fill="auto"/>
            <w:noWrap/>
            <w:vAlign w:val="center"/>
            <w:hideMark/>
          </w:tcPr>
          <w:p w14:paraId="638804CE" w14:textId="77777777" w:rsidR="00176380" w:rsidRDefault="00176380">
            <w:pPr>
              <w:jc w:val="center"/>
              <w:rPr>
                <w:sz w:val="16"/>
                <w:szCs w:val="16"/>
              </w:rPr>
            </w:pPr>
            <w:r>
              <w:rPr>
                <w:sz w:val="16"/>
                <w:szCs w:val="16"/>
              </w:rPr>
              <w:t>4</w:t>
            </w:r>
          </w:p>
        </w:tc>
        <w:tc>
          <w:tcPr>
            <w:tcW w:w="250" w:type="pct"/>
            <w:tcBorders>
              <w:top w:val="nil"/>
              <w:left w:val="nil"/>
              <w:bottom w:val="nil"/>
              <w:right w:val="nil"/>
            </w:tcBorders>
            <w:shd w:val="clear" w:color="auto" w:fill="auto"/>
            <w:vAlign w:val="center"/>
            <w:hideMark/>
          </w:tcPr>
          <w:p w14:paraId="742D49BF" w14:textId="77777777" w:rsidR="00176380" w:rsidRDefault="00176380">
            <w:pPr>
              <w:jc w:val="center"/>
              <w:rPr>
                <w:sz w:val="16"/>
                <w:szCs w:val="16"/>
              </w:rPr>
            </w:pPr>
            <w:r>
              <w:rPr>
                <w:sz w:val="16"/>
                <w:szCs w:val="16"/>
              </w:rPr>
              <w:t>10,5</w:t>
            </w:r>
          </w:p>
        </w:tc>
        <w:tc>
          <w:tcPr>
            <w:tcW w:w="263" w:type="pct"/>
            <w:tcBorders>
              <w:top w:val="nil"/>
              <w:left w:val="nil"/>
              <w:bottom w:val="nil"/>
              <w:right w:val="nil"/>
            </w:tcBorders>
            <w:shd w:val="clear" w:color="auto" w:fill="auto"/>
            <w:vAlign w:val="center"/>
            <w:hideMark/>
          </w:tcPr>
          <w:p w14:paraId="08730858" w14:textId="77777777" w:rsidR="00176380" w:rsidRDefault="00176380">
            <w:pPr>
              <w:jc w:val="center"/>
              <w:rPr>
                <w:sz w:val="16"/>
                <w:szCs w:val="16"/>
              </w:rPr>
            </w:pPr>
            <w:r>
              <w:rPr>
                <w:sz w:val="16"/>
                <w:szCs w:val="16"/>
              </w:rPr>
              <w:t>17,8</w:t>
            </w:r>
          </w:p>
        </w:tc>
        <w:tc>
          <w:tcPr>
            <w:tcW w:w="263" w:type="pct"/>
            <w:tcBorders>
              <w:top w:val="nil"/>
              <w:left w:val="nil"/>
              <w:bottom w:val="nil"/>
              <w:right w:val="nil"/>
            </w:tcBorders>
            <w:shd w:val="clear" w:color="auto" w:fill="auto"/>
            <w:vAlign w:val="center"/>
            <w:hideMark/>
          </w:tcPr>
          <w:p w14:paraId="4013D76F" w14:textId="77777777" w:rsidR="00176380" w:rsidRDefault="00176380">
            <w:pPr>
              <w:jc w:val="center"/>
              <w:rPr>
                <w:sz w:val="16"/>
                <w:szCs w:val="16"/>
              </w:rPr>
            </w:pPr>
            <w:r>
              <w:rPr>
                <w:sz w:val="16"/>
                <w:szCs w:val="16"/>
              </w:rPr>
              <w:t>15,2</w:t>
            </w:r>
          </w:p>
        </w:tc>
        <w:tc>
          <w:tcPr>
            <w:tcW w:w="263" w:type="pct"/>
            <w:tcBorders>
              <w:top w:val="nil"/>
              <w:left w:val="nil"/>
              <w:bottom w:val="nil"/>
              <w:right w:val="nil"/>
            </w:tcBorders>
            <w:shd w:val="clear" w:color="auto" w:fill="auto"/>
            <w:vAlign w:val="center"/>
            <w:hideMark/>
          </w:tcPr>
          <w:p w14:paraId="543C9165" w14:textId="77777777" w:rsidR="00176380" w:rsidRDefault="00176380">
            <w:pPr>
              <w:jc w:val="center"/>
              <w:rPr>
                <w:sz w:val="16"/>
                <w:szCs w:val="16"/>
              </w:rPr>
            </w:pPr>
            <w:r>
              <w:rPr>
                <w:sz w:val="16"/>
                <w:szCs w:val="16"/>
              </w:rPr>
              <w:t>29,5</w:t>
            </w:r>
          </w:p>
        </w:tc>
        <w:tc>
          <w:tcPr>
            <w:tcW w:w="250" w:type="pct"/>
            <w:tcBorders>
              <w:top w:val="nil"/>
              <w:left w:val="nil"/>
              <w:bottom w:val="nil"/>
              <w:right w:val="nil"/>
            </w:tcBorders>
            <w:shd w:val="clear" w:color="auto" w:fill="auto"/>
            <w:vAlign w:val="center"/>
            <w:hideMark/>
          </w:tcPr>
          <w:p w14:paraId="32A2A1E4" w14:textId="77777777" w:rsidR="00176380" w:rsidRDefault="00176380">
            <w:pPr>
              <w:jc w:val="center"/>
              <w:rPr>
                <w:sz w:val="16"/>
                <w:szCs w:val="16"/>
              </w:rPr>
            </w:pPr>
            <w:r>
              <w:rPr>
                <w:sz w:val="16"/>
                <w:szCs w:val="16"/>
              </w:rPr>
              <w:t>16,0</w:t>
            </w:r>
          </w:p>
        </w:tc>
        <w:tc>
          <w:tcPr>
            <w:tcW w:w="245" w:type="pct"/>
            <w:tcBorders>
              <w:top w:val="nil"/>
              <w:left w:val="nil"/>
              <w:bottom w:val="nil"/>
              <w:right w:val="nil"/>
            </w:tcBorders>
            <w:shd w:val="clear" w:color="auto" w:fill="auto"/>
            <w:vAlign w:val="center"/>
            <w:hideMark/>
          </w:tcPr>
          <w:p w14:paraId="24296545"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631EDFCE" w14:textId="77777777" w:rsidR="00176380" w:rsidRDefault="00176380">
            <w:pPr>
              <w:jc w:val="center"/>
              <w:rPr>
                <w:sz w:val="20"/>
                <w:szCs w:val="20"/>
              </w:rPr>
            </w:pPr>
          </w:p>
        </w:tc>
        <w:tc>
          <w:tcPr>
            <w:tcW w:w="262" w:type="pct"/>
            <w:tcBorders>
              <w:top w:val="nil"/>
              <w:left w:val="nil"/>
              <w:bottom w:val="nil"/>
              <w:right w:val="nil"/>
            </w:tcBorders>
            <w:shd w:val="clear" w:color="auto" w:fill="auto"/>
            <w:noWrap/>
            <w:vAlign w:val="bottom"/>
            <w:hideMark/>
          </w:tcPr>
          <w:p w14:paraId="327CD693" w14:textId="77777777" w:rsidR="00176380" w:rsidRDefault="00176380">
            <w:pPr>
              <w:jc w:val="center"/>
              <w:rPr>
                <w:sz w:val="20"/>
                <w:szCs w:val="20"/>
              </w:rPr>
            </w:pPr>
          </w:p>
        </w:tc>
        <w:tc>
          <w:tcPr>
            <w:tcW w:w="286" w:type="pct"/>
            <w:tcBorders>
              <w:top w:val="nil"/>
              <w:left w:val="nil"/>
              <w:bottom w:val="nil"/>
              <w:right w:val="nil"/>
            </w:tcBorders>
            <w:shd w:val="clear" w:color="auto" w:fill="auto"/>
            <w:noWrap/>
            <w:vAlign w:val="bottom"/>
            <w:hideMark/>
          </w:tcPr>
          <w:p w14:paraId="7A409F17" w14:textId="77777777" w:rsidR="00176380" w:rsidRDefault="00176380">
            <w:pPr>
              <w:jc w:val="center"/>
              <w:rPr>
                <w:sz w:val="20"/>
                <w:szCs w:val="20"/>
              </w:rPr>
            </w:pPr>
          </w:p>
        </w:tc>
      </w:tr>
      <w:tr w:rsidR="00176380" w14:paraId="30FCCCC6" w14:textId="77777777" w:rsidTr="00EF2777">
        <w:trPr>
          <w:trHeight w:val="250"/>
        </w:trPr>
        <w:tc>
          <w:tcPr>
            <w:tcW w:w="548" w:type="pct"/>
            <w:tcBorders>
              <w:top w:val="nil"/>
              <w:left w:val="nil"/>
              <w:bottom w:val="nil"/>
              <w:right w:val="nil"/>
            </w:tcBorders>
            <w:shd w:val="clear" w:color="auto" w:fill="auto"/>
            <w:noWrap/>
            <w:vAlign w:val="center"/>
            <w:hideMark/>
          </w:tcPr>
          <w:p w14:paraId="30D786C6" w14:textId="77777777" w:rsidR="00176380" w:rsidRDefault="00176380">
            <w:pPr>
              <w:jc w:val="center"/>
              <w:rPr>
                <w:sz w:val="20"/>
                <w:szCs w:val="20"/>
              </w:rPr>
            </w:pPr>
          </w:p>
        </w:tc>
        <w:tc>
          <w:tcPr>
            <w:tcW w:w="594" w:type="pct"/>
            <w:tcBorders>
              <w:top w:val="nil"/>
              <w:left w:val="nil"/>
              <w:bottom w:val="nil"/>
              <w:right w:val="nil"/>
            </w:tcBorders>
            <w:shd w:val="clear" w:color="auto" w:fill="auto"/>
            <w:vAlign w:val="center"/>
            <w:hideMark/>
          </w:tcPr>
          <w:p w14:paraId="575A2768" w14:textId="77777777" w:rsidR="00176380" w:rsidRDefault="00176380">
            <w:pPr>
              <w:rPr>
                <w:b/>
                <w:bCs/>
                <w:sz w:val="16"/>
                <w:szCs w:val="16"/>
              </w:rPr>
            </w:pPr>
            <w:r>
              <w:rPr>
                <w:b/>
                <w:bCs/>
                <w:sz w:val="16"/>
                <w:szCs w:val="16"/>
              </w:rPr>
              <w:t>Prises</w:t>
            </w:r>
            <w:r>
              <w:rPr>
                <w:sz w:val="16"/>
                <w:szCs w:val="16"/>
                <w:vertAlign w:val="superscript"/>
              </w:rPr>
              <w:t>3</w:t>
            </w:r>
          </w:p>
        </w:tc>
        <w:tc>
          <w:tcPr>
            <w:tcW w:w="250" w:type="pct"/>
            <w:tcBorders>
              <w:top w:val="nil"/>
              <w:left w:val="nil"/>
              <w:bottom w:val="nil"/>
              <w:right w:val="nil"/>
            </w:tcBorders>
            <w:shd w:val="clear" w:color="auto" w:fill="auto"/>
            <w:vAlign w:val="center"/>
            <w:hideMark/>
          </w:tcPr>
          <w:p w14:paraId="38A69394" w14:textId="77777777" w:rsidR="00176380" w:rsidRDefault="00176380">
            <w:pPr>
              <w:jc w:val="center"/>
              <w:rPr>
                <w:sz w:val="16"/>
                <w:szCs w:val="16"/>
              </w:rPr>
            </w:pPr>
            <w:r>
              <w:rPr>
                <w:sz w:val="16"/>
                <w:szCs w:val="16"/>
              </w:rPr>
              <w:t>1,6</w:t>
            </w:r>
          </w:p>
        </w:tc>
        <w:tc>
          <w:tcPr>
            <w:tcW w:w="247" w:type="pct"/>
            <w:tcBorders>
              <w:top w:val="nil"/>
              <w:left w:val="nil"/>
              <w:bottom w:val="nil"/>
              <w:right w:val="nil"/>
            </w:tcBorders>
            <w:shd w:val="clear" w:color="auto" w:fill="auto"/>
            <w:vAlign w:val="center"/>
            <w:hideMark/>
          </w:tcPr>
          <w:p w14:paraId="69786397" w14:textId="77777777" w:rsidR="00176380" w:rsidRDefault="00176380">
            <w:pPr>
              <w:jc w:val="center"/>
              <w:rPr>
                <w:sz w:val="16"/>
                <w:szCs w:val="16"/>
              </w:rPr>
            </w:pPr>
            <w:r>
              <w:rPr>
                <w:sz w:val="16"/>
                <w:szCs w:val="16"/>
              </w:rPr>
              <w:t>1,6</w:t>
            </w:r>
          </w:p>
        </w:tc>
        <w:tc>
          <w:tcPr>
            <w:tcW w:w="250" w:type="pct"/>
            <w:tcBorders>
              <w:top w:val="nil"/>
              <w:left w:val="nil"/>
              <w:bottom w:val="nil"/>
              <w:right w:val="nil"/>
            </w:tcBorders>
            <w:shd w:val="clear" w:color="auto" w:fill="auto"/>
            <w:vAlign w:val="center"/>
            <w:hideMark/>
          </w:tcPr>
          <w:p w14:paraId="4A9174FE" w14:textId="77777777" w:rsidR="00176380" w:rsidRDefault="00176380">
            <w:pPr>
              <w:jc w:val="center"/>
              <w:rPr>
                <w:sz w:val="16"/>
                <w:szCs w:val="16"/>
              </w:rPr>
            </w:pPr>
            <w:r>
              <w:rPr>
                <w:sz w:val="16"/>
                <w:szCs w:val="16"/>
              </w:rPr>
              <w:t>1,8</w:t>
            </w:r>
          </w:p>
        </w:tc>
        <w:tc>
          <w:tcPr>
            <w:tcW w:w="250" w:type="pct"/>
            <w:tcBorders>
              <w:top w:val="nil"/>
              <w:left w:val="nil"/>
              <w:bottom w:val="nil"/>
              <w:right w:val="nil"/>
            </w:tcBorders>
            <w:shd w:val="clear" w:color="auto" w:fill="auto"/>
            <w:vAlign w:val="center"/>
            <w:hideMark/>
          </w:tcPr>
          <w:p w14:paraId="494205A5" w14:textId="77777777" w:rsidR="00176380" w:rsidRDefault="00176380">
            <w:pPr>
              <w:jc w:val="center"/>
              <w:rPr>
                <w:sz w:val="16"/>
                <w:szCs w:val="16"/>
              </w:rPr>
            </w:pPr>
            <w:r>
              <w:rPr>
                <w:sz w:val="16"/>
                <w:szCs w:val="16"/>
              </w:rPr>
              <w:t>1,1</w:t>
            </w:r>
          </w:p>
        </w:tc>
        <w:tc>
          <w:tcPr>
            <w:tcW w:w="250" w:type="pct"/>
            <w:tcBorders>
              <w:top w:val="nil"/>
              <w:left w:val="nil"/>
              <w:bottom w:val="nil"/>
              <w:right w:val="nil"/>
            </w:tcBorders>
            <w:shd w:val="clear" w:color="auto" w:fill="auto"/>
            <w:noWrap/>
            <w:vAlign w:val="center"/>
            <w:hideMark/>
          </w:tcPr>
          <w:p w14:paraId="04DF6ED3" w14:textId="77777777" w:rsidR="00176380" w:rsidRDefault="00176380">
            <w:pPr>
              <w:jc w:val="center"/>
              <w:rPr>
                <w:sz w:val="16"/>
                <w:szCs w:val="16"/>
              </w:rPr>
            </w:pPr>
            <w:r>
              <w:rPr>
                <w:sz w:val="16"/>
                <w:szCs w:val="16"/>
              </w:rPr>
              <w:t>0,4</w:t>
            </w:r>
          </w:p>
        </w:tc>
        <w:tc>
          <w:tcPr>
            <w:tcW w:w="250" w:type="pct"/>
            <w:tcBorders>
              <w:top w:val="nil"/>
              <w:left w:val="nil"/>
              <w:bottom w:val="nil"/>
              <w:right w:val="nil"/>
            </w:tcBorders>
            <w:shd w:val="clear" w:color="auto" w:fill="auto"/>
            <w:noWrap/>
            <w:vAlign w:val="center"/>
            <w:hideMark/>
          </w:tcPr>
          <w:p w14:paraId="0AAB4D01" w14:textId="77777777" w:rsidR="00176380" w:rsidRDefault="00176380">
            <w:pPr>
              <w:jc w:val="center"/>
              <w:rPr>
                <w:sz w:val="16"/>
                <w:szCs w:val="16"/>
              </w:rPr>
            </w:pPr>
            <w:r>
              <w:rPr>
                <w:sz w:val="16"/>
                <w:szCs w:val="16"/>
              </w:rPr>
              <w:t>0,64</w:t>
            </w:r>
          </w:p>
        </w:tc>
        <w:tc>
          <w:tcPr>
            <w:tcW w:w="250" w:type="pct"/>
            <w:tcBorders>
              <w:top w:val="nil"/>
              <w:left w:val="nil"/>
              <w:bottom w:val="nil"/>
              <w:right w:val="nil"/>
            </w:tcBorders>
            <w:shd w:val="clear" w:color="auto" w:fill="auto"/>
            <w:vAlign w:val="center"/>
            <w:hideMark/>
          </w:tcPr>
          <w:p w14:paraId="68B5C340" w14:textId="77777777" w:rsidR="00176380" w:rsidRDefault="00176380">
            <w:pPr>
              <w:jc w:val="center"/>
              <w:rPr>
                <w:sz w:val="16"/>
                <w:szCs w:val="16"/>
              </w:rPr>
            </w:pPr>
            <w:r>
              <w:rPr>
                <w:sz w:val="16"/>
                <w:szCs w:val="16"/>
              </w:rPr>
              <w:t>1,3</w:t>
            </w:r>
          </w:p>
        </w:tc>
        <w:tc>
          <w:tcPr>
            <w:tcW w:w="263" w:type="pct"/>
            <w:tcBorders>
              <w:top w:val="nil"/>
              <w:left w:val="nil"/>
              <w:bottom w:val="nil"/>
              <w:right w:val="nil"/>
            </w:tcBorders>
            <w:shd w:val="clear" w:color="auto" w:fill="auto"/>
            <w:vAlign w:val="center"/>
            <w:hideMark/>
          </w:tcPr>
          <w:p w14:paraId="20106EAE" w14:textId="77777777" w:rsidR="00176380" w:rsidRDefault="00176380">
            <w:pPr>
              <w:jc w:val="center"/>
              <w:rPr>
                <w:sz w:val="16"/>
                <w:szCs w:val="16"/>
              </w:rPr>
            </w:pPr>
            <w:r>
              <w:rPr>
                <w:sz w:val="16"/>
                <w:szCs w:val="16"/>
              </w:rPr>
              <w:t>1,9</w:t>
            </w:r>
          </w:p>
        </w:tc>
        <w:tc>
          <w:tcPr>
            <w:tcW w:w="263" w:type="pct"/>
            <w:tcBorders>
              <w:top w:val="nil"/>
              <w:left w:val="nil"/>
              <w:bottom w:val="nil"/>
              <w:right w:val="nil"/>
            </w:tcBorders>
            <w:shd w:val="clear" w:color="auto" w:fill="auto"/>
            <w:vAlign w:val="center"/>
            <w:hideMark/>
          </w:tcPr>
          <w:p w14:paraId="3172C96D" w14:textId="77777777" w:rsidR="00176380" w:rsidRDefault="00176380">
            <w:pPr>
              <w:jc w:val="center"/>
              <w:rPr>
                <w:sz w:val="16"/>
                <w:szCs w:val="16"/>
              </w:rPr>
            </w:pPr>
            <w:r>
              <w:rPr>
                <w:sz w:val="16"/>
                <w:szCs w:val="16"/>
              </w:rPr>
              <w:t>0,5</w:t>
            </w:r>
          </w:p>
        </w:tc>
        <w:tc>
          <w:tcPr>
            <w:tcW w:w="263" w:type="pct"/>
            <w:tcBorders>
              <w:top w:val="nil"/>
              <w:left w:val="nil"/>
              <w:bottom w:val="nil"/>
              <w:right w:val="nil"/>
            </w:tcBorders>
            <w:shd w:val="clear" w:color="auto" w:fill="auto"/>
            <w:vAlign w:val="center"/>
            <w:hideMark/>
          </w:tcPr>
          <w:p w14:paraId="1BA627A0" w14:textId="77777777" w:rsidR="00176380" w:rsidRDefault="00176380">
            <w:pPr>
              <w:jc w:val="center"/>
              <w:rPr>
                <w:sz w:val="16"/>
                <w:szCs w:val="16"/>
              </w:rPr>
            </w:pPr>
            <w:r>
              <w:rPr>
                <w:sz w:val="16"/>
                <w:szCs w:val="16"/>
              </w:rPr>
              <w:t>0,4</w:t>
            </w:r>
          </w:p>
        </w:tc>
        <w:tc>
          <w:tcPr>
            <w:tcW w:w="250" w:type="pct"/>
            <w:tcBorders>
              <w:top w:val="nil"/>
              <w:left w:val="nil"/>
              <w:bottom w:val="nil"/>
              <w:right w:val="nil"/>
            </w:tcBorders>
            <w:shd w:val="clear" w:color="auto" w:fill="auto"/>
            <w:vAlign w:val="center"/>
            <w:hideMark/>
          </w:tcPr>
          <w:p w14:paraId="504AF479" w14:textId="77777777" w:rsidR="00176380" w:rsidRDefault="00176380">
            <w:pPr>
              <w:jc w:val="center"/>
              <w:rPr>
                <w:sz w:val="16"/>
                <w:szCs w:val="16"/>
              </w:rPr>
            </w:pPr>
            <w:r>
              <w:rPr>
                <w:sz w:val="16"/>
                <w:szCs w:val="16"/>
              </w:rPr>
              <w:t>0,6</w:t>
            </w:r>
          </w:p>
        </w:tc>
        <w:tc>
          <w:tcPr>
            <w:tcW w:w="245" w:type="pct"/>
            <w:tcBorders>
              <w:top w:val="nil"/>
              <w:left w:val="nil"/>
              <w:bottom w:val="nil"/>
              <w:right w:val="nil"/>
            </w:tcBorders>
            <w:shd w:val="clear" w:color="auto" w:fill="auto"/>
            <w:vAlign w:val="center"/>
            <w:hideMark/>
          </w:tcPr>
          <w:p w14:paraId="6691AD82"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7DBA2F1C" w14:textId="77777777" w:rsidR="00176380" w:rsidRDefault="00176380">
            <w:pPr>
              <w:jc w:val="center"/>
              <w:rPr>
                <w:sz w:val="20"/>
                <w:szCs w:val="20"/>
              </w:rPr>
            </w:pPr>
          </w:p>
        </w:tc>
        <w:tc>
          <w:tcPr>
            <w:tcW w:w="262" w:type="pct"/>
            <w:tcBorders>
              <w:top w:val="nil"/>
              <w:left w:val="nil"/>
              <w:bottom w:val="nil"/>
              <w:right w:val="nil"/>
            </w:tcBorders>
            <w:shd w:val="clear" w:color="auto" w:fill="auto"/>
            <w:noWrap/>
            <w:vAlign w:val="bottom"/>
            <w:hideMark/>
          </w:tcPr>
          <w:p w14:paraId="6AAE5209" w14:textId="77777777" w:rsidR="00176380" w:rsidRDefault="00176380">
            <w:pPr>
              <w:jc w:val="center"/>
              <w:rPr>
                <w:sz w:val="20"/>
                <w:szCs w:val="20"/>
              </w:rPr>
            </w:pPr>
          </w:p>
        </w:tc>
        <w:tc>
          <w:tcPr>
            <w:tcW w:w="286" w:type="pct"/>
            <w:tcBorders>
              <w:top w:val="nil"/>
              <w:left w:val="nil"/>
              <w:bottom w:val="nil"/>
              <w:right w:val="nil"/>
            </w:tcBorders>
            <w:shd w:val="clear" w:color="auto" w:fill="auto"/>
            <w:noWrap/>
            <w:vAlign w:val="bottom"/>
            <w:hideMark/>
          </w:tcPr>
          <w:p w14:paraId="3C8E0FB1" w14:textId="77777777" w:rsidR="00176380" w:rsidRDefault="00176380">
            <w:pPr>
              <w:jc w:val="center"/>
              <w:rPr>
                <w:sz w:val="20"/>
                <w:szCs w:val="20"/>
              </w:rPr>
            </w:pPr>
          </w:p>
        </w:tc>
      </w:tr>
      <w:tr w:rsidR="00176380" w14:paraId="3BEB2CCE" w14:textId="77777777" w:rsidTr="00EF2777">
        <w:trPr>
          <w:trHeight w:val="250"/>
        </w:trPr>
        <w:tc>
          <w:tcPr>
            <w:tcW w:w="548" w:type="pct"/>
            <w:tcBorders>
              <w:top w:val="nil"/>
              <w:left w:val="nil"/>
              <w:bottom w:val="nil"/>
              <w:right w:val="nil"/>
            </w:tcBorders>
            <w:shd w:val="clear" w:color="auto" w:fill="auto"/>
            <w:noWrap/>
            <w:vAlign w:val="center"/>
            <w:hideMark/>
          </w:tcPr>
          <w:p w14:paraId="6D4888BD" w14:textId="77777777" w:rsidR="00176380" w:rsidRDefault="00176380">
            <w:pPr>
              <w:jc w:val="center"/>
              <w:rPr>
                <w:sz w:val="20"/>
                <w:szCs w:val="20"/>
              </w:rPr>
            </w:pPr>
          </w:p>
        </w:tc>
        <w:tc>
          <w:tcPr>
            <w:tcW w:w="594" w:type="pct"/>
            <w:tcBorders>
              <w:top w:val="nil"/>
              <w:left w:val="nil"/>
              <w:bottom w:val="nil"/>
              <w:right w:val="nil"/>
            </w:tcBorders>
            <w:shd w:val="clear" w:color="auto" w:fill="auto"/>
            <w:vAlign w:val="center"/>
            <w:hideMark/>
          </w:tcPr>
          <w:p w14:paraId="12B2BF70" w14:textId="77777777" w:rsidR="00176380" w:rsidRDefault="00176380">
            <w:pPr>
              <w:rPr>
                <w:b/>
                <w:bCs/>
                <w:sz w:val="16"/>
                <w:szCs w:val="16"/>
              </w:rPr>
            </w:pPr>
            <w:r>
              <w:rPr>
                <w:b/>
                <w:bCs/>
                <w:sz w:val="16"/>
                <w:szCs w:val="16"/>
              </w:rPr>
              <w:t>Débarquements</w:t>
            </w:r>
          </w:p>
        </w:tc>
        <w:tc>
          <w:tcPr>
            <w:tcW w:w="250" w:type="pct"/>
            <w:tcBorders>
              <w:top w:val="nil"/>
              <w:left w:val="nil"/>
              <w:bottom w:val="nil"/>
              <w:right w:val="nil"/>
            </w:tcBorders>
            <w:shd w:val="clear" w:color="auto" w:fill="auto"/>
            <w:vAlign w:val="center"/>
            <w:hideMark/>
          </w:tcPr>
          <w:p w14:paraId="6E66DA11" w14:textId="77777777" w:rsidR="00176380" w:rsidRDefault="00176380">
            <w:pPr>
              <w:jc w:val="center"/>
              <w:rPr>
                <w:sz w:val="16"/>
                <w:szCs w:val="16"/>
              </w:rPr>
            </w:pPr>
            <w:r>
              <w:rPr>
                <w:sz w:val="16"/>
                <w:szCs w:val="16"/>
              </w:rPr>
              <w:t>1,1</w:t>
            </w:r>
          </w:p>
        </w:tc>
        <w:tc>
          <w:tcPr>
            <w:tcW w:w="247" w:type="pct"/>
            <w:tcBorders>
              <w:top w:val="nil"/>
              <w:left w:val="nil"/>
              <w:bottom w:val="nil"/>
              <w:right w:val="nil"/>
            </w:tcBorders>
            <w:shd w:val="clear" w:color="auto" w:fill="auto"/>
            <w:vAlign w:val="center"/>
            <w:hideMark/>
          </w:tcPr>
          <w:p w14:paraId="7AC8A8B8" w14:textId="77777777" w:rsidR="00176380" w:rsidRDefault="00176380">
            <w:pPr>
              <w:jc w:val="center"/>
              <w:rPr>
                <w:sz w:val="16"/>
                <w:szCs w:val="16"/>
              </w:rPr>
            </w:pPr>
            <w:r>
              <w:rPr>
                <w:sz w:val="16"/>
                <w:szCs w:val="16"/>
              </w:rPr>
              <w:t>2,2</w:t>
            </w:r>
          </w:p>
        </w:tc>
        <w:tc>
          <w:tcPr>
            <w:tcW w:w="250" w:type="pct"/>
            <w:tcBorders>
              <w:top w:val="nil"/>
              <w:left w:val="nil"/>
              <w:bottom w:val="nil"/>
              <w:right w:val="nil"/>
            </w:tcBorders>
            <w:shd w:val="clear" w:color="auto" w:fill="auto"/>
            <w:vAlign w:val="center"/>
            <w:hideMark/>
          </w:tcPr>
          <w:p w14:paraId="7EFDA66F" w14:textId="77777777" w:rsidR="00176380" w:rsidRDefault="00176380">
            <w:pPr>
              <w:jc w:val="center"/>
              <w:rPr>
                <w:sz w:val="16"/>
                <w:szCs w:val="16"/>
              </w:rPr>
            </w:pPr>
            <w:r>
              <w:rPr>
                <w:sz w:val="16"/>
                <w:szCs w:val="16"/>
              </w:rPr>
              <w:t>2,2</w:t>
            </w:r>
          </w:p>
        </w:tc>
        <w:tc>
          <w:tcPr>
            <w:tcW w:w="250" w:type="pct"/>
            <w:tcBorders>
              <w:top w:val="nil"/>
              <w:left w:val="nil"/>
              <w:bottom w:val="nil"/>
              <w:right w:val="nil"/>
            </w:tcBorders>
            <w:shd w:val="clear" w:color="auto" w:fill="auto"/>
            <w:vAlign w:val="center"/>
            <w:hideMark/>
          </w:tcPr>
          <w:p w14:paraId="63E6D972" w14:textId="77777777" w:rsidR="00176380" w:rsidRDefault="00176380">
            <w:pPr>
              <w:jc w:val="center"/>
              <w:rPr>
                <w:sz w:val="16"/>
                <w:szCs w:val="16"/>
              </w:rPr>
            </w:pPr>
            <w:r>
              <w:rPr>
                <w:sz w:val="16"/>
                <w:szCs w:val="16"/>
              </w:rPr>
              <w:t>1,3</w:t>
            </w:r>
          </w:p>
        </w:tc>
        <w:tc>
          <w:tcPr>
            <w:tcW w:w="250" w:type="pct"/>
            <w:tcBorders>
              <w:top w:val="nil"/>
              <w:left w:val="nil"/>
              <w:bottom w:val="nil"/>
              <w:right w:val="nil"/>
            </w:tcBorders>
            <w:shd w:val="clear" w:color="auto" w:fill="auto"/>
            <w:noWrap/>
            <w:vAlign w:val="center"/>
            <w:hideMark/>
          </w:tcPr>
          <w:p w14:paraId="2A30E4A0" w14:textId="77777777" w:rsidR="00176380" w:rsidRDefault="00176380">
            <w:pPr>
              <w:jc w:val="center"/>
              <w:rPr>
                <w:sz w:val="16"/>
                <w:szCs w:val="16"/>
              </w:rPr>
            </w:pPr>
            <w:r>
              <w:rPr>
                <w:sz w:val="16"/>
                <w:szCs w:val="16"/>
              </w:rPr>
              <w:t>0,4</w:t>
            </w:r>
          </w:p>
        </w:tc>
        <w:tc>
          <w:tcPr>
            <w:tcW w:w="250" w:type="pct"/>
            <w:tcBorders>
              <w:top w:val="nil"/>
              <w:left w:val="nil"/>
              <w:bottom w:val="nil"/>
              <w:right w:val="nil"/>
            </w:tcBorders>
            <w:shd w:val="clear" w:color="auto" w:fill="auto"/>
            <w:noWrap/>
            <w:vAlign w:val="center"/>
            <w:hideMark/>
          </w:tcPr>
          <w:p w14:paraId="30BF8B6B" w14:textId="77777777" w:rsidR="00176380" w:rsidRDefault="00176380">
            <w:pPr>
              <w:jc w:val="center"/>
              <w:rPr>
                <w:sz w:val="16"/>
                <w:szCs w:val="16"/>
              </w:rPr>
            </w:pPr>
            <w:r>
              <w:rPr>
                <w:sz w:val="16"/>
                <w:szCs w:val="16"/>
              </w:rPr>
              <w:t>0,3</w:t>
            </w:r>
          </w:p>
        </w:tc>
        <w:tc>
          <w:tcPr>
            <w:tcW w:w="250" w:type="pct"/>
            <w:tcBorders>
              <w:top w:val="nil"/>
              <w:left w:val="nil"/>
              <w:bottom w:val="nil"/>
              <w:right w:val="nil"/>
            </w:tcBorders>
            <w:shd w:val="clear" w:color="auto" w:fill="auto"/>
            <w:vAlign w:val="center"/>
            <w:hideMark/>
          </w:tcPr>
          <w:p w14:paraId="3F5451AD" w14:textId="77777777" w:rsidR="00176380" w:rsidRDefault="00176380">
            <w:pPr>
              <w:jc w:val="center"/>
              <w:rPr>
                <w:sz w:val="16"/>
                <w:szCs w:val="16"/>
              </w:rPr>
            </w:pPr>
            <w:r>
              <w:rPr>
                <w:sz w:val="16"/>
                <w:szCs w:val="16"/>
              </w:rPr>
              <w:t>1,2</w:t>
            </w:r>
          </w:p>
        </w:tc>
        <w:tc>
          <w:tcPr>
            <w:tcW w:w="263" w:type="pct"/>
            <w:tcBorders>
              <w:top w:val="nil"/>
              <w:left w:val="nil"/>
              <w:bottom w:val="nil"/>
              <w:right w:val="nil"/>
            </w:tcBorders>
            <w:shd w:val="clear" w:color="auto" w:fill="auto"/>
            <w:vAlign w:val="center"/>
            <w:hideMark/>
          </w:tcPr>
          <w:p w14:paraId="20CE3078" w14:textId="77777777" w:rsidR="00176380" w:rsidRDefault="00176380">
            <w:pPr>
              <w:jc w:val="center"/>
              <w:rPr>
                <w:sz w:val="16"/>
                <w:szCs w:val="16"/>
              </w:rPr>
            </w:pPr>
            <w:r>
              <w:rPr>
                <w:sz w:val="16"/>
                <w:szCs w:val="16"/>
              </w:rPr>
              <w:t>1,5</w:t>
            </w:r>
          </w:p>
        </w:tc>
        <w:tc>
          <w:tcPr>
            <w:tcW w:w="263" w:type="pct"/>
            <w:tcBorders>
              <w:top w:val="nil"/>
              <w:left w:val="nil"/>
              <w:bottom w:val="nil"/>
              <w:right w:val="nil"/>
            </w:tcBorders>
            <w:shd w:val="clear" w:color="auto" w:fill="auto"/>
            <w:vAlign w:val="center"/>
            <w:hideMark/>
          </w:tcPr>
          <w:p w14:paraId="21261E2C" w14:textId="77777777" w:rsidR="00176380" w:rsidRDefault="00176380">
            <w:pPr>
              <w:jc w:val="center"/>
              <w:rPr>
                <w:sz w:val="16"/>
                <w:szCs w:val="16"/>
              </w:rPr>
            </w:pPr>
            <w:r>
              <w:rPr>
                <w:sz w:val="16"/>
                <w:szCs w:val="16"/>
              </w:rPr>
              <w:t>0,3</w:t>
            </w:r>
          </w:p>
        </w:tc>
        <w:tc>
          <w:tcPr>
            <w:tcW w:w="263" w:type="pct"/>
            <w:tcBorders>
              <w:top w:val="nil"/>
              <w:left w:val="nil"/>
              <w:bottom w:val="nil"/>
              <w:right w:val="nil"/>
            </w:tcBorders>
            <w:shd w:val="clear" w:color="auto" w:fill="auto"/>
            <w:vAlign w:val="center"/>
            <w:hideMark/>
          </w:tcPr>
          <w:p w14:paraId="4E6048C3" w14:textId="77777777" w:rsidR="00176380" w:rsidRDefault="00176380">
            <w:pPr>
              <w:jc w:val="center"/>
              <w:rPr>
                <w:sz w:val="16"/>
                <w:szCs w:val="16"/>
              </w:rPr>
            </w:pPr>
            <w:r>
              <w:rPr>
                <w:sz w:val="16"/>
                <w:szCs w:val="16"/>
              </w:rPr>
              <w:t>0,2</w:t>
            </w:r>
          </w:p>
        </w:tc>
        <w:tc>
          <w:tcPr>
            <w:tcW w:w="250" w:type="pct"/>
            <w:tcBorders>
              <w:top w:val="nil"/>
              <w:left w:val="nil"/>
              <w:bottom w:val="nil"/>
              <w:right w:val="nil"/>
            </w:tcBorders>
            <w:shd w:val="clear" w:color="auto" w:fill="auto"/>
            <w:vAlign w:val="center"/>
            <w:hideMark/>
          </w:tcPr>
          <w:p w14:paraId="5ED44551" w14:textId="77777777" w:rsidR="00176380" w:rsidRDefault="00176380">
            <w:pPr>
              <w:jc w:val="center"/>
              <w:rPr>
                <w:sz w:val="16"/>
                <w:szCs w:val="16"/>
              </w:rPr>
            </w:pPr>
            <w:r>
              <w:rPr>
                <w:sz w:val="16"/>
                <w:szCs w:val="16"/>
              </w:rPr>
              <w:t>0,3</w:t>
            </w:r>
          </w:p>
        </w:tc>
        <w:tc>
          <w:tcPr>
            <w:tcW w:w="245" w:type="pct"/>
            <w:tcBorders>
              <w:top w:val="nil"/>
              <w:left w:val="nil"/>
              <w:bottom w:val="nil"/>
              <w:right w:val="nil"/>
            </w:tcBorders>
            <w:shd w:val="clear" w:color="auto" w:fill="auto"/>
            <w:vAlign w:val="center"/>
            <w:hideMark/>
          </w:tcPr>
          <w:p w14:paraId="10742486"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52A9D1F7" w14:textId="77777777" w:rsidR="00176380" w:rsidRDefault="00176380">
            <w:pPr>
              <w:jc w:val="center"/>
              <w:rPr>
                <w:sz w:val="16"/>
                <w:szCs w:val="16"/>
              </w:rPr>
            </w:pPr>
            <w:r>
              <w:rPr>
                <w:sz w:val="16"/>
                <w:szCs w:val="16"/>
              </w:rPr>
              <w:t>1,9</w:t>
            </w:r>
          </w:p>
        </w:tc>
        <w:tc>
          <w:tcPr>
            <w:tcW w:w="262" w:type="pct"/>
            <w:tcBorders>
              <w:top w:val="nil"/>
              <w:left w:val="nil"/>
              <w:bottom w:val="nil"/>
              <w:right w:val="nil"/>
            </w:tcBorders>
            <w:shd w:val="clear" w:color="auto" w:fill="auto"/>
            <w:vAlign w:val="center"/>
            <w:hideMark/>
          </w:tcPr>
          <w:p w14:paraId="57E8CDCA" w14:textId="77777777" w:rsidR="00176380" w:rsidRDefault="00176380">
            <w:pPr>
              <w:jc w:val="center"/>
              <w:rPr>
                <w:sz w:val="16"/>
                <w:szCs w:val="16"/>
              </w:rPr>
            </w:pPr>
            <w:r>
              <w:rPr>
                <w:sz w:val="16"/>
                <w:szCs w:val="16"/>
              </w:rPr>
              <w:t>&lt; 0,1</w:t>
            </w:r>
          </w:p>
        </w:tc>
        <w:tc>
          <w:tcPr>
            <w:tcW w:w="286" w:type="pct"/>
            <w:tcBorders>
              <w:top w:val="nil"/>
              <w:left w:val="nil"/>
              <w:bottom w:val="nil"/>
              <w:right w:val="nil"/>
            </w:tcBorders>
            <w:shd w:val="clear" w:color="auto" w:fill="auto"/>
            <w:noWrap/>
            <w:vAlign w:val="bottom"/>
            <w:hideMark/>
          </w:tcPr>
          <w:p w14:paraId="192BAF27" w14:textId="77777777" w:rsidR="00176380" w:rsidRDefault="00176380">
            <w:pPr>
              <w:jc w:val="center"/>
              <w:rPr>
                <w:sz w:val="16"/>
                <w:szCs w:val="16"/>
              </w:rPr>
            </w:pPr>
            <w:r>
              <w:rPr>
                <w:sz w:val="16"/>
                <w:szCs w:val="16"/>
              </w:rPr>
              <w:t>9,1</w:t>
            </w:r>
          </w:p>
        </w:tc>
      </w:tr>
      <w:tr w:rsidR="00176380" w14:paraId="1F40B780" w14:textId="77777777" w:rsidTr="00EF2777">
        <w:trPr>
          <w:trHeight w:val="250"/>
        </w:trPr>
        <w:tc>
          <w:tcPr>
            <w:tcW w:w="548" w:type="pct"/>
            <w:tcBorders>
              <w:top w:val="nil"/>
              <w:left w:val="nil"/>
              <w:bottom w:val="nil"/>
              <w:right w:val="nil"/>
            </w:tcBorders>
            <w:shd w:val="clear" w:color="auto" w:fill="auto"/>
            <w:noWrap/>
            <w:vAlign w:val="center"/>
            <w:hideMark/>
          </w:tcPr>
          <w:p w14:paraId="4822B92C" w14:textId="77777777" w:rsidR="00176380" w:rsidRDefault="00176380">
            <w:pPr>
              <w:jc w:val="center"/>
              <w:rPr>
                <w:sz w:val="16"/>
                <w:szCs w:val="16"/>
              </w:rPr>
            </w:pPr>
          </w:p>
        </w:tc>
        <w:tc>
          <w:tcPr>
            <w:tcW w:w="594" w:type="pct"/>
            <w:tcBorders>
              <w:top w:val="nil"/>
              <w:left w:val="nil"/>
              <w:bottom w:val="nil"/>
              <w:right w:val="nil"/>
            </w:tcBorders>
            <w:shd w:val="clear" w:color="auto" w:fill="auto"/>
            <w:vAlign w:val="center"/>
            <w:hideMark/>
          </w:tcPr>
          <w:p w14:paraId="77269AC2" w14:textId="77777777" w:rsidR="00176380" w:rsidRDefault="00176380">
            <w:pPr>
              <w:rPr>
                <w:b/>
                <w:bCs/>
                <w:sz w:val="16"/>
                <w:szCs w:val="16"/>
              </w:rPr>
            </w:pPr>
            <w:r>
              <w:rPr>
                <w:b/>
                <w:bCs/>
                <w:sz w:val="16"/>
                <w:szCs w:val="16"/>
              </w:rPr>
              <w:t>Rejets</w:t>
            </w:r>
          </w:p>
        </w:tc>
        <w:tc>
          <w:tcPr>
            <w:tcW w:w="250" w:type="pct"/>
            <w:tcBorders>
              <w:top w:val="nil"/>
              <w:left w:val="nil"/>
              <w:bottom w:val="nil"/>
              <w:right w:val="nil"/>
            </w:tcBorders>
            <w:shd w:val="clear" w:color="auto" w:fill="auto"/>
            <w:vAlign w:val="center"/>
            <w:hideMark/>
          </w:tcPr>
          <w:p w14:paraId="1F0BF326" w14:textId="77777777" w:rsidR="00176380" w:rsidRDefault="00176380">
            <w:pPr>
              <w:jc w:val="center"/>
              <w:rPr>
                <w:sz w:val="16"/>
                <w:szCs w:val="16"/>
              </w:rPr>
            </w:pPr>
            <w:r>
              <w:rPr>
                <w:sz w:val="16"/>
                <w:szCs w:val="16"/>
              </w:rPr>
              <w:t>0,1</w:t>
            </w:r>
          </w:p>
        </w:tc>
        <w:tc>
          <w:tcPr>
            <w:tcW w:w="247" w:type="pct"/>
            <w:tcBorders>
              <w:top w:val="nil"/>
              <w:left w:val="nil"/>
              <w:bottom w:val="nil"/>
              <w:right w:val="nil"/>
            </w:tcBorders>
            <w:shd w:val="clear" w:color="auto" w:fill="auto"/>
            <w:vAlign w:val="center"/>
            <w:hideMark/>
          </w:tcPr>
          <w:p w14:paraId="287BB739" w14:textId="77777777" w:rsidR="00176380" w:rsidRDefault="00176380">
            <w:pPr>
              <w:jc w:val="center"/>
              <w:rPr>
                <w:sz w:val="16"/>
                <w:szCs w:val="16"/>
              </w:rPr>
            </w:pPr>
            <w:r>
              <w:rPr>
                <w:sz w:val="16"/>
                <w:szCs w:val="16"/>
              </w:rPr>
              <w:t>0,1</w:t>
            </w:r>
          </w:p>
        </w:tc>
        <w:tc>
          <w:tcPr>
            <w:tcW w:w="250" w:type="pct"/>
            <w:tcBorders>
              <w:top w:val="nil"/>
              <w:left w:val="nil"/>
              <w:bottom w:val="nil"/>
              <w:right w:val="nil"/>
            </w:tcBorders>
            <w:shd w:val="clear" w:color="auto" w:fill="auto"/>
            <w:vAlign w:val="center"/>
            <w:hideMark/>
          </w:tcPr>
          <w:p w14:paraId="2D30C4F3" w14:textId="77777777" w:rsidR="00176380" w:rsidRDefault="00176380">
            <w:pPr>
              <w:jc w:val="center"/>
              <w:rPr>
                <w:sz w:val="16"/>
                <w:szCs w:val="16"/>
              </w:rPr>
            </w:pPr>
            <w:r>
              <w:rPr>
                <w:sz w:val="16"/>
                <w:szCs w:val="16"/>
              </w:rPr>
              <w:t>&lt; 0,1</w:t>
            </w:r>
          </w:p>
        </w:tc>
        <w:tc>
          <w:tcPr>
            <w:tcW w:w="250" w:type="pct"/>
            <w:tcBorders>
              <w:top w:val="nil"/>
              <w:left w:val="nil"/>
              <w:bottom w:val="nil"/>
              <w:right w:val="nil"/>
            </w:tcBorders>
            <w:shd w:val="clear" w:color="auto" w:fill="auto"/>
            <w:vAlign w:val="center"/>
            <w:hideMark/>
          </w:tcPr>
          <w:p w14:paraId="43005D71" w14:textId="77777777" w:rsidR="00176380" w:rsidRDefault="00176380">
            <w:pPr>
              <w:jc w:val="center"/>
              <w:rPr>
                <w:sz w:val="16"/>
                <w:szCs w:val="16"/>
              </w:rPr>
            </w:pPr>
            <w:r>
              <w:rPr>
                <w:sz w:val="16"/>
                <w:szCs w:val="16"/>
              </w:rPr>
              <w:t>0,1</w:t>
            </w:r>
          </w:p>
        </w:tc>
        <w:tc>
          <w:tcPr>
            <w:tcW w:w="250" w:type="pct"/>
            <w:tcBorders>
              <w:top w:val="nil"/>
              <w:left w:val="nil"/>
              <w:bottom w:val="nil"/>
              <w:right w:val="nil"/>
            </w:tcBorders>
            <w:shd w:val="clear" w:color="auto" w:fill="auto"/>
            <w:noWrap/>
            <w:vAlign w:val="center"/>
            <w:hideMark/>
          </w:tcPr>
          <w:p w14:paraId="000D969D" w14:textId="77777777" w:rsidR="00176380" w:rsidRDefault="00176380">
            <w:pPr>
              <w:jc w:val="center"/>
              <w:rPr>
                <w:sz w:val="16"/>
                <w:szCs w:val="16"/>
              </w:rPr>
            </w:pPr>
            <w:r>
              <w:rPr>
                <w:sz w:val="16"/>
                <w:szCs w:val="16"/>
              </w:rPr>
              <w:t>0,1</w:t>
            </w:r>
          </w:p>
        </w:tc>
        <w:tc>
          <w:tcPr>
            <w:tcW w:w="250" w:type="pct"/>
            <w:tcBorders>
              <w:top w:val="nil"/>
              <w:left w:val="nil"/>
              <w:bottom w:val="nil"/>
              <w:right w:val="nil"/>
            </w:tcBorders>
            <w:shd w:val="clear" w:color="auto" w:fill="auto"/>
            <w:noWrap/>
            <w:vAlign w:val="center"/>
            <w:hideMark/>
          </w:tcPr>
          <w:p w14:paraId="2457C15B" w14:textId="77777777" w:rsidR="00176380" w:rsidRDefault="00176380">
            <w:pPr>
              <w:jc w:val="center"/>
              <w:rPr>
                <w:sz w:val="16"/>
                <w:szCs w:val="16"/>
              </w:rPr>
            </w:pPr>
            <w:r>
              <w:rPr>
                <w:sz w:val="16"/>
                <w:szCs w:val="16"/>
              </w:rPr>
              <w:t>0,1</w:t>
            </w:r>
          </w:p>
        </w:tc>
        <w:tc>
          <w:tcPr>
            <w:tcW w:w="250" w:type="pct"/>
            <w:tcBorders>
              <w:top w:val="nil"/>
              <w:left w:val="nil"/>
              <w:bottom w:val="nil"/>
              <w:right w:val="nil"/>
            </w:tcBorders>
            <w:shd w:val="clear" w:color="auto" w:fill="auto"/>
            <w:vAlign w:val="center"/>
            <w:hideMark/>
          </w:tcPr>
          <w:p w14:paraId="55A17C00" w14:textId="77777777" w:rsidR="00176380" w:rsidRDefault="00176380">
            <w:pPr>
              <w:jc w:val="center"/>
              <w:rPr>
                <w:sz w:val="16"/>
                <w:szCs w:val="16"/>
              </w:rPr>
            </w:pPr>
            <w:r>
              <w:rPr>
                <w:sz w:val="16"/>
                <w:szCs w:val="16"/>
              </w:rPr>
              <w:t>0,1</w:t>
            </w:r>
          </w:p>
        </w:tc>
        <w:tc>
          <w:tcPr>
            <w:tcW w:w="263" w:type="pct"/>
            <w:tcBorders>
              <w:top w:val="nil"/>
              <w:left w:val="nil"/>
              <w:bottom w:val="nil"/>
              <w:right w:val="nil"/>
            </w:tcBorders>
            <w:shd w:val="clear" w:color="auto" w:fill="auto"/>
            <w:vAlign w:val="center"/>
            <w:hideMark/>
          </w:tcPr>
          <w:p w14:paraId="2F1EFF77" w14:textId="77777777" w:rsidR="00176380" w:rsidRDefault="00176380">
            <w:pPr>
              <w:jc w:val="center"/>
              <w:rPr>
                <w:sz w:val="16"/>
                <w:szCs w:val="16"/>
              </w:rPr>
            </w:pPr>
            <w:r>
              <w:rPr>
                <w:sz w:val="16"/>
                <w:szCs w:val="16"/>
              </w:rPr>
              <w:t>0,4</w:t>
            </w:r>
          </w:p>
        </w:tc>
        <w:tc>
          <w:tcPr>
            <w:tcW w:w="263" w:type="pct"/>
            <w:tcBorders>
              <w:top w:val="nil"/>
              <w:left w:val="nil"/>
              <w:bottom w:val="nil"/>
              <w:right w:val="nil"/>
            </w:tcBorders>
            <w:shd w:val="clear" w:color="auto" w:fill="auto"/>
            <w:vAlign w:val="center"/>
            <w:hideMark/>
          </w:tcPr>
          <w:p w14:paraId="533B4E8C" w14:textId="77777777" w:rsidR="00176380" w:rsidRDefault="00176380">
            <w:pPr>
              <w:jc w:val="center"/>
              <w:rPr>
                <w:sz w:val="16"/>
                <w:szCs w:val="16"/>
              </w:rPr>
            </w:pPr>
            <w:r>
              <w:rPr>
                <w:sz w:val="16"/>
                <w:szCs w:val="16"/>
              </w:rPr>
              <w:t>0,1</w:t>
            </w:r>
          </w:p>
        </w:tc>
        <w:tc>
          <w:tcPr>
            <w:tcW w:w="263" w:type="pct"/>
            <w:tcBorders>
              <w:top w:val="nil"/>
              <w:left w:val="nil"/>
              <w:bottom w:val="nil"/>
              <w:right w:val="nil"/>
            </w:tcBorders>
            <w:shd w:val="clear" w:color="auto" w:fill="auto"/>
            <w:vAlign w:val="center"/>
            <w:hideMark/>
          </w:tcPr>
          <w:p w14:paraId="2541344B" w14:textId="77777777" w:rsidR="00176380" w:rsidRDefault="00176380">
            <w:pPr>
              <w:jc w:val="center"/>
              <w:rPr>
                <w:sz w:val="16"/>
                <w:szCs w:val="16"/>
              </w:rPr>
            </w:pPr>
            <w:r>
              <w:rPr>
                <w:sz w:val="16"/>
                <w:szCs w:val="16"/>
              </w:rPr>
              <w:t>&lt; 0,1</w:t>
            </w:r>
          </w:p>
        </w:tc>
        <w:tc>
          <w:tcPr>
            <w:tcW w:w="250" w:type="pct"/>
            <w:tcBorders>
              <w:top w:val="nil"/>
              <w:left w:val="nil"/>
              <w:bottom w:val="nil"/>
              <w:right w:val="nil"/>
            </w:tcBorders>
            <w:shd w:val="clear" w:color="auto" w:fill="auto"/>
            <w:vAlign w:val="center"/>
            <w:hideMark/>
          </w:tcPr>
          <w:p w14:paraId="517FD625" w14:textId="77777777" w:rsidR="00176380" w:rsidRDefault="00176380">
            <w:pPr>
              <w:jc w:val="center"/>
              <w:rPr>
                <w:sz w:val="16"/>
                <w:szCs w:val="16"/>
              </w:rPr>
            </w:pPr>
            <w:r>
              <w:rPr>
                <w:sz w:val="16"/>
                <w:szCs w:val="16"/>
              </w:rPr>
              <w:t>&lt; 0,1</w:t>
            </w:r>
          </w:p>
        </w:tc>
        <w:tc>
          <w:tcPr>
            <w:tcW w:w="245" w:type="pct"/>
            <w:tcBorders>
              <w:top w:val="nil"/>
              <w:left w:val="nil"/>
              <w:bottom w:val="nil"/>
              <w:right w:val="nil"/>
            </w:tcBorders>
            <w:shd w:val="clear" w:color="auto" w:fill="auto"/>
            <w:vAlign w:val="center"/>
            <w:hideMark/>
          </w:tcPr>
          <w:p w14:paraId="30472C6C"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3580030D" w14:textId="77777777" w:rsidR="00176380" w:rsidRDefault="00176380">
            <w:pPr>
              <w:jc w:val="center"/>
              <w:rPr>
                <w:sz w:val="16"/>
                <w:szCs w:val="16"/>
              </w:rPr>
            </w:pPr>
            <w:r>
              <w:rPr>
                <w:sz w:val="16"/>
                <w:szCs w:val="16"/>
              </w:rPr>
              <w:t>0,5</w:t>
            </w:r>
          </w:p>
        </w:tc>
        <w:tc>
          <w:tcPr>
            <w:tcW w:w="262" w:type="pct"/>
            <w:tcBorders>
              <w:top w:val="nil"/>
              <w:left w:val="nil"/>
              <w:bottom w:val="nil"/>
              <w:right w:val="nil"/>
            </w:tcBorders>
            <w:shd w:val="clear" w:color="auto" w:fill="auto"/>
            <w:noWrap/>
            <w:vAlign w:val="bottom"/>
            <w:hideMark/>
          </w:tcPr>
          <w:p w14:paraId="0B01DF12" w14:textId="77777777" w:rsidR="00176380" w:rsidRDefault="00176380">
            <w:pPr>
              <w:jc w:val="center"/>
              <w:rPr>
                <w:sz w:val="16"/>
                <w:szCs w:val="16"/>
              </w:rPr>
            </w:pPr>
            <w:r>
              <w:rPr>
                <w:sz w:val="16"/>
                <w:szCs w:val="16"/>
              </w:rPr>
              <w:t>0,0</w:t>
            </w:r>
          </w:p>
        </w:tc>
        <w:tc>
          <w:tcPr>
            <w:tcW w:w="286" w:type="pct"/>
            <w:tcBorders>
              <w:top w:val="nil"/>
              <w:left w:val="nil"/>
              <w:bottom w:val="nil"/>
              <w:right w:val="nil"/>
            </w:tcBorders>
            <w:shd w:val="clear" w:color="auto" w:fill="auto"/>
            <w:noWrap/>
            <w:vAlign w:val="bottom"/>
            <w:hideMark/>
          </w:tcPr>
          <w:p w14:paraId="61D764BE" w14:textId="77777777" w:rsidR="00176380" w:rsidRDefault="00176380">
            <w:pPr>
              <w:jc w:val="center"/>
              <w:rPr>
                <w:sz w:val="16"/>
                <w:szCs w:val="16"/>
              </w:rPr>
            </w:pPr>
            <w:r>
              <w:rPr>
                <w:sz w:val="16"/>
                <w:szCs w:val="16"/>
              </w:rPr>
              <w:t>7,6</w:t>
            </w:r>
          </w:p>
        </w:tc>
      </w:tr>
      <w:tr w:rsidR="00176380" w14:paraId="0E3D743E" w14:textId="77777777" w:rsidTr="00EF2777">
        <w:trPr>
          <w:trHeight w:val="250"/>
        </w:trPr>
        <w:tc>
          <w:tcPr>
            <w:tcW w:w="548" w:type="pct"/>
            <w:tcBorders>
              <w:top w:val="nil"/>
              <w:left w:val="nil"/>
              <w:bottom w:val="nil"/>
              <w:right w:val="nil"/>
            </w:tcBorders>
            <w:shd w:val="clear" w:color="auto" w:fill="auto"/>
            <w:noWrap/>
            <w:vAlign w:val="center"/>
            <w:hideMark/>
          </w:tcPr>
          <w:p w14:paraId="10CC6140" w14:textId="77777777" w:rsidR="00176380" w:rsidRDefault="00176380">
            <w:pPr>
              <w:rPr>
                <w:b/>
                <w:bCs/>
                <w:sz w:val="16"/>
                <w:szCs w:val="16"/>
              </w:rPr>
            </w:pPr>
            <w:r>
              <w:rPr>
                <w:b/>
                <w:bCs/>
                <w:sz w:val="16"/>
                <w:szCs w:val="16"/>
              </w:rPr>
              <w:t>Total</w:t>
            </w:r>
            <w:r>
              <w:rPr>
                <w:b/>
                <w:bCs/>
                <w:sz w:val="16"/>
                <w:szCs w:val="16"/>
                <w:vertAlign w:val="superscript"/>
              </w:rPr>
              <w:t>2</w:t>
            </w:r>
          </w:p>
        </w:tc>
        <w:tc>
          <w:tcPr>
            <w:tcW w:w="594" w:type="pct"/>
            <w:tcBorders>
              <w:top w:val="nil"/>
              <w:left w:val="nil"/>
              <w:bottom w:val="nil"/>
              <w:right w:val="nil"/>
            </w:tcBorders>
            <w:shd w:val="clear" w:color="auto" w:fill="auto"/>
            <w:vAlign w:val="center"/>
            <w:hideMark/>
          </w:tcPr>
          <w:p w14:paraId="0BBB8D20" w14:textId="77777777" w:rsidR="00176380" w:rsidRDefault="00176380">
            <w:pPr>
              <w:rPr>
                <w:b/>
                <w:bCs/>
                <w:sz w:val="16"/>
                <w:szCs w:val="16"/>
              </w:rPr>
            </w:pPr>
            <w:r>
              <w:rPr>
                <w:b/>
                <w:bCs/>
                <w:sz w:val="16"/>
                <w:szCs w:val="16"/>
              </w:rPr>
              <w:t>Quota</w:t>
            </w:r>
            <w:r>
              <w:rPr>
                <w:sz w:val="16"/>
                <w:szCs w:val="16"/>
                <w:vertAlign w:val="superscript"/>
              </w:rPr>
              <w:t>3</w:t>
            </w:r>
          </w:p>
        </w:tc>
        <w:tc>
          <w:tcPr>
            <w:tcW w:w="250" w:type="pct"/>
            <w:tcBorders>
              <w:top w:val="nil"/>
              <w:left w:val="nil"/>
              <w:bottom w:val="nil"/>
              <w:right w:val="nil"/>
            </w:tcBorders>
            <w:shd w:val="clear" w:color="auto" w:fill="auto"/>
            <w:vAlign w:val="center"/>
            <w:hideMark/>
          </w:tcPr>
          <w:p w14:paraId="3521B2EF" w14:textId="77777777" w:rsidR="00176380" w:rsidRDefault="00176380">
            <w:pPr>
              <w:jc w:val="center"/>
              <w:rPr>
                <w:sz w:val="16"/>
                <w:szCs w:val="16"/>
              </w:rPr>
            </w:pPr>
            <w:r>
              <w:rPr>
                <w:sz w:val="16"/>
                <w:szCs w:val="16"/>
              </w:rPr>
              <w:t>23</w:t>
            </w:r>
          </w:p>
        </w:tc>
        <w:tc>
          <w:tcPr>
            <w:tcW w:w="247" w:type="pct"/>
            <w:tcBorders>
              <w:top w:val="nil"/>
              <w:left w:val="nil"/>
              <w:bottom w:val="nil"/>
              <w:right w:val="nil"/>
            </w:tcBorders>
            <w:shd w:val="clear" w:color="auto" w:fill="auto"/>
            <w:vAlign w:val="center"/>
            <w:hideMark/>
          </w:tcPr>
          <w:p w14:paraId="68DA380A" w14:textId="77777777" w:rsidR="00176380" w:rsidRDefault="00176380">
            <w:pPr>
              <w:jc w:val="center"/>
              <w:rPr>
                <w:sz w:val="16"/>
                <w:szCs w:val="16"/>
              </w:rPr>
            </w:pPr>
            <w:r>
              <w:rPr>
                <w:sz w:val="16"/>
                <w:szCs w:val="16"/>
              </w:rPr>
              <w:t>30</w:t>
            </w:r>
          </w:p>
        </w:tc>
        <w:tc>
          <w:tcPr>
            <w:tcW w:w="250" w:type="pct"/>
            <w:tcBorders>
              <w:top w:val="nil"/>
              <w:left w:val="nil"/>
              <w:bottom w:val="nil"/>
              <w:right w:val="nil"/>
            </w:tcBorders>
            <w:shd w:val="clear" w:color="auto" w:fill="auto"/>
            <w:vAlign w:val="center"/>
            <w:hideMark/>
          </w:tcPr>
          <w:p w14:paraId="16A4C0D6" w14:textId="77777777" w:rsidR="00176380" w:rsidRDefault="00176380">
            <w:pPr>
              <w:jc w:val="center"/>
              <w:rPr>
                <w:sz w:val="16"/>
                <w:szCs w:val="16"/>
              </w:rPr>
            </w:pPr>
            <w:r>
              <w:rPr>
                <w:sz w:val="16"/>
                <w:szCs w:val="16"/>
              </w:rPr>
              <w:t>29,6</w:t>
            </w:r>
          </w:p>
        </w:tc>
        <w:tc>
          <w:tcPr>
            <w:tcW w:w="250" w:type="pct"/>
            <w:tcBorders>
              <w:top w:val="nil"/>
              <w:left w:val="nil"/>
              <w:bottom w:val="nil"/>
              <w:right w:val="nil"/>
            </w:tcBorders>
            <w:shd w:val="clear" w:color="auto" w:fill="auto"/>
            <w:vAlign w:val="center"/>
            <w:hideMark/>
          </w:tcPr>
          <w:p w14:paraId="4986861E" w14:textId="77777777" w:rsidR="00176380" w:rsidRDefault="00176380">
            <w:pPr>
              <w:jc w:val="center"/>
              <w:rPr>
                <w:sz w:val="16"/>
                <w:szCs w:val="16"/>
              </w:rPr>
            </w:pPr>
            <w:r>
              <w:rPr>
                <w:sz w:val="16"/>
                <w:szCs w:val="16"/>
              </w:rPr>
              <w:t>22</w:t>
            </w:r>
          </w:p>
        </w:tc>
        <w:tc>
          <w:tcPr>
            <w:tcW w:w="250" w:type="pct"/>
            <w:tcBorders>
              <w:top w:val="nil"/>
              <w:left w:val="nil"/>
              <w:bottom w:val="nil"/>
              <w:right w:val="nil"/>
            </w:tcBorders>
            <w:shd w:val="clear" w:color="auto" w:fill="auto"/>
            <w:noWrap/>
            <w:vAlign w:val="center"/>
            <w:hideMark/>
          </w:tcPr>
          <w:p w14:paraId="48D40577" w14:textId="77777777" w:rsidR="00176380" w:rsidRDefault="00176380">
            <w:pPr>
              <w:jc w:val="center"/>
              <w:rPr>
                <w:sz w:val="16"/>
                <w:szCs w:val="16"/>
              </w:rPr>
            </w:pPr>
            <w:r>
              <w:rPr>
                <w:sz w:val="16"/>
                <w:szCs w:val="16"/>
              </w:rPr>
              <w:t>16</w:t>
            </w:r>
          </w:p>
        </w:tc>
        <w:tc>
          <w:tcPr>
            <w:tcW w:w="250" w:type="pct"/>
            <w:tcBorders>
              <w:top w:val="nil"/>
              <w:left w:val="nil"/>
              <w:bottom w:val="nil"/>
              <w:right w:val="nil"/>
            </w:tcBorders>
            <w:shd w:val="clear" w:color="auto" w:fill="auto"/>
            <w:noWrap/>
            <w:vAlign w:val="center"/>
            <w:hideMark/>
          </w:tcPr>
          <w:p w14:paraId="08E27489" w14:textId="77777777" w:rsidR="00176380" w:rsidRDefault="00176380">
            <w:pPr>
              <w:jc w:val="center"/>
              <w:rPr>
                <w:sz w:val="16"/>
                <w:szCs w:val="16"/>
              </w:rPr>
            </w:pPr>
            <w:r>
              <w:rPr>
                <w:sz w:val="16"/>
                <w:szCs w:val="16"/>
              </w:rPr>
              <w:t>10,4</w:t>
            </w:r>
          </w:p>
        </w:tc>
        <w:tc>
          <w:tcPr>
            <w:tcW w:w="250" w:type="pct"/>
            <w:tcBorders>
              <w:top w:val="nil"/>
              <w:left w:val="nil"/>
              <w:bottom w:val="nil"/>
              <w:right w:val="nil"/>
            </w:tcBorders>
            <w:shd w:val="clear" w:color="auto" w:fill="auto"/>
            <w:vAlign w:val="center"/>
            <w:hideMark/>
          </w:tcPr>
          <w:p w14:paraId="729D5820" w14:textId="77777777" w:rsidR="00176380" w:rsidRDefault="00176380">
            <w:pPr>
              <w:jc w:val="center"/>
              <w:rPr>
                <w:sz w:val="16"/>
                <w:szCs w:val="16"/>
              </w:rPr>
            </w:pPr>
            <w:r>
              <w:rPr>
                <w:sz w:val="16"/>
                <w:szCs w:val="16"/>
              </w:rPr>
              <w:t>27</w:t>
            </w:r>
          </w:p>
        </w:tc>
        <w:tc>
          <w:tcPr>
            <w:tcW w:w="263" w:type="pct"/>
            <w:tcBorders>
              <w:top w:val="nil"/>
              <w:left w:val="nil"/>
              <w:bottom w:val="nil"/>
              <w:right w:val="nil"/>
            </w:tcBorders>
            <w:shd w:val="clear" w:color="auto" w:fill="auto"/>
            <w:vAlign w:val="center"/>
            <w:hideMark/>
          </w:tcPr>
          <w:p w14:paraId="194AB1D9" w14:textId="77777777" w:rsidR="00176380" w:rsidRDefault="00176380">
            <w:pPr>
              <w:jc w:val="center"/>
              <w:rPr>
                <w:sz w:val="16"/>
                <w:szCs w:val="16"/>
              </w:rPr>
            </w:pPr>
            <w:r>
              <w:rPr>
                <w:sz w:val="16"/>
                <w:szCs w:val="16"/>
              </w:rPr>
              <w:t>37</w:t>
            </w:r>
          </w:p>
        </w:tc>
        <w:tc>
          <w:tcPr>
            <w:tcW w:w="263" w:type="pct"/>
            <w:tcBorders>
              <w:top w:val="nil"/>
              <w:left w:val="nil"/>
              <w:bottom w:val="nil"/>
              <w:right w:val="nil"/>
            </w:tcBorders>
            <w:shd w:val="clear" w:color="auto" w:fill="auto"/>
            <w:vAlign w:val="center"/>
            <w:hideMark/>
          </w:tcPr>
          <w:p w14:paraId="61958CCD" w14:textId="77777777" w:rsidR="00176380" w:rsidRDefault="00176380">
            <w:pPr>
              <w:jc w:val="center"/>
              <w:rPr>
                <w:sz w:val="16"/>
                <w:szCs w:val="16"/>
              </w:rPr>
            </w:pPr>
            <w:r>
              <w:rPr>
                <w:sz w:val="16"/>
                <w:szCs w:val="16"/>
              </w:rPr>
              <w:t>37</w:t>
            </w:r>
          </w:p>
        </w:tc>
        <w:tc>
          <w:tcPr>
            <w:tcW w:w="263" w:type="pct"/>
            <w:tcBorders>
              <w:top w:val="nil"/>
              <w:left w:val="nil"/>
              <w:bottom w:val="nil"/>
              <w:right w:val="nil"/>
            </w:tcBorders>
            <w:shd w:val="clear" w:color="auto" w:fill="auto"/>
            <w:vAlign w:val="center"/>
            <w:hideMark/>
          </w:tcPr>
          <w:p w14:paraId="41476C70" w14:textId="77777777" w:rsidR="00176380" w:rsidRDefault="00176380">
            <w:pPr>
              <w:jc w:val="center"/>
              <w:rPr>
                <w:sz w:val="16"/>
                <w:szCs w:val="16"/>
              </w:rPr>
            </w:pPr>
            <w:r>
              <w:rPr>
                <w:sz w:val="16"/>
                <w:szCs w:val="16"/>
              </w:rPr>
              <w:t>50,0</w:t>
            </w:r>
          </w:p>
        </w:tc>
        <w:tc>
          <w:tcPr>
            <w:tcW w:w="250" w:type="pct"/>
            <w:tcBorders>
              <w:top w:val="nil"/>
              <w:left w:val="nil"/>
              <w:bottom w:val="nil"/>
              <w:right w:val="nil"/>
            </w:tcBorders>
            <w:shd w:val="clear" w:color="auto" w:fill="auto"/>
            <w:vAlign w:val="center"/>
            <w:hideMark/>
          </w:tcPr>
          <w:p w14:paraId="6C17E7F7" w14:textId="77777777" w:rsidR="00176380" w:rsidRDefault="00176380">
            <w:pPr>
              <w:jc w:val="center"/>
              <w:rPr>
                <w:sz w:val="16"/>
                <w:szCs w:val="16"/>
              </w:rPr>
            </w:pPr>
            <w:r>
              <w:rPr>
                <w:sz w:val="16"/>
                <w:szCs w:val="16"/>
              </w:rPr>
              <w:t>40,0</w:t>
            </w:r>
          </w:p>
        </w:tc>
        <w:tc>
          <w:tcPr>
            <w:tcW w:w="245" w:type="pct"/>
            <w:tcBorders>
              <w:top w:val="nil"/>
              <w:left w:val="nil"/>
              <w:bottom w:val="nil"/>
              <w:right w:val="nil"/>
            </w:tcBorders>
            <w:shd w:val="clear" w:color="auto" w:fill="auto"/>
            <w:vAlign w:val="center"/>
            <w:hideMark/>
          </w:tcPr>
          <w:p w14:paraId="6C2AE26B" w14:textId="77777777" w:rsidR="00176380" w:rsidRDefault="00176380">
            <w:pPr>
              <w:jc w:val="center"/>
              <w:rPr>
                <w:sz w:val="16"/>
                <w:szCs w:val="16"/>
              </w:rPr>
            </w:pPr>
            <w:r>
              <w:rPr>
                <w:sz w:val="16"/>
                <w:szCs w:val="16"/>
              </w:rPr>
              <w:t>30,0</w:t>
            </w:r>
          </w:p>
        </w:tc>
        <w:tc>
          <w:tcPr>
            <w:tcW w:w="278" w:type="pct"/>
            <w:tcBorders>
              <w:top w:val="nil"/>
              <w:left w:val="nil"/>
              <w:bottom w:val="nil"/>
              <w:right w:val="nil"/>
            </w:tcBorders>
            <w:shd w:val="clear" w:color="auto" w:fill="auto"/>
            <w:noWrap/>
            <w:vAlign w:val="bottom"/>
            <w:hideMark/>
          </w:tcPr>
          <w:p w14:paraId="443D0E18" w14:textId="77777777" w:rsidR="00176380" w:rsidRDefault="00176380">
            <w:pPr>
              <w:jc w:val="center"/>
              <w:rPr>
                <w:sz w:val="16"/>
                <w:szCs w:val="16"/>
              </w:rPr>
            </w:pPr>
          </w:p>
        </w:tc>
        <w:tc>
          <w:tcPr>
            <w:tcW w:w="262" w:type="pct"/>
            <w:tcBorders>
              <w:top w:val="nil"/>
              <w:left w:val="nil"/>
              <w:bottom w:val="nil"/>
              <w:right w:val="nil"/>
            </w:tcBorders>
            <w:shd w:val="clear" w:color="auto" w:fill="auto"/>
            <w:noWrap/>
            <w:vAlign w:val="bottom"/>
            <w:hideMark/>
          </w:tcPr>
          <w:p w14:paraId="755285DC" w14:textId="77777777" w:rsidR="00176380" w:rsidRDefault="00176380">
            <w:pPr>
              <w:jc w:val="center"/>
              <w:rPr>
                <w:sz w:val="20"/>
                <w:szCs w:val="20"/>
              </w:rPr>
            </w:pPr>
          </w:p>
        </w:tc>
        <w:tc>
          <w:tcPr>
            <w:tcW w:w="286" w:type="pct"/>
            <w:tcBorders>
              <w:top w:val="nil"/>
              <w:left w:val="nil"/>
              <w:bottom w:val="nil"/>
              <w:right w:val="nil"/>
            </w:tcBorders>
            <w:shd w:val="clear" w:color="auto" w:fill="auto"/>
            <w:noWrap/>
            <w:vAlign w:val="bottom"/>
            <w:hideMark/>
          </w:tcPr>
          <w:p w14:paraId="79E62C46" w14:textId="77777777" w:rsidR="00176380" w:rsidRDefault="00176380">
            <w:pPr>
              <w:jc w:val="center"/>
              <w:rPr>
                <w:sz w:val="20"/>
                <w:szCs w:val="20"/>
              </w:rPr>
            </w:pPr>
          </w:p>
        </w:tc>
      </w:tr>
      <w:tr w:rsidR="00176380" w14:paraId="1D1AC754" w14:textId="77777777" w:rsidTr="00EF2777">
        <w:trPr>
          <w:trHeight w:val="250"/>
        </w:trPr>
        <w:tc>
          <w:tcPr>
            <w:tcW w:w="548" w:type="pct"/>
            <w:tcBorders>
              <w:top w:val="nil"/>
              <w:left w:val="nil"/>
              <w:bottom w:val="nil"/>
              <w:right w:val="nil"/>
            </w:tcBorders>
            <w:shd w:val="clear" w:color="auto" w:fill="auto"/>
            <w:noWrap/>
            <w:vAlign w:val="center"/>
            <w:hideMark/>
          </w:tcPr>
          <w:p w14:paraId="66A116E8" w14:textId="77777777" w:rsidR="00176380" w:rsidRDefault="00176380">
            <w:pPr>
              <w:jc w:val="center"/>
              <w:rPr>
                <w:sz w:val="20"/>
                <w:szCs w:val="20"/>
              </w:rPr>
            </w:pPr>
          </w:p>
        </w:tc>
        <w:tc>
          <w:tcPr>
            <w:tcW w:w="594" w:type="pct"/>
            <w:tcBorders>
              <w:top w:val="nil"/>
              <w:left w:val="nil"/>
              <w:bottom w:val="nil"/>
              <w:right w:val="nil"/>
            </w:tcBorders>
            <w:shd w:val="clear" w:color="auto" w:fill="auto"/>
            <w:vAlign w:val="center"/>
            <w:hideMark/>
          </w:tcPr>
          <w:p w14:paraId="4CF8BED0" w14:textId="77777777" w:rsidR="00176380" w:rsidRDefault="00176380">
            <w:pPr>
              <w:rPr>
                <w:b/>
                <w:bCs/>
                <w:sz w:val="16"/>
                <w:szCs w:val="16"/>
              </w:rPr>
            </w:pPr>
            <w:r>
              <w:rPr>
                <w:b/>
                <w:bCs/>
                <w:sz w:val="16"/>
                <w:szCs w:val="16"/>
              </w:rPr>
              <w:t>Prises</w:t>
            </w:r>
            <w:r>
              <w:rPr>
                <w:sz w:val="16"/>
                <w:szCs w:val="16"/>
                <w:vertAlign w:val="superscript"/>
              </w:rPr>
              <w:t>5,6</w:t>
            </w:r>
          </w:p>
        </w:tc>
        <w:tc>
          <w:tcPr>
            <w:tcW w:w="250" w:type="pct"/>
            <w:tcBorders>
              <w:top w:val="nil"/>
              <w:left w:val="nil"/>
              <w:bottom w:val="nil"/>
              <w:right w:val="nil"/>
            </w:tcBorders>
            <w:shd w:val="clear" w:color="auto" w:fill="auto"/>
            <w:vAlign w:val="center"/>
            <w:hideMark/>
          </w:tcPr>
          <w:p w14:paraId="7DBD070D" w14:textId="77777777" w:rsidR="00176380" w:rsidRDefault="00176380">
            <w:pPr>
              <w:jc w:val="center"/>
              <w:rPr>
                <w:sz w:val="16"/>
                <w:szCs w:val="16"/>
              </w:rPr>
            </w:pPr>
            <w:r>
              <w:rPr>
                <w:sz w:val="16"/>
                <w:szCs w:val="16"/>
              </w:rPr>
              <w:t>16,5</w:t>
            </w:r>
          </w:p>
        </w:tc>
        <w:tc>
          <w:tcPr>
            <w:tcW w:w="247" w:type="pct"/>
            <w:tcBorders>
              <w:top w:val="nil"/>
              <w:left w:val="nil"/>
              <w:bottom w:val="nil"/>
              <w:right w:val="nil"/>
            </w:tcBorders>
            <w:shd w:val="clear" w:color="auto" w:fill="auto"/>
            <w:vAlign w:val="center"/>
            <w:hideMark/>
          </w:tcPr>
          <w:p w14:paraId="57C48797" w14:textId="77777777" w:rsidR="00176380" w:rsidRDefault="00176380">
            <w:pPr>
              <w:jc w:val="center"/>
              <w:rPr>
                <w:sz w:val="16"/>
                <w:szCs w:val="16"/>
              </w:rPr>
            </w:pPr>
            <w:r>
              <w:rPr>
                <w:sz w:val="16"/>
                <w:szCs w:val="16"/>
              </w:rPr>
              <w:t>19,2</w:t>
            </w:r>
          </w:p>
        </w:tc>
        <w:tc>
          <w:tcPr>
            <w:tcW w:w="250" w:type="pct"/>
            <w:tcBorders>
              <w:top w:val="nil"/>
              <w:left w:val="nil"/>
              <w:bottom w:val="nil"/>
              <w:right w:val="nil"/>
            </w:tcBorders>
            <w:shd w:val="clear" w:color="auto" w:fill="auto"/>
            <w:vAlign w:val="center"/>
            <w:hideMark/>
          </w:tcPr>
          <w:p w14:paraId="29928E17" w14:textId="77777777" w:rsidR="00176380" w:rsidRDefault="00176380">
            <w:pPr>
              <w:jc w:val="center"/>
              <w:rPr>
                <w:sz w:val="16"/>
                <w:szCs w:val="16"/>
              </w:rPr>
            </w:pPr>
            <w:r>
              <w:rPr>
                <w:sz w:val="16"/>
                <w:szCs w:val="16"/>
              </w:rPr>
              <w:t>18,4</w:t>
            </w:r>
          </w:p>
        </w:tc>
        <w:tc>
          <w:tcPr>
            <w:tcW w:w="250" w:type="pct"/>
            <w:tcBorders>
              <w:top w:val="nil"/>
              <w:left w:val="nil"/>
              <w:bottom w:val="nil"/>
              <w:right w:val="nil"/>
            </w:tcBorders>
            <w:shd w:val="clear" w:color="auto" w:fill="auto"/>
            <w:vAlign w:val="center"/>
            <w:hideMark/>
          </w:tcPr>
          <w:p w14:paraId="7661C0D9" w14:textId="77777777" w:rsidR="00176380" w:rsidRDefault="00176380">
            <w:pPr>
              <w:jc w:val="center"/>
              <w:rPr>
                <w:sz w:val="16"/>
                <w:szCs w:val="16"/>
              </w:rPr>
            </w:pPr>
            <w:r>
              <w:rPr>
                <w:sz w:val="16"/>
                <w:szCs w:val="16"/>
              </w:rPr>
              <w:t>12,3</w:t>
            </w:r>
          </w:p>
        </w:tc>
        <w:tc>
          <w:tcPr>
            <w:tcW w:w="250" w:type="pct"/>
            <w:tcBorders>
              <w:top w:val="nil"/>
              <w:left w:val="nil"/>
              <w:bottom w:val="nil"/>
              <w:right w:val="nil"/>
            </w:tcBorders>
            <w:shd w:val="clear" w:color="auto" w:fill="auto"/>
            <w:noWrap/>
            <w:vAlign w:val="center"/>
            <w:hideMark/>
          </w:tcPr>
          <w:p w14:paraId="1F304363" w14:textId="77777777" w:rsidR="00176380" w:rsidRDefault="00176380">
            <w:pPr>
              <w:jc w:val="center"/>
              <w:rPr>
                <w:sz w:val="16"/>
                <w:szCs w:val="16"/>
              </w:rPr>
            </w:pPr>
            <w:r>
              <w:rPr>
                <w:sz w:val="16"/>
                <w:szCs w:val="16"/>
              </w:rPr>
              <w:t>5,5</w:t>
            </w:r>
          </w:p>
        </w:tc>
        <w:tc>
          <w:tcPr>
            <w:tcW w:w="250" w:type="pct"/>
            <w:tcBorders>
              <w:top w:val="nil"/>
              <w:left w:val="nil"/>
              <w:bottom w:val="nil"/>
              <w:right w:val="nil"/>
            </w:tcBorders>
            <w:shd w:val="clear" w:color="auto" w:fill="auto"/>
            <w:noWrap/>
            <w:vAlign w:val="center"/>
            <w:hideMark/>
          </w:tcPr>
          <w:p w14:paraId="1995FEDD" w14:textId="77777777" w:rsidR="00176380" w:rsidRDefault="00176380">
            <w:pPr>
              <w:jc w:val="center"/>
              <w:rPr>
                <w:sz w:val="16"/>
                <w:szCs w:val="16"/>
              </w:rPr>
            </w:pPr>
            <w:r>
              <w:rPr>
                <w:sz w:val="16"/>
                <w:szCs w:val="16"/>
              </w:rPr>
              <w:t>5,2</w:t>
            </w:r>
          </w:p>
        </w:tc>
        <w:tc>
          <w:tcPr>
            <w:tcW w:w="250" w:type="pct"/>
            <w:tcBorders>
              <w:top w:val="nil"/>
              <w:left w:val="nil"/>
              <w:bottom w:val="nil"/>
              <w:right w:val="nil"/>
            </w:tcBorders>
            <w:shd w:val="clear" w:color="auto" w:fill="auto"/>
            <w:vAlign w:val="center"/>
            <w:hideMark/>
          </w:tcPr>
          <w:p w14:paraId="2A5F2C38" w14:textId="77777777" w:rsidR="00176380" w:rsidRDefault="00176380">
            <w:pPr>
              <w:jc w:val="center"/>
              <w:rPr>
                <w:sz w:val="16"/>
                <w:szCs w:val="16"/>
              </w:rPr>
            </w:pPr>
            <w:r>
              <w:rPr>
                <w:sz w:val="16"/>
                <w:szCs w:val="16"/>
              </w:rPr>
              <w:t>14,3</w:t>
            </w:r>
          </w:p>
        </w:tc>
        <w:tc>
          <w:tcPr>
            <w:tcW w:w="263" w:type="pct"/>
            <w:tcBorders>
              <w:top w:val="nil"/>
              <w:left w:val="nil"/>
              <w:bottom w:val="nil"/>
              <w:right w:val="nil"/>
            </w:tcBorders>
            <w:shd w:val="clear" w:color="auto" w:fill="auto"/>
            <w:vAlign w:val="center"/>
            <w:hideMark/>
          </w:tcPr>
          <w:p w14:paraId="20302235" w14:textId="77777777" w:rsidR="00176380" w:rsidRDefault="00176380">
            <w:pPr>
              <w:jc w:val="center"/>
              <w:rPr>
                <w:sz w:val="16"/>
                <w:szCs w:val="16"/>
              </w:rPr>
            </w:pPr>
            <w:r>
              <w:rPr>
                <w:sz w:val="16"/>
                <w:szCs w:val="16"/>
              </w:rPr>
              <w:t>16,5</w:t>
            </w:r>
          </w:p>
        </w:tc>
        <w:tc>
          <w:tcPr>
            <w:tcW w:w="263" w:type="pct"/>
            <w:tcBorders>
              <w:top w:val="nil"/>
              <w:left w:val="nil"/>
              <w:bottom w:val="nil"/>
              <w:right w:val="nil"/>
            </w:tcBorders>
            <w:shd w:val="clear" w:color="auto" w:fill="auto"/>
            <w:vAlign w:val="center"/>
            <w:hideMark/>
          </w:tcPr>
          <w:p w14:paraId="719D1821" w14:textId="77777777" w:rsidR="00176380" w:rsidRDefault="00176380">
            <w:pPr>
              <w:jc w:val="center"/>
              <w:rPr>
                <w:sz w:val="16"/>
                <w:szCs w:val="16"/>
              </w:rPr>
            </w:pPr>
            <w:r>
              <w:rPr>
                <w:sz w:val="16"/>
                <w:szCs w:val="16"/>
              </w:rPr>
              <w:t>12,4</w:t>
            </w:r>
          </w:p>
        </w:tc>
        <w:tc>
          <w:tcPr>
            <w:tcW w:w="263" w:type="pct"/>
            <w:tcBorders>
              <w:top w:val="nil"/>
              <w:left w:val="nil"/>
              <w:bottom w:val="nil"/>
              <w:right w:val="nil"/>
            </w:tcBorders>
            <w:shd w:val="clear" w:color="auto" w:fill="auto"/>
            <w:vAlign w:val="center"/>
            <w:hideMark/>
          </w:tcPr>
          <w:p w14:paraId="32B391C4" w14:textId="77777777" w:rsidR="00176380" w:rsidRDefault="00176380">
            <w:pPr>
              <w:jc w:val="center"/>
              <w:rPr>
                <w:sz w:val="16"/>
                <w:szCs w:val="16"/>
              </w:rPr>
            </w:pPr>
            <w:r>
              <w:rPr>
                <w:sz w:val="16"/>
                <w:szCs w:val="16"/>
              </w:rPr>
              <w:t>13,9</w:t>
            </w:r>
          </w:p>
        </w:tc>
        <w:tc>
          <w:tcPr>
            <w:tcW w:w="250" w:type="pct"/>
            <w:tcBorders>
              <w:top w:val="nil"/>
              <w:left w:val="nil"/>
              <w:bottom w:val="nil"/>
              <w:right w:val="nil"/>
            </w:tcBorders>
            <w:shd w:val="clear" w:color="auto" w:fill="auto"/>
            <w:noWrap/>
            <w:vAlign w:val="bottom"/>
            <w:hideMark/>
          </w:tcPr>
          <w:p w14:paraId="2DEBD5B6" w14:textId="77777777" w:rsidR="00176380" w:rsidRDefault="00176380">
            <w:pPr>
              <w:jc w:val="center"/>
              <w:rPr>
                <w:sz w:val="16"/>
                <w:szCs w:val="16"/>
              </w:rPr>
            </w:pPr>
            <w:r>
              <w:rPr>
                <w:sz w:val="16"/>
                <w:szCs w:val="16"/>
              </w:rPr>
              <w:t>12,5</w:t>
            </w:r>
          </w:p>
        </w:tc>
        <w:tc>
          <w:tcPr>
            <w:tcW w:w="245" w:type="pct"/>
            <w:tcBorders>
              <w:top w:val="nil"/>
              <w:left w:val="nil"/>
              <w:bottom w:val="nil"/>
              <w:right w:val="nil"/>
            </w:tcBorders>
            <w:shd w:val="clear" w:color="auto" w:fill="auto"/>
            <w:vAlign w:val="center"/>
            <w:hideMark/>
          </w:tcPr>
          <w:p w14:paraId="4B7261DC"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7E211E58" w14:textId="77777777" w:rsidR="00176380" w:rsidRDefault="00176380">
            <w:pPr>
              <w:jc w:val="center"/>
              <w:rPr>
                <w:sz w:val="20"/>
                <w:szCs w:val="20"/>
              </w:rPr>
            </w:pPr>
          </w:p>
        </w:tc>
        <w:tc>
          <w:tcPr>
            <w:tcW w:w="262" w:type="pct"/>
            <w:tcBorders>
              <w:top w:val="nil"/>
              <w:left w:val="nil"/>
              <w:bottom w:val="nil"/>
              <w:right w:val="nil"/>
            </w:tcBorders>
            <w:shd w:val="clear" w:color="auto" w:fill="auto"/>
            <w:noWrap/>
            <w:vAlign w:val="bottom"/>
            <w:hideMark/>
          </w:tcPr>
          <w:p w14:paraId="5796059C" w14:textId="77777777" w:rsidR="00176380" w:rsidRDefault="00176380">
            <w:pPr>
              <w:jc w:val="center"/>
              <w:rPr>
                <w:sz w:val="20"/>
                <w:szCs w:val="20"/>
              </w:rPr>
            </w:pPr>
          </w:p>
        </w:tc>
        <w:tc>
          <w:tcPr>
            <w:tcW w:w="286" w:type="pct"/>
            <w:tcBorders>
              <w:top w:val="nil"/>
              <w:left w:val="nil"/>
              <w:bottom w:val="nil"/>
              <w:right w:val="nil"/>
            </w:tcBorders>
            <w:shd w:val="clear" w:color="auto" w:fill="auto"/>
            <w:noWrap/>
            <w:vAlign w:val="bottom"/>
            <w:hideMark/>
          </w:tcPr>
          <w:p w14:paraId="31622463" w14:textId="77777777" w:rsidR="00176380" w:rsidRDefault="00176380">
            <w:pPr>
              <w:jc w:val="center"/>
              <w:rPr>
                <w:sz w:val="20"/>
                <w:szCs w:val="20"/>
              </w:rPr>
            </w:pPr>
          </w:p>
        </w:tc>
      </w:tr>
      <w:tr w:rsidR="00176380" w14:paraId="1ED8AB78" w14:textId="77777777" w:rsidTr="00EF2777">
        <w:trPr>
          <w:trHeight w:val="250"/>
        </w:trPr>
        <w:tc>
          <w:tcPr>
            <w:tcW w:w="548" w:type="pct"/>
            <w:tcBorders>
              <w:top w:val="nil"/>
              <w:left w:val="nil"/>
              <w:bottom w:val="nil"/>
              <w:right w:val="nil"/>
            </w:tcBorders>
            <w:shd w:val="clear" w:color="auto" w:fill="auto"/>
            <w:noWrap/>
            <w:vAlign w:val="center"/>
            <w:hideMark/>
          </w:tcPr>
          <w:p w14:paraId="275DA16E" w14:textId="77777777" w:rsidR="00176380" w:rsidRDefault="00176380">
            <w:pPr>
              <w:jc w:val="center"/>
              <w:rPr>
                <w:sz w:val="20"/>
                <w:szCs w:val="20"/>
              </w:rPr>
            </w:pPr>
          </w:p>
        </w:tc>
        <w:tc>
          <w:tcPr>
            <w:tcW w:w="594" w:type="pct"/>
            <w:tcBorders>
              <w:top w:val="nil"/>
              <w:left w:val="nil"/>
              <w:bottom w:val="nil"/>
              <w:right w:val="nil"/>
            </w:tcBorders>
            <w:shd w:val="clear" w:color="auto" w:fill="auto"/>
            <w:vAlign w:val="center"/>
            <w:hideMark/>
          </w:tcPr>
          <w:p w14:paraId="4E06D07A" w14:textId="77777777" w:rsidR="00176380" w:rsidRDefault="00176380">
            <w:pPr>
              <w:rPr>
                <w:b/>
                <w:bCs/>
                <w:sz w:val="16"/>
                <w:szCs w:val="16"/>
              </w:rPr>
            </w:pPr>
            <w:r>
              <w:rPr>
                <w:b/>
                <w:bCs/>
                <w:sz w:val="16"/>
                <w:szCs w:val="16"/>
              </w:rPr>
              <w:t>Prises</w:t>
            </w:r>
          </w:p>
        </w:tc>
        <w:tc>
          <w:tcPr>
            <w:tcW w:w="250" w:type="pct"/>
            <w:tcBorders>
              <w:top w:val="nil"/>
              <w:left w:val="nil"/>
              <w:bottom w:val="nil"/>
              <w:right w:val="nil"/>
            </w:tcBorders>
            <w:shd w:val="clear" w:color="auto" w:fill="auto"/>
            <w:vAlign w:val="center"/>
            <w:hideMark/>
          </w:tcPr>
          <w:p w14:paraId="7678B827" w14:textId="77777777" w:rsidR="00176380" w:rsidRDefault="00176380">
            <w:pPr>
              <w:jc w:val="center"/>
              <w:rPr>
                <w:sz w:val="16"/>
                <w:szCs w:val="16"/>
              </w:rPr>
            </w:pPr>
            <w:r>
              <w:rPr>
                <w:sz w:val="16"/>
                <w:szCs w:val="16"/>
              </w:rPr>
              <w:t>16</w:t>
            </w:r>
          </w:p>
        </w:tc>
        <w:tc>
          <w:tcPr>
            <w:tcW w:w="247" w:type="pct"/>
            <w:tcBorders>
              <w:top w:val="nil"/>
              <w:left w:val="nil"/>
              <w:bottom w:val="nil"/>
              <w:right w:val="nil"/>
            </w:tcBorders>
            <w:shd w:val="clear" w:color="auto" w:fill="auto"/>
            <w:vAlign w:val="center"/>
            <w:hideMark/>
          </w:tcPr>
          <w:p w14:paraId="103D9639" w14:textId="77777777" w:rsidR="00176380" w:rsidRDefault="00176380">
            <w:pPr>
              <w:jc w:val="center"/>
              <w:rPr>
                <w:sz w:val="16"/>
                <w:szCs w:val="16"/>
              </w:rPr>
            </w:pPr>
            <w:r>
              <w:rPr>
                <w:sz w:val="16"/>
                <w:szCs w:val="16"/>
              </w:rPr>
              <w:t>19,9</w:t>
            </w:r>
          </w:p>
        </w:tc>
        <w:tc>
          <w:tcPr>
            <w:tcW w:w="250" w:type="pct"/>
            <w:tcBorders>
              <w:top w:val="nil"/>
              <w:left w:val="nil"/>
              <w:bottom w:val="nil"/>
              <w:right w:val="nil"/>
            </w:tcBorders>
            <w:shd w:val="clear" w:color="auto" w:fill="auto"/>
            <w:vAlign w:val="center"/>
            <w:hideMark/>
          </w:tcPr>
          <w:p w14:paraId="25B8CB78" w14:textId="77777777" w:rsidR="00176380" w:rsidRDefault="00176380">
            <w:pPr>
              <w:jc w:val="center"/>
              <w:rPr>
                <w:sz w:val="16"/>
                <w:szCs w:val="16"/>
              </w:rPr>
            </w:pPr>
            <w:r>
              <w:rPr>
                <w:sz w:val="16"/>
                <w:szCs w:val="16"/>
              </w:rPr>
              <w:t>18,8</w:t>
            </w:r>
          </w:p>
        </w:tc>
        <w:tc>
          <w:tcPr>
            <w:tcW w:w="250" w:type="pct"/>
            <w:tcBorders>
              <w:top w:val="nil"/>
              <w:left w:val="nil"/>
              <w:bottom w:val="nil"/>
              <w:right w:val="nil"/>
            </w:tcBorders>
            <w:shd w:val="clear" w:color="auto" w:fill="auto"/>
            <w:vAlign w:val="center"/>
            <w:hideMark/>
          </w:tcPr>
          <w:p w14:paraId="3D628E5D" w14:textId="77777777" w:rsidR="00176380" w:rsidRDefault="00176380">
            <w:pPr>
              <w:jc w:val="center"/>
              <w:rPr>
                <w:sz w:val="16"/>
                <w:szCs w:val="16"/>
              </w:rPr>
            </w:pPr>
            <w:r>
              <w:rPr>
                <w:sz w:val="16"/>
                <w:szCs w:val="16"/>
              </w:rPr>
              <w:t>12,7</w:t>
            </w:r>
          </w:p>
        </w:tc>
        <w:tc>
          <w:tcPr>
            <w:tcW w:w="250" w:type="pct"/>
            <w:tcBorders>
              <w:top w:val="nil"/>
              <w:left w:val="nil"/>
              <w:bottom w:val="nil"/>
              <w:right w:val="nil"/>
            </w:tcBorders>
            <w:shd w:val="clear" w:color="auto" w:fill="auto"/>
            <w:noWrap/>
            <w:vAlign w:val="center"/>
            <w:hideMark/>
          </w:tcPr>
          <w:p w14:paraId="08FC627A" w14:textId="77777777" w:rsidR="00176380" w:rsidRDefault="00176380">
            <w:pPr>
              <w:jc w:val="center"/>
              <w:rPr>
                <w:sz w:val="16"/>
                <w:szCs w:val="16"/>
              </w:rPr>
            </w:pPr>
            <w:r>
              <w:rPr>
                <w:sz w:val="16"/>
                <w:szCs w:val="16"/>
              </w:rPr>
              <w:t>5,6</w:t>
            </w:r>
          </w:p>
        </w:tc>
        <w:tc>
          <w:tcPr>
            <w:tcW w:w="250" w:type="pct"/>
            <w:tcBorders>
              <w:top w:val="nil"/>
              <w:left w:val="nil"/>
              <w:bottom w:val="nil"/>
              <w:right w:val="nil"/>
            </w:tcBorders>
            <w:shd w:val="clear" w:color="auto" w:fill="auto"/>
            <w:noWrap/>
            <w:vAlign w:val="center"/>
            <w:hideMark/>
          </w:tcPr>
          <w:p w14:paraId="555A89E2" w14:textId="77777777" w:rsidR="00176380" w:rsidRDefault="00176380">
            <w:pPr>
              <w:jc w:val="center"/>
              <w:rPr>
                <w:sz w:val="16"/>
                <w:szCs w:val="16"/>
              </w:rPr>
            </w:pPr>
            <w:r>
              <w:rPr>
                <w:sz w:val="16"/>
                <w:szCs w:val="16"/>
              </w:rPr>
              <w:t>5,1</w:t>
            </w:r>
          </w:p>
        </w:tc>
        <w:tc>
          <w:tcPr>
            <w:tcW w:w="250" w:type="pct"/>
            <w:tcBorders>
              <w:top w:val="nil"/>
              <w:left w:val="nil"/>
              <w:bottom w:val="nil"/>
              <w:right w:val="nil"/>
            </w:tcBorders>
            <w:shd w:val="clear" w:color="auto" w:fill="auto"/>
            <w:vAlign w:val="center"/>
            <w:hideMark/>
          </w:tcPr>
          <w:p w14:paraId="0D687959" w14:textId="77777777" w:rsidR="00176380" w:rsidRDefault="00176380">
            <w:pPr>
              <w:jc w:val="center"/>
              <w:rPr>
                <w:sz w:val="16"/>
                <w:szCs w:val="16"/>
              </w:rPr>
            </w:pPr>
            <w:r>
              <w:rPr>
                <w:sz w:val="16"/>
                <w:szCs w:val="16"/>
              </w:rPr>
              <w:t>14,2</w:t>
            </w:r>
          </w:p>
        </w:tc>
        <w:tc>
          <w:tcPr>
            <w:tcW w:w="263" w:type="pct"/>
            <w:tcBorders>
              <w:top w:val="nil"/>
              <w:left w:val="nil"/>
              <w:bottom w:val="nil"/>
              <w:right w:val="nil"/>
            </w:tcBorders>
            <w:shd w:val="clear" w:color="auto" w:fill="auto"/>
            <w:vAlign w:val="center"/>
            <w:hideMark/>
          </w:tcPr>
          <w:p w14:paraId="7C04016D" w14:textId="77777777" w:rsidR="00176380" w:rsidRDefault="00176380">
            <w:pPr>
              <w:jc w:val="center"/>
              <w:rPr>
                <w:sz w:val="16"/>
                <w:szCs w:val="16"/>
              </w:rPr>
            </w:pPr>
            <w:r>
              <w:rPr>
                <w:sz w:val="16"/>
                <w:szCs w:val="16"/>
              </w:rPr>
              <w:t>16,1</w:t>
            </w:r>
          </w:p>
        </w:tc>
        <w:tc>
          <w:tcPr>
            <w:tcW w:w="263" w:type="pct"/>
            <w:tcBorders>
              <w:top w:val="nil"/>
              <w:left w:val="nil"/>
              <w:bottom w:val="nil"/>
              <w:right w:val="nil"/>
            </w:tcBorders>
            <w:shd w:val="clear" w:color="auto" w:fill="auto"/>
            <w:vAlign w:val="center"/>
            <w:hideMark/>
          </w:tcPr>
          <w:p w14:paraId="40B7B858" w14:textId="77777777" w:rsidR="00176380" w:rsidRDefault="00176380">
            <w:pPr>
              <w:jc w:val="center"/>
              <w:rPr>
                <w:sz w:val="16"/>
                <w:szCs w:val="16"/>
              </w:rPr>
            </w:pPr>
            <w:r>
              <w:rPr>
                <w:sz w:val="16"/>
                <w:szCs w:val="16"/>
              </w:rPr>
              <w:t>12,4</w:t>
            </w:r>
          </w:p>
        </w:tc>
        <w:tc>
          <w:tcPr>
            <w:tcW w:w="263" w:type="pct"/>
            <w:tcBorders>
              <w:top w:val="nil"/>
              <w:left w:val="nil"/>
              <w:bottom w:val="nil"/>
              <w:right w:val="nil"/>
            </w:tcBorders>
            <w:shd w:val="clear" w:color="auto" w:fill="auto"/>
            <w:vAlign w:val="center"/>
            <w:hideMark/>
          </w:tcPr>
          <w:p w14:paraId="6327EAA6" w14:textId="77777777" w:rsidR="00176380" w:rsidRDefault="00176380">
            <w:pPr>
              <w:jc w:val="center"/>
              <w:rPr>
                <w:sz w:val="16"/>
                <w:szCs w:val="16"/>
              </w:rPr>
            </w:pPr>
            <w:r>
              <w:rPr>
                <w:sz w:val="16"/>
                <w:szCs w:val="16"/>
              </w:rPr>
              <w:t>13,7</w:t>
            </w:r>
          </w:p>
        </w:tc>
        <w:tc>
          <w:tcPr>
            <w:tcW w:w="250" w:type="pct"/>
            <w:tcBorders>
              <w:top w:val="nil"/>
              <w:left w:val="nil"/>
              <w:bottom w:val="nil"/>
              <w:right w:val="nil"/>
            </w:tcBorders>
            <w:shd w:val="clear" w:color="auto" w:fill="auto"/>
            <w:noWrap/>
            <w:vAlign w:val="bottom"/>
            <w:hideMark/>
          </w:tcPr>
          <w:p w14:paraId="0D61C49D" w14:textId="77777777" w:rsidR="00176380" w:rsidRDefault="00176380">
            <w:pPr>
              <w:jc w:val="center"/>
              <w:rPr>
                <w:sz w:val="16"/>
                <w:szCs w:val="16"/>
              </w:rPr>
            </w:pPr>
            <w:r>
              <w:rPr>
                <w:sz w:val="16"/>
                <w:szCs w:val="16"/>
              </w:rPr>
              <w:t>12,9</w:t>
            </w:r>
          </w:p>
        </w:tc>
        <w:tc>
          <w:tcPr>
            <w:tcW w:w="245" w:type="pct"/>
            <w:tcBorders>
              <w:top w:val="nil"/>
              <w:left w:val="nil"/>
              <w:bottom w:val="nil"/>
              <w:right w:val="nil"/>
            </w:tcBorders>
            <w:shd w:val="clear" w:color="auto" w:fill="auto"/>
            <w:vAlign w:val="center"/>
            <w:hideMark/>
          </w:tcPr>
          <w:p w14:paraId="7AC07A7F" w14:textId="77777777" w:rsidR="00176380" w:rsidRDefault="00176380">
            <w:pPr>
              <w:jc w:val="center"/>
              <w:rPr>
                <w:sz w:val="16"/>
                <w:szCs w:val="16"/>
              </w:rPr>
            </w:pPr>
          </w:p>
        </w:tc>
        <w:tc>
          <w:tcPr>
            <w:tcW w:w="278" w:type="pct"/>
            <w:tcBorders>
              <w:top w:val="nil"/>
              <w:left w:val="nil"/>
              <w:bottom w:val="nil"/>
              <w:right w:val="nil"/>
            </w:tcBorders>
            <w:shd w:val="clear" w:color="auto" w:fill="auto"/>
            <w:noWrap/>
            <w:vAlign w:val="bottom"/>
            <w:hideMark/>
          </w:tcPr>
          <w:p w14:paraId="45285492" w14:textId="77777777" w:rsidR="00176380" w:rsidRDefault="00176380">
            <w:pPr>
              <w:jc w:val="center"/>
              <w:rPr>
                <w:sz w:val="16"/>
                <w:szCs w:val="16"/>
              </w:rPr>
            </w:pPr>
            <w:r>
              <w:rPr>
                <w:sz w:val="16"/>
                <w:szCs w:val="16"/>
              </w:rPr>
              <w:t>8,7</w:t>
            </w:r>
          </w:p>
        </w:tc>
        <w:tc>
          <w:tcPr>
            <w:tcW w:w="262" w:type="pct"/>
            <w:tcBorders>
              <w:top w:val="nil"/>
              <w:left w:val="nil"/>
              <w:bottom w:val="nil"/>
              <w:right w:val="nil"/>
            </w:tcBorders>
            <w:shd w:val="clear" w:color="auto" w:fill="auto"/>
            <w:noWrap/>
            <w:vAlign w:val="bottom"/>
            <w:hideMark/>
          </w:tcPr>
          <w:p w14:paraId="37413763" w14:textId="77777777" w:rsidR="00176380" w:rsidRDefault="00176380">
            <w:pPr>
              <w:jc w:val="center"/>
              <w:rPr>
                <w:sz w:val="16"/>
                <w:szCs w:val="16"/>
              </w:rPr>
            </w:pPr>
            <w:r>
              <w:rPr>
                <w:sz w:val="16"/>
                <w:szCs w:val="16"/>
              </w:rPr>
              <w:t>2,1</w:t>
            </w:r>
          </w:p>
        </w:tc>
        <w:tc>
          <w:tcPr>
            <w:tcW w:w="286" w:type="pct"/>
            <w:tcBorders>
              <w:top w:val="nil"/>
              <w:left w:val="nil"/>
              <w:bottom w:val="nil"/>
              <w:right w:val="nil"/>
            </w:tcBorders>
            <w:shd w:val="clear" w:color="auto" w:fill="auto"/>
            <w:noWrap/>
            <w:vAlign w:val="bottom"/>
            <w:hideMark/>
          </w:tcPr>
          <w:p w14:paraId="5BF69C57" w14:textId="77777777" w:rsidR="00176380" w:rsidRDefault="00176380">
            <w:pPr>
              <w:jc w:val="center"/>
              <w:rPr>
                <w:sz w:val="16"/>
                <w:szCs w:val="16"/>
              </w:rPr>
            </w:pPr>
            <w:r>
              <w:rPr>
                <w:sz w:val="16"/>
                <w:szCs w:val="16"/>
              </w:rPr>
              <w:t>23,3</w:t>
            </w:r>
          </w:p>
        </w:tc>
      </w:tr>
      <w:tr w:rsidR="00176380" w14:paraId="2E3860CE" w14:textId="77777777" w:rsidTr="00EF2777">
        <w:trPr>
          <w:trHeight w:val="460"/>
        </w:trPr>
        <w:tc>
          <w:tcPr>
            <w:tcW w:w="548" w:type="pct"/>
            <w:tcBorders>
              <w:top w:val="nil"/>
              <w:left w:val="nil"/>
              <w:bottom w:val="nil"/>
              <w:right w:val="nil"/>
            </w:tcBorders>
            <w:shd w:val="clear" w:color="auto" w:fill="auto"/>
            <w:vAlign w:val="bottom"/>
            <w:hideMark/>
          </w:tcPr>
          <w:p w14:paraId="7936E9B7" w14:textId="1BE20B7D" w:rsidR="00176380" w:rsidRDefault="00176380">
            <w:pPr>
              <w:rPr>
                <w:b/>
                <w:bCs/>
                <w:sz w:val="16"/>
                <w:szCs w:val="16"/>
              </w:rPr>
            </w:pPr>
            <w:r>
              <w:rPr>
                <w:b/>
                <w:bCs/>
                <w:sz w:val="16"/>
                <w:szCs w:val="16"/>
              </w:rPr>
              <w:t>Indice moyen de la biomasse du relevé</w:t>
            </w:r>
            <w:r>
              <w:rPr>
                <w:b/>
                <w:bCs/>
                <w:sz w:val="16"/>
                <w:szCs w:val="16"/>
                <w:vertAlign w:val="superscript"/>
              </w:rPr>
              <w:t>6</w:t>
            </w:r>
          </w:p>
        </w:tc>
        <w:tc>
          <w:tcPr>
            <w:tcW w:w="594" w:type="pct"/>
            <w:tcBorders>
              <w:top w:val="nil"/>
              <w:left w:val="nil"/>
              <w:bottom w:val="nil"/>
              <w:right w:val="nil"/>
            </w:tcBorders>
            <w:shd w:val="clear" w:color="auto" w:fill="auto"/>
            <w:noWrap/>
            <w:vAlign w:val="bottom"/>
            <w:hideMark/>
          </w:tcPr>
          <w:p w14:paraId="4AB10A7D" w14:textId="77777777" w:rsidR="00176380" w:rsidRDefault="00176380">
            <w:pPr>
              <w:rPr>
                <w:b/>
                <w:bCs/>
                <w:sz w:val="16"/>
                <w:szCs w:val="16"/>
              </w:rPr>
            </w:pPr>
          </w:p>
        </w:tc>
        <w:tc>
          <w:tcPr>
            <w:tcW w:w="250" w:type="pct"/>
            <w:tcBorders>
              <w:top w:val="nil"/>
              <w:left w:val="nil"/>
              <w:bottom w:val="nil"/>
              <w:right w:val="nil"/>
            </w:tcBorders>
            <w:shd w:val="clear" w:color="auto" w:fill="auto"/>
            <w:noWrap/>
            <w:vAlign w:val="bottom"/>
            <w:hideMark/>
          </w:tcPr>
          <w:p w14:paraId="04EC44BD" w14:textId="77777777" w:rsidR="00176380" w:rsidRDefault="00176380">
            <w:pPr>
              <w:jc w:val="center"/>
              <w:rPr>
                <w:sz w:val="16"/>
                <w:szCs w:val="16"/>
              </w:rPr>
            </w:pPr>
            <w:r>
              <w:rPr>
                <w:sz w:val="16"/>
                <w:szCs w:val="16"/>
              </w:rPr>
              <w:t>74,4</w:t>
            </w:r>
          </w:p>
        </w:tc>
        <w:tc>
          <w:tcPr>
            <w:tcW w:w="247" w:type="pct"/>
            <w:tcBorders>
              <w:top w:val="nil"/>
              <w:left w:val="nil"/>
              <w:bottom w:val="nil"/>
              <w:right w:val="nil"/>
            </w:tcBorders>
            <w:shd w:val="clear" w:color="auto" w:fill="auto"/>
            <w:noWrap/>
            <w:vAlign w:val="bottom"/>
            <w:hideMark/>
          </w:tcPr>
          <w:p w14:paraId="7715CCA4" w14:textId="77777777" w:rsidR="00176380" w:rsidRDefault="00176380">
            <w:pPr>
              <w:jc w:val="center"/>
              <w:rPr>
                <w:sz w:val="16"/>
                <w:szCs w:val="16"/>
              </w:rPr>
            </w:pPr>
            <w:r>
              <w:rPr>
                <w:sz w:val="16"/>
                <w:szCs w:val="16"/>
              </w:rPr>
              <w:t>54,3</w:t>
            </w:r>
          </w:p>
        </w:tc>
        <w:tc>
          <w:tcPr>
            <w:tcW w:w="250" w:type="pct"/>
            <w:tcBorders>
              <w:top w:val="nil"/>
              <w:left w:val="nil"/>
              <w:bottom w:val="nil"/>
              <w:right w:val="nil"/>
            </w:tcBorders>
            <w:shd w:val="clear" w:color="auto" w:fill="auto"/>
            <w:noWrap/>
            <w:vAlign w:val="bottom"/>
            <w:hideMark/>
          </w:tcPr>
          <w:p w14:paraId="1A58A272" w14:textId="77777777" w:rsidR="00176380" w:rsidRDefault="00176380">
            <w:pPr>
              <w:jc w:val="center"/>
              <w:rPr>
                <w:sz w:val="16"/>
                <w:szCs w:val="16"/>
              </w:rPr>
            </w:pPr>
            <w:r>
              <w:rPr>
                <w:sz w:val="16"/>
                <w:szCs w:val="16"/>
              </w:rPr>
              <w:t>50,8</w:t>
            </w:r>
          </w:p>
        </w:tc>
        <w:tc>
          <w:tcPr>
            <w:tcW w:w="250" w:type="pct"/>
            <w:tcBorders>
              <w:top w:val="nil"/>
              <w:left w:val="nil"/>
              <w:bottom w:val="nil"/>
              <w:right w:val="nil"/>
            </w:tcBorders>
            <w:shd w:val="clear" w:color="auto" w:fill="auto"/>
            <w:noWrap/>
            <w:vAlign w:val="bottom"/>
            <w:hideMark/>
          </w:tcPr>
          <w:p w14:paraId="555CB46C" w14:textId="77777777" w:rsidR="00176380" w:rsidRDefault="00176380">
            <w:pPr>
              <w:jc w:val="center"/>
              <w:rPr>
                <w:sz w:val="16"/>
                <w:szCs w:val="16"/>
              </w:rPr>
            </w:pPr>
            <w:r>
              <w:rPr>
                <w:sz w:val="16"/>
                <w:szCs w:val="16"/>
              </w:rPr>
              <w:t>33,4</w:t>
            </w:r>
          </w:p>
        </w:tc>
        <w:tc>
          <w:tcPr>
            <w:tcW w:w="250" w:type="pct"/>
            <w:tcBorders>
              <w:top w:val="nil"/>
              <w:left w:val="nil"/>
              <w:bottom w:val="nil"/>
              <w:right w:val="nil"/>
            </w:tcBorders>
            <w:shd w:val="clear" w:color="auto" w:fill="auto"/>
            <w:noWrap/>
            <w:vAlign w:val="bottom"/>
            <w:hideMark/>
          </w:tcPr>
          <w:p w14:paraId="6082783C" w14:textId="77777777" w:rsidR="00176380" w:rsidRDefault="00176380">
            <w:pPr>
              <w:jc w:val="center"/>
              <w:rPr>
                <w:sz w:val="16"/>
                <w:szCs w:val="16"/>
              </w:rPr>
            </w:pPr>
            <w:r>
              <w:rPr>
                <w:sz w:val="16"/>
                <w:szCs w:val="16"/>
              </w:rPr>
              <w:t>59,7</w:t>
            </w:r>
          </w:p>
        </w:tc>
        <w:tc>
          <w:tcPr>
            <w:tcW w:w="250" w:type="pct"/>
            <w:tcBorders>
              <w:top w:val="nil"/>
              <w:left w:val="nil"/>
              <w:bottom w:val="nil"/>
              <w:right w:val="nil"/>
            </w:tcBorders>
            <w:shd w:val="clear" w:color="auto" w:fill="auto"/>
            <w:noWrap/>
            <w:vAlign w:val="bottom"/>
            <w:hideMark/>
          </w:tcPr>
          <w:p w14:paraId="084B904F" w14:textId="77777777" w:rsidR="00176380" w:rsidRDefault="00176380">
            <w:pPr>
              <w:jc w:val="center"/>
              <w:rPr>
                <w:sz w:val="16"/>
                <w:szCs w:val="16"/>
              </w:rPr>
            </w:pPr>
            <w:r>
              <w:rPr>
                <w:sz w:val="16"/>
                <w:szCs w:val="16"/>
              </w:rPr>
              <w:t>90,7</w:t>
            </w:r>
          </w:p>
        </w:tc>
        <w:tc>
          <w:tcPr>
            <w:tcW w:w="250" w:type="pct"/>
            <w:tcBorders>
              <w:top w:val="nil"/>
              <w:left w:val="nil"/>
              <w:bottom w:val="nil"/>
              <w:right w:val="nil"/>
            </w:tcBorders>
            <w:shd w:val="clear" w:color="auto" w:fill="auto"/>
            <w:noWrap/>
            <w:vAlign w:val="bottom"/>
            <w:hideMark/>
          </w:tcPr>
          <w:p w14:paraId="55EBD980" w14:textId="77777777" w:rsidR="00176380" w:rsidRDefault="00176380">
            <w:pPr>
              <w:jc w:val="center"/>
              <w:rPr>
                <w:sz w:val="16"/>
                <w:szCs w:val="16"/>
              </w:rPr>
            </w:pPr>
            <w:r>
              <w:rPr>
                <w:sz w:val="16"/>
                <w:szCs w:val="16"/>
              </w:rPr>
              <w:t>76,1</w:t>
            </w:r>
          </w:p>
        </w:tc>
        <w:tc>
          <w:tcPr>
            <w:tcW w:w="263" w:type="pct"/>
            <w:tcBorders>
              <w:top w:val="nil"/>
              <w:left w:val="nil"/>
              <w:bottom w:val="nil"/>
              <w:right w:val="nil"/>
            </w:tcBorders>
            <w:shd w:val="clear" w:color="auto" w:fill="auto"/>
            <w:noWrap/>
            <w:vAlign w:val="bottom"/>
            <w:hideMark/>
          </w:tcPr>
          <w:p w14:paraId="5403E32F" w14:textId="77777777" w:rsidR="00176380" w:rsidRDefault="00176380">
            <w:pPr>
              <w:jc w:val="center"/>
              <w:rPr>
                <w:sz w:val="16"/>
                <w:szCs w:val="16"/>
              </w:rPr>
            </w:pPr>
            <w:r>
              <w:rPr>
                <w:sz w:val="16"/>
                <w:szCs w:val="16"/>
              </w:rPr>
              <w:t>138,0</w:t>
            </w:r>
          </w:p>
        </w:tc>
        <w:tc>
          <w:tcPr>
            <w:tcW w:w="263" w:type="pct"/>
            <w:tcBorders>
              <w:top w:val="nil"/>
              <w:left w:val="nil"/>
              <w:bottom w:val="nil"/>
              <w:right w:val="nil"/>
            </w:tcBorders>
            <w:shd w:val="clear" w:color="auto" w:fill="auto"/>
            <w:noWrap/>
            <w:vAlign w:val="bottom"/>
            <w:hideMark/>
          </w:tcPr>
          <w:p w14:paraId="342F5A31" w14:textId="77777777" w:rsidR="00176380" w:rsidRDefault="00176380">
            <w:pPr>
              <w:jc w:val="center"/>
              <w:rPr>
                <w:sz w:val="16"/>
                <w:szCs w:val="16"/>
              </w:rPr>
            </w:pPr>
            <w:r>
              <w:rPr>
                <w:sz w:val="16"/>
                <w:szCs w:val="16"/>
              </w:rPr>
              <w:t>176,3</w:t>
            </w:r>
          </w:p>
        </w:tc>
        <w:tc>
          <w:tcPr>
            <w:tcW w:w="263" w:type="pct"/>
            <w:tcBorders>
              <w:top w:val="nil"/>
              <w:left w:val="nil"/>
              <w:bottom w:val="nil"/>
              <w:right w:val="nil"/>
            </w:tcBorders>
            <w:shd w:val="clear" w:color="auto" w:fill="auto"/>
            <w:noWrap/>
            <w:vAlign w:val="bottom"/>
            <w:hideMark/>
          </w:tcPr>
          <w:p w14:paraId="17A3D4A8" w14:textId="77777777" w:rsidR="00176380" w:rsidRDefault="00176380">
            <w:pPr>
              <w:jc w:val="center"/>
              <w:rPr>
                <w:sz w:val="16"/>
                <w:szCs w:val="16"/>
              </w:rPr>
            </w:pPr>
            <w:r>
              <w:rPr>
                <w:sz w:val="16"/>
                <w:szCs w:val="16"/>
              </w:rPr>
              <w:t>104,8</w:t>
            </w:r>
          </w:p>
        </w:tc>
        <w:tc>
          <w:tcPr>
            <w:tcW w:w="250" w:type="pct"/>
            <w:tcBorders>
              <w:top w:val="nil"/>
              <w:left w:val="nil"/>
              <w:bottom w:val="nil"/>
              <w:right w:val="nil"/>
            </w:tcBorders>
            <w:shd w:val="clear" w:color="auto" w:fill="auto"/>
            <w:noWrap/>
            <w:vAlign w:val="bottom"/>
            <w:hideMark/>
          </w:tcPr>
          <w:p w14:paraId="0321F61F" w14:textId="77777777" w:rsidR="00176380" w:rsidRDefault="00176380">
            <w:pPr>
              <w:jc w:val="center"/>
              <w:rPr>
                <w:sz w:val="16"/>
                <w:szCs w:val="16"/>
              </w:rPr>
            </w:pPr>
            <w:r>
              <w:rPr>
                <w:sz w:val="16"/>
                <w:szCs w:val="16"/>
              </w:rPr>
              <w:t>65,7</w:t>
            </w:r>
          </w:p>
        </w:tc>
        <w:tc>
          <w:tcPr>
            <w:tcW w:w="245" w:type="pct"/>
            <w:tcBorders>
              <w:top w:val="nil"/>
              <w:left w:val="nil"/>
              <w:bottom w:val="nil"/>
              <w:right w:val="nil"/>
            </w:tcBorders>
            <w:shd w:val="clear" w:color="auto" w:fill="auto"/>
            <w:noWrap/>
            <w:vAlign w:val="bottom"/>
            <w:hideMark/>
          </w:tcPr>
          <w:p w14:paraId="48EBA282" w14:textId="77777777" w:rsidR="00176380" w:rsidRDefault="00176380">
            <w:pPr>
              <w:jc w:val="center"/>
              <w:rPr>
                <w:sz w:val="16"/>
                <w:szCs w:val="16"/>
              </w:rPr>
            </w:pPr>
            <w:r>
              <w:rPr>
                <w:sz w:val="16"/>
                <w:szCs w:val="16"/>
              </w:rPr>
              <w:t>62,0</w:t>
            </w:r>
          </w:p>
        </w:tc>
        <w:tc>
          <w:tcPr>
            <w:tcW w:w="278" w:type="pct"/>
            <w:tcBorders>
              <w:top w:val="nil"/>
              <w:left w:val="nil"/>
              <w:bottom w:val="nil"/>
              <w:right w:val="nil"/>
            </w:tcBorders>
            <w:shd w:val="clear" w:color="auto" w:fill="auto"/>
            <w:noWrap/>
            <w:vAlign w:val="bottom"/>
            <w:hideMark/>
          </w:tcPr>
          <w:p w14:paraId="12C62541" w14:textId="619DD1DF" w:rsidR="00176380" w:rsidRDefault="00176380">
            <w:pPr>
              <w:jc w:val="center"/>
              <w:rPr>
                <w:sz w:val="16"/>
                <w:szCs w:val="16"/>
              </w:rPr>
            </w:pPr>
            <w:r>
              <w:rPr>
                <w:sz w:val="16"/>
                <w:szCs w:val="16"/>
              </w:rPr>
              <w:t>34,8</w:t>
            </w:r>
            <w:r>
              <w:rPr>
                <w:sz w:val="16"/>
                <w:szCs w:val="16"/>
                <w:vertAlign w:val="superscript"/>
              </w:rPr>
              <w:t>8</w:t>
            </w:r>
          </w:p>
        </w:tc>
        <w:tc>
          <w:tcPr>
            <w:tcW w:w="262" w:type="pct"/>
            <w:tcBorders>
              <w:top w:val="nil"/>
              <w:left w:val="nil"/>
              <w:bottom w:val="nil"/>
              <w:right w:val="nil"/>
            </w:tcBorders>
            <w:shd w:val="clear" w:color="auto" w:fill="auto"/>
            <w:noWrap/>
            <w:vAlign w:val="bottom"/>
            <w:hideMark/>
          </w:tcPr>
          <w:p w14:paraId="568FF8CB" w14:textId="7E1D2039" w:rsidR="00176380" w:rsidRDefault="00176380">
            <w:pPr>
              <w:jc w:val="center"/>
              <w:rPr>
                <w:sz w:val="16"/>
                <w:szCs w:val="16"/>
              </w:rPr>
            </w:pPr>
            <w:r>
              <w:rPr>
                <w:sz w:val="16"/>
                <w:szCs w:val="16"/>
              </w:rPr>
              <w:t>3,3</w:t>
            </w:r>
            <w:r>
              <w:rPr>
                <w:sz w:val="16"/>
                <w:szCs w:val="16"/>
                <w:vertAlign w:val="superscript"/>
              </w:rPr>
              <w:t>8</w:t>
            </w:r>
          </w:p>
        </w:tc>
        <w:tc>
          <w:tcPr>
            <w:tcW w:w="286" w:type="pct"/>
            <w:tcBorders>
              <w:top w:val="nil"/>
              <w:left w:val="nil"/>
              <w:bottom w:val="nil"/>
              <w:right w:val="nil"/>
            </w:tcBorders>
            <w:shd w:val="clear" w:color="auto" w:fill="auto"/>
            <w:noWrap/>
            <w:vAlign w:val="bottom"/>
            <w:hideMark/>
          </w:tcPr>
          <w:p w14:paraId="6C4856D7" w14:textId="6B741F86" w:rsidR="00176380" w:rsidRDefault="00176380">
            <w:pPr>
              <w:jc w:val="center"/>
              <w:rPr>
                <w:sz w:val="16"/>
                <w:szCs w:val="16"/>
              </w:rPr>
            </w:pPr>
            <w:r>
              <w:rPr>
                <w:sz w:val="16"/>
                <w:szCs w:val="16"/>
              </w:rPr>
              <w:t>176,3</w:t>
            </w:r>
            <w:r>
              <w:rPr>
                <w:sz w:val="16"/>
                <w:szCs w:val="16"/>
                <w:vertAlign w:val="superscript"/>
              </w:rPr>
              <w:t>8</w:t>
            </w:r>
          </w:p>
        </w:tc>
      </w:tr>
      <w:tr w:rsidR="00176380" w14:paraId="1B267ADC" w14:textId="77777777" w:rsidTr="00EF2777">
        <w:trPr>
          <w:trHeight w:val="260"/>
        </w:trPr>
        <w:tc>
          <w:tcPr>
            <w:tcW w:w="548" w:type="pct"/>
            <w:tcBorders>
              <w:top w:val="nil"/>
              <w:left w:val="nil"/>
              <w:bottom w:val="single" w:sz="8" w:space="0" w:color="auto"/>
              <w:right w:val="nil"/>
            </w:tcBorders>
            <w:shd w:val="clear" w:color="auto" w:fill="auto"/>
            <w:noWrap/>
            <w:vAlign w:val="bottom"/>
            <w:hideMark/>
          </w:tcPr>
          <w:p w14:paraId="43E68B7D" w14:textId="1D263B92" w:rsidR="00176380" w:rsidRDefault="00176380">
            <w:pPr>
              <w:rPr>
                <w:b/>
                <w:bCs/>
                <w:sz w:val="16"/>
                <w:szCs w:val="16"/>
              </w:rPr>
            </w:pPr>
            <w:r>
              <w:rPr>
                <w:b/>
                <w:bCs/>
                <w:sz w:val="16"/>
                <w:szCs w:val="16"/>
              </w:rPr>
              <w:t>F relative</w:t>
            </w:r>
            <w:r>
              <w:rPr>
                <w:b/>
                <w:bCs/>
                <w:sz w:val="16"/>
                <w:szCs w:val="16"/>
                <w:vertAlign w:val="superscript"/>
              </w:rPr>
              <w:t>7</w:t>
            </w:r>
          </w:p>
        </w:tc>
        <w:tc>
          <w:tcPr>
            <w:tcW w:w="594" w:type="pct"/>
            <w:tcBorders>
              <w:top w:val="nil"/>
              <w:left w:val="nil"/>
              <w:bottom w:val="single" w:sz="8" w:space="0" w:color="auto"/>
              <w:right w:val="nil"/>
            </w:tcBorders>
            <w:shd w:val="clear" w:color="auto" w:fill="auto"/>
            <w:noWrap/>
            <w:vAlign w:val="bottom"/>
            <w:hideMark/>
          </w:tcPr>
          <w:p w14:paraId="7E820D47" w14:textId="77777777" w:rsidR="00176380" w:rsidRDefault="00176380">
            <w:pPr>
              <w:rPr>
                <w:rFonts w:ascii="Arial" w:hAnsi="Arial" w:cs="Arial"/>
                <w:sz w:val="20"/>
                <w:szCs w:val="20"/>
              </w:rPr>
            </w:pPr>
            <w:r>
              <w:rPr>
                <w:rFonts w:ascii="Arial" w:hAnsi="Arial"/>
                <w:sz w:val="20"/>
                <w:szCs w:val="20"/>
              </w:rPr>
              <w:t> </w:t>
            </w:r>
          </w:p>
        </w:tc>
        <w:tc>
          <w:tcPr>
            <w:tcW w:w="250" w:type="pct"/>
            <w:tcBorders>
              <w:top w:val="nil"/>
              <w:left w:val="nil"/>
              <w:bottom w:val="single" w:sz="8" w:space="0" w:color="auto"/>
              <w:right w:val="nil"/>
            </w:tcBorders>
            <w:shd w:val="clear" w:color="auto" w:fill="auto"/>
            <w:noWrap/>
            <w:vAlign w:val="bottom"/>
            <w:hideMark/>
          </w:tcPr>
          <w:p w14:paraId="5E4458F3" w14:textId="77777777" w:rsidR="00176380" w:rsidRDefault="00176380">
            <w:pPr>
              <w:jc w:val="center"/>
              <w:rPr>
                <w:sz w:val="16"/>
                <w:szCs w:val="16"/>
              </w:rPr>
            </w:pPr>
            <w:r>
              <w:rPr>
                <w:sz w:val="16"/>
                <w:szCs w:val="16"/>
              </w:rPr>
              <w:t>0,6</w:t>
            </w:r>
          </w:p>
        </w:tc>
        <w:tc>
          <w:tcPr>
            <w:tcW w:w="247" w:type="pct"/>
            <w:tcBorders>
              <w:top w:val="nil"/>
              <w:left w:val="nil"/>
              <w:bottom w:val="single" w:sz="8" w:space="0" w:color="auto"/>
              <w:right w:val="nil"/>
            </w:tcBorders>
            <w:shd w:val="clear" w:color="auto" w:fill="auto"/>
            <w:noWrap/>
            <w:vAlign w:val="bottom"/>
            <w:hideMark/>
          </w:tcPr>
          <w:p w14:paraId="7F153B5D" w14:textId="77777777" w:rsidR="00176380" w:rsidRDefault="00176380">
            <w:pPr>
              <w:jc w:val="center"/>
              <w:rPr>
                <w:sz w:val="16"/>
                <w:szCs w:val="16"/>
              </w:rPr>
            </w:pPr>
            <w:r>
              <w:rPr>
                <w:sz w:val="16"/>
                <w:szCs w:val="16"/>
              </w:rPr>
              <w:t>0,9</w:t>
            </w:r>
          </w:p>
        </w:tc>
        <w:tc>
          <w:tcPr>
            <w:tcW w:w="250" w:type="pct"/>
            <w:tcBorders>
              <w:top w:val="nil"/>
              <w:left w:val="nil"/>
              <w:bottom w:val="single" w:sz="8" w:space="0" w:color="auto"/>
              <w:right w:val="nil"/>
            </w:tcBorders>
            <w:shd w:val="clear" w:color="auto" w:fill="auto"/>
            <w:noWrap/>
            <w:vAlign w:val="bottom"/>
            <w:hideMark/>
          </w:tcPr>
          <w:p w14:paraId="6C935DDC" w14:textId="77777777" w:rsidR="00176380" w:rsidRDefault="00176380">
            <w:pPr>
              <w:jc w:val="center"/>
              <w:rPr>
                <w:sz w:val="16"/>
                <w:szCs w:val="16"/>
              </w:rPr>
            </w:pPr>
            <w:r>
              <w:rPr>
                <w:sz w:val="16"/>
                <w:szCs w:val="16"/>
              </w:rPr>
              <w:t>1,0</w:t>
            </w:r>
          </w:p>
        </w:tc>
        <w:tc>
          <w:tcPr>
            <w:tcW w:w="250" w:type="pct"/>
            <w:tcBorders>
              <w:top w:val="nil"/>
              <w:left w:val="nil"/>
              <w:bottom w:val="single" w:sz="8" w:space="0" w:color="auto"/>
              <w:right w:val="nil"/>
            </w:tcBorders>
            <w:shd w:val="clear" w:color="auto" w:fill="auto"/>
            <w:noWrap/>
            <w:vAlign w:val="bottom"/>
            <w:hideMark/>
          </w:tcPr>
          <w:p w14:paraId="6C84C385" w14:textId="77777777" w:rsidR="00176380" w:rsidRDefault="00176380">
            <w:pPr>
              <w:jc w:val="center"/>
              <w:rPr>
                <w:sz w:val="16"/>
                <w:szCs w:val="16"/>
              </w:rPr>
            </w:pPr>
            <w:r>
              <w:rPr>
                <w:sz w:val="16"/>
                <w:szCs w:val="16"/>
              </w:rPr>
              <w:t>1,2</w:t>
            </w:r>
          </w:p>
        </w:tc>
        <w:tc>
          <w:tcPr>
            <w:tcW w:w="250" w:type="pct"/>
            <w:tcBorders>
              <w:top w:val="nil"/>
              <w:left w:val="nil"/>
              <w:bottom w:val="single" w:sz="8" w:space="0" w:color="auto"/>
              <w:right w:val="nil"/>
            </w:tcBorders>
            <w:shd w:val="clear" w:color="auto" w:fill="auto"/>
            <w:noWrap/>
            <w:vAlign w:val="bottom"/>
            <w:hideMark/>
          </w:tcPr>
          <w:p w14:paraId="3C4DB63C" w14:textId="77777777" w:rsidR="00176380" w:rsidRDefault="00176380">
            <w:pPr>
              <w:jc w:val="center"/>
              <w:rPr>
                <w:sz w:val="16"/>
                <w:szCs w:val="16"/>
              </w:rPr>
            </w:pPr>
            <w:r>
              <w:rPr>
                <w:sz w:val="16"/>
                <w:szCs w:val="16"/>
              </w:rPr>
              <w:t>0,3</w:t>
            </w:r>
          </w:p>
        </w:tc>
        <w:tc>
          <w:tcPr>
            <w:tcW w:w="250" w:type="pct"/>
            <w:tcBorders>
              <w:top w:val="nil"/>
              <w:left w:val="nil"/>
              <w:bottom w:val="single" w:sz="8" w:space="0" w:color="auto"/>
              <w:right w:val="nil"/>
            </w:tcBorders>
            <w:shd w:val="clear" w:color="auto" w:fill="auto"/>
            <w:noWrap/>
            <w:vAlign w:val="bottom"/>
            <w:hideMark/>
          </w:tcPr>
          <w:p w14:paraId="0C54EB73" w14:textId="77777777" w:rsidR="00176380" w:rsidRDefault="00176380">
            <w:pPr>
              <w:jc w:val="center"/>
              <w:rPr>
                <w:sz w:val="16"/>
                <w:szCs w:val="16"/>
              </w:rPr>
            </w:pPr>
            <w:r>
              <w:rPr>
                <w:sz w:val="16"/>
                <w:szCs w:val="16"/>
              </w:rPr>
              <w:t>0,2</w:t>
            </w:r>
          </w:p>
        </w:tc>
        <w:tc>
          <w:tcPr>
            <w:tcW w:w="250" w:type="pct"/>
            <w:tcBorders>
              <w:top w:val="nil"/>
              <w:left w:val="nil"/>
              <w:bottom w:val="single" w:sz="8" w:space="0" w:color="auto"/>
              <w:right w:val="nil"/>
            </w:tcBorders>
            <w:shd w:val="clear" w:color="auto" w:fill="auto"/>
            <w:noWrap/>
            <w:vAlign w:val="bottom"/>
            <w:hideMark/>
          </w:tcPr>
          <w:p w14:paraId="30D9517A" w14:textId="77777777" w:rsidR="00176380" w:rsidRDefault="00176380">
            <w:pPr>
              <w:jc w:val="center"/>
              <w:rPr>
                <w:sz w:val="16"/>
                <w:szCs w:val="16"/>
              </w:rPr>
            </w:pPr>
            <w:r>
              <w:rPr>
                <w:sz w:val="16"/>
                <w:szCs w:val="16"/>
              </w:rPr>
              <w:t>0,6</w:t>
            </w:r>
          </w:p>
        </w:tc>
        <w:tc>
          <w:tcPr>
            <w:tcW w:w="263" w:type="pct"/>
            <w:tcBorders>
              <w:top w:val="nil"/>
              <w:left w:val="nil"/>
              <w:bottom w:val="single" w:sz="8" w:space="0" w:color="auto"/>
              <w:right w:val="nil"/>
            </w:tcBorders>
            <w:shd w:val="clear" w:color="auto" w:fill="auto"/>
            <w:noWrap/>
            <w:vAlign w:val="bottom"/>
            <w:hideMark/>
          </w:tcPr>
          <w:p w14:paraId="1C177FBA" w14:textId="77777777" w:rsidR="00176380" w:rsidRDefault="00176380">
            <w:pPr>
              <w:jc w:val="center"/>
              <w:rPr>
                <w:sz w:val="16"/>
                <w:szCs w:val="16"/>
              </w:rPr>
            </w:pPr>
            <w:r>
              <w:rPr>
                <w:sz w:val="16"/>
                <w:szCs w:val="16"/>
              </w:rPr>
              <w:t>0,3</w:t>
            </w:r>
          </w:p>
        </w:tc>
        <w:tc>
          <w:tcPr>
            <w:tcW w:w="263" w:type="pct"/>
            <w:tcBorders>
              <w:top w:val="nil"/>
              <w:left w:val="nil"/>
              <w:bottom w:val="single" w:sz="8" w:space="0" w:color="auto"/>
              <w:right w:val="nil"/>
            </w:tcBorders>
            <w:shd w:val="clear" w:color="auto" w:fill="auto"/>
            <w:noWrap/>
            <w:vAlign w:val="bottom"/>
            <w:hideMark/>
          </w:tcPr>
          <w:p w14:paraId="4C8BC435" w14:textId="77777777" w:rsidR="00176380" w:rsidRDefault="00176380">
            <w:pPr>
              <w:jc w:val="center"/>
              <w:rPr>
                <w:sz w:val="16"/>
                <w:szCs w:val="16"/>
              </w:rPr>
            </w:pPr>
            <w:r>
              <w:rPr>
                <w:sz w:val="16"/>
                <w:szCs w:val="16"/>
              </w:rPr>
              <w:t>0,2</w:t>
            </w:r>
          </w:p>
        </w:tc>
        <w:tc>
          <w:tcPr>
            <w:tcW w:w="263" w:type="pct"/>
            <w:tcBorders>
              <w:top w:val="nil"/>
              <w:left w:val="nil"/>
              <w:bottom w:val="single" w:sz="8" w:space="0" w:color="auto"/>
              <w:right w:val="nil"/>
            </w:tcBorders>
            <w:shd w:val="clear" w:color="auto" w:fill="auto"/>
            <w:noWrap/>
            <w:vAlign w:val="bottom"/>
            <w:hideMark/>
          </w:tcPr>
          <w:p w14:paraId="28F30397" w14:textId="77777777" w:rsidR="00176380" w:rsidRDefault="00176380">
            <w:pPr>
              <w:jc w:val="center"/>
              <w:rPr>
                <w:sz w:val="16"/>
                <w:szCs w:val="16"/>
              </w:rPr>
            </w:pPr>
            <w:r>
              <w:rPr>
                <w:sz w:val="16"/>
                <w:szCs w:val="16"/>
              </w:rPr>
              <w:t>0,4</w:t>
            </w:r>
          </w:p>
        </w:tc>
        <w:tc>
          <w:tcPr>
            <w:tcW w:w="250" w:type="pct"/>
            <w:tcBorders>
              <w:top w:val="nil"/>
              <w:left w:val="nil"/>
              <w:bottom w:val="single" w:sz="8" w:space="0" w:color="auto"/>
              <w:right w:val="nil"/>
            </w:tcBorders>
            <w:shd w:val="clear" w:color="auto" w:fill="auto"/>
            <w:noWrap/>
            <w:vAlign w:val="bottom"/>
            <w:hideMark/>
          </w:tcPr>
          <w:p w14:paraId="0DDD85A2" w14:textId="77777777" w:rsidR="00176380" w:rsidRDefault="00176380">
            <w:pPr>
              <w:jc w:val="center"/>
              <w:rPr>
                <w:sz w:val="16"/>
                <w:szCs w:val="16"/>
              </w:rPr>
            </w:pPr>
            <w:r>
              <w:rPr>
                <w:sz w:val="16"/>
                <w:szCs w:val="16"/>
              </w:rPr>
              <w:t>0,5</w:t>
            </w:r>
          </w:p>
        </w:tc>
        <w:tc>
          <w:tcPr>
            <w:tcW w:w="245" w:type="pct"/>
            <w:tcBorders>
              <w:top w:val="nil"/>
              <w:left w:val="nil"/>
              <w:bottom w:val="single" w:sz="8" w:space="0" w:color="auto"/>
              <w:right w:val="nil"/>
            </w:tcBorders>
            <w:shd w:val="clear" w:color="auto" w:fill="auto"/>
            <w:noWrap/>
            <w:vAlign w:val="bottom"/>
            <w:hideMark/>
          </w:tcPr>
          <w:p w14:paraId="065C6029" w14:textId="77777777" w:rsidR="00176380" w:rsidRDefault="00176380">
            <w:pPr>
              <w:rPr>
                <w:rFonts w:ascii="Arial" w:hAnsi="Arial" w:cs="Arial"/>
                <w:sz w:val="20"/>
                <w:szCs w:val="20"/>
              </w:rPr>
            </w:pPr>
            <w:r>
              <w:rPr>
                <w:rFonts w:ascii="Arial" w:hAnsi="Arial"/>
                <w:sz w:val="20"/>
                <w:szCs w:val="20"/>
              </w:rPr>
              <w:t> </w:t>
            </w:r>
          </w:p>
        </w:tc>
        <w:tc>
          <w:tcPr>
            <w:tcW w:w="278" w:type="pct"/>
            <w:tcBorders>
              <w:top w:val="nil"/>
              <w:left w:val="nil"/>
              <w:bottom w:val="single" w:sz="8" w:space="0" w:color="auto"/>
              <w:right w:val="nil"/>
            </w:tcBorders>
            <w:shd w:val="clear" w:color="auto" w:fill="auto"/>
            <w:noWrap/>
            <w:vAlign w:val="bottom"/>
            <w:hideMark/>
          </w:tcPr>
          <w:p w14:paraId="20E1C33D" w14:textId="77777777" w:rsidR="00176380" w:rsidRDefault="00176380">
            <w:pPr>
              <w:jc w:val="center"/>
              <w:rPr>
                <w:sz w:val="16"/>
                <w:szCs w:val="16"/>
              </w:rPr>
            </w:pPr>
            <w:r>
              <w:rPr>
                <w:sz w:val="16"/>
                <w:szCs w:val="16"/>
              </w:rPr>
              <w:t>1,0</w:t>
            </w:r>
          </w:p>
        </w:tc>
        <w:tc>
          <w:tcPr>
            <w:tcW w:w="262" w:type="pct"/>
            <w:tcBorders>
              <w:top w:val="nil"/>
              <w:left w:val="nil"/>
              <w:bottom w:val="single" w:sz="8" w:space="0" w:color="auto"/>
              <w:right w:val="nil"/>
            </w:tcBorders>
            <w:shd w:val="clear" w:color="auto" w:fill="auto"/>
            <w:noWrap/>
            <w:vAlign w:val="bottom"/>
            <w:hideMark/>
          </w:tcPr>
          <w:p w14:paraId="100BB36F" w14:textId="77777777" w:rsidR="00176380" w:rsidRDefault="00176380">
            <w:pPr>
              <w:jc w:val="center"/>
              <w:rPr>
                <w:sz w:val="16"/>
                <w:szCs w:val="16"/>
              </w:rPr>
            </w:pPr>
            <w:r>
              <w:rPr>
                <w:sz w:val="16"/>
                <w:szCs w:val="16"/>
              </w:rPr>
              <w:t>0,2</w:t>
            </w:r>
          </w:p>
        </w:tc>
        <w:tc>
          <w:tcPr>
            <w:tcW w:w="286" w:type="pct"/>
            <w:tcBorders>
              <w:top w:val="nil"/>
              <w:left w:val="nil"/>
              <w:bottom w:val="single" w:sz="8" w:space="0" w:color="auto"/>
              <w:right w:val="nil"/>
            </w:tcBorders>
            <w:shd w:val="clear" w:color="auto" w:fill="auto"/>
            <w:noWrap/>
            <w:vAlign w:val="bottom"/>
            <w:hideMark/>
          </w:tcPr>
          <w:p w14:paraId="2BEF6C9D" w14:textId="77777777" w:rsidR="00176380" w:rsidRDefault="00176380">
            <w:pPr>
              <w:jc w:val="center"/>
              <w:rPr>
                <w:sz w:val="16"/>
                <w:szCs w:val="16"/>
              </w:rPr>
            </w:pPr>
            <w:r>
              <w:rPr>
                <w:sz w:val="16"/>
                <w:szCs w:val="16"/>
              </w:rPr>
              <w:t>3,8</w:t>
            </w:r>
          </w:p>
        </w:tc>
      </w:tr>
    </w:tbl>
    <w:p w14:paraId="73F08052" w14:textId="7F5117D1" w:rsidR="00176380" w:rsidRPr="00C36001" w:rsidRDefault="00176380" w:rsidP="00176380">
      <w:pPr>
        <w:pStyle w:val="Heading5"/>
        <w:spacing w:after="0"/>
        <w:rPr>
          <w:b w:val="0"/>
          <w:i w:val="0"/>
          <w:sz w:val="16"/>
          <w:szCs w:val="16"/>
        </w:rPr>
      </w:pPr>
      <w:r>
        <w:rPr>
          <w:b w:val="0"/>
          <w:i w:val="0"/>
          <w:sz w:val="16"/>
          <w:szCs w:val="16"/>
          <w:vertAlign w:val="superscript"/>
        </w:rPr>
        <w:t>1</w:t>
      </w:r>
      <w:r>
        <w:rPr>
          <w:b w:val="0"/>
          <w:i w:val="0"/>
          <w:sz w:val="16"/>
          <w:szCs w:val="16"/>
        </w:rPr>
        <w:t xml:space="preserve"> De 1969 à 2018</w:t>
      </w:r>
    </w:p>
    <w:p w14:paraId="650B966C" w14:textId="15314482" w:rsidR="009B0ED0" w:rsidRPr="00C36001" w:rsidRDefault="009B0ED0" w:rsidP="00C36001">
      <w:pPr>
        <w:rPr>
          <w:sz w:val="16"/>
          <w:szCs w:val="16"/>
        </w:rPr>
      </w:pPr>
      <w:r>
        <w:rPr>
          <w:sz w:val="16"/>
          <w:szCs w:val="16"/>
          <w:vertAlign w:val="superscript"/>
        </w:rPr>
        <w:t>2</w:t>
      </w:r>
      <w:r>
        <w:rPr>
          <w:sz w:val="16"/>
          <w:szCs w:val="16"/>
        </w:rPr>
        <w:t xml:space="preserve"> Sauf indication contraire, toutes les valeurs sont déclarées pour l</w:t>
      </w:r>
      <w:r w:rsidR="00BA2A92">
        <w:rPr>
          <w:sz w:val="16"/>
          <w:szCs w:val="16"/>
        </w:rPr>
        <w:t>’</w:t>
      </w:r>
      <w:r>
        <w:rPr>
          <w:sz w:val="16"/>
          <w:szCs w:val="16"/>
        </w:rPr>
        <w:t>année civile.</w:t>
      </w:r>
    </w:p>
    <w:p w14:paraId="70FCC7C9" w14:textId="08B5277F" w:rsidR="009B0ED0" w:rsidRPr="00C36001" w:rsidRDefault="009B0ED0" w:rsidP="00C36001">
      <w:pPr>
        <w:rPr>
          <w:sz w:val="16"/>
          <w:szCs w:val="16"/>
        </w:rPr>
      </w:pPr>
      <w:r>
        <w:rPr>
          <w:sz w:val="16"/>
          <w:szCs w:val="16"/>
          <w:vertAlign w:val="superscript"/>
        </w:rPr>
        <w:t>3</w:t>
      </w:r>
      <w:r>
        <w:rPr>
          <w:sz w:val="16"/>
          <w:szCs w:val="16"/>
        </w:rPr>
        <w:t xml:space="preserve"> Pour l</w:t>
      </w:r>
      <w:r w:rsidR="00BA2A92">
        <w:rPr>
          <w:sz w:val="16"/>
          <w:szCs w:val="16"/>
        </w:rPr>
        <w:t>’</w:t>
      </w:r>
      <w:r>
        <w:rPr>
          <w:sz w:val="16"/>
          <w:szCs w:val="16"/>
        </w:rPr>
        <w:t>année de pêche, qui va du 1</w:t>
      </w:r>
      <w:r>
        <w:rPr>
          <w:sz w:val="16"/>
          <w:szCs w:val="16"/>
          <w:vertAlign w:val="superscript"/>
        </w:rPr>
        <w:t>er</w:t>
      </w:r>
      <w:r>
        <w:rPr>
          <w:sz w:val="16"/>
          <w:szCs w:val="16"/>
        </w:rPr>
        <w:t> mai de l</w:t>
      </w:r>
      <w:r w:rsidR="00BA2A92">
        <w:rPr>
          <w:sz w:val="16"/>
          <w:szCs w:val="16"/>
        </w:rPr>
        <w:t>’</w:t>
      </w:r>
      <w:r>
        <w:rPr>
          <w:sz w:val="16"/>
          <w:szCs w:val="16"/>
        </w:rPr>
        <w:t>année en cours au 30 avril de l</w:t>
      </w:r>
      <w:r w:rsidR="00BA2A92">
        <w:rPr>
          <w:sz w:val="16"/>
          <w:szCs w:val="16"/>
        </w:rPr>
        <w:t>’</w:t>
      </w:r>
      <w:r>
        <w:rPr>
          <w:sz w:val="16"/>
          <w:szCs w:val="16"/>
        </w:rPr>
        <w:t xml:space="preserve">année suivante. </w:t>
      </w:r>
    </w:p>
    <w:p w14:paraId="30E76408" w14:textId="2DB70800" w:rsidR="009B0ED0" w:rsidRPr="00C36001" w:rsidRDefault="009B0ED0" w:rsidP="00C36001">
      <w:pPr>
        <w:rPr>
          <w:sz w:val="16"/>
          <w:szCs w:val="16"/>
        </w:rPr>
      </w:pPr>
      <w:r>
        <w:rPr>
          <w:sz w:val="16"/>
          <w:szCs w:val="16"/>
          <w:vertAlign w:val="superscript"/>
        </w:rPr>
        <w:t>4</w:t>
      </w:r>
      <w:r>
        <w:rPr>
          <w:sz w:val="16"/>
          <w:szCs w:val="16"/>
        </w:rPr>
        <w:t> Pour l</w:t>
      </w:r>
      <w:r w:rsidR="00BA2A92">
        <w:rPr>
          <w:sz w:val="16"/>
          <w:szCs w:val="16"/>
        </w:rPr>
        <w:t>’</w:t>
      </w:r>
      <w:r>
        <w:rPr>
          <w:sz w:val="16"/>
          <w:szCs w:val="16"/>
        </w:rPr>
        <w:t>année civile au Canada et pour l</w:t>
      </w:r>
      <w:r w:rsidR="00BA2A92">
        <w:rPr>
          <w:sz w:val="16"/>
          <w:szCs w:val="16"/>
        </w:rPr>
        <w:t>’</w:t>
      </w:r>
      <w:r>
        <w:rPr>
          <w:sz w:val="16"/>
          <w:szCs w:val="16"/>
        </w:rPr>
        <w:t>année de pêche aux États-Unis, qui va du 1</w:t>
      </w:r>
      <w:r>
        <w:rPr>
          <w:sz w:val="16"/>
          <w:szCs w:val="16"/>
          <w:vertAlign w:val="superscript"/>
        </w:rPr>
        <w:t>er</w:t>
      </w:r>
      <w:r>
        <w:rPr>
          <w:sz w:val="16"/>
          <w:szCs w:val="16"/>
        </w:rPr>
        <w:t> mai de l</w:t>
      </w:r>
      <w:r w:rsidR="00BA2A92">
        <w:rPr>
          <w:sz w:val="16"/>
          <w:szCs w:val="16"/>
        </w:rPr>
        <w:t>’</w:t>
      </w:r>
      <w:r>
        <w:rPr>
          <w:sz w:val="16"/>
          <w:szCs w:val="16"/>
        </w:rPr>
        <w:t>année en cours au 30 avril de l</w:t>
      </w:r>
      <w:r w:rsidR="00BA2A92">
        <w:rPr>
          <w:sz w:val="16"/>
          <w:szCs w:val="16"/>
        </w:rPr>
        <w:t>’</w:t>
      </w:r>
      <w:r>
        <w:rPr>
          <w:sz w:val="16"/>
          <w:szCs w:val="16"/>
        </w:rPr>
        <w:t>année suivante.</w:t>
      </w:r>
    </w:p>
    <w:p w14:paraId="05888FDC" w14:textId="419A50F3" w:rsidR="009B0ED0" w:rsidRPr="00C36001" w:rsidRDefault="009B0ED0" w:rsidP="00C36001">
      <w:pPr>
        <w:rPr>
          <w:sz w:val="16"/>
          <w:szCs w:val="16"/>
        </w:rPr>
      </w:pPr>
      <w:r>
        <w:rPr>
          <w:sz w:val="16"/>
          <w:szCs w:val="16"/>
          <w:vertAlign w:val="superscript"/>
        </w:rPr>
        <w:t>5</w:t>
      </w:r>
      <w:r>
        <w:rPr>
          <w:sz w:val="16"/>
          <w:szCs w:val="16"/>
        </w:rPr>
        <w:t xml:space="preserve"> Somme des débarquements canadiens, des rejets canadiens et des prises des États-Unis (y compris les rejets).</w:t>
      </w:r>
    </w:p>
    <w:p w14:paraId="58203E9C" w14:textId="053BD5DF" w:rsidR="009B0ED0" w:rsidRPr="00C36001" w:rsidRDefault="009B0ED0" w:rsidP="00C36001">
      <w:pPr>
        <w:rPr>
          <w:sz w:val="16"/>
          <w:szCs w:val="16"/>
        </w:rPr>
      </w:pPr>
      <w:r>
        <w:rPr>
          <w:sz w:val="16"/>
          <w:szCs w:val="16"/>
          <w:vertAlign w:val="superscript"/>
        </w:rPr>
        <w:t>6</w:t>
      </w:r>
      <w:r>
        <w:rPr>
          <w:sz w:val="16"/>
          <w:szCs w:val="16"/>
        </w:rPr>
        <w:t xml:space="preserve"> Indice moyen de la biomasse du relevé de printemps du NMFS, du relevé du MPO et du relevé d</w:t>
      </w:r>
      <w:r w:rsidR="00BA2A92">
        <w:rPr>
          <w:sz w:val="16"/>
          <w:szCs w:val="16"/>
        </w:rPr>
        <w:t>’</w:t>
      </w:r>
      <w:r>
        <w:rPr>
          <w:sz w:val="16"/>
          <w:szCs w:val="16"/>
        </w:rPr>
        <w:t>automne du NMFS de l</w:t>
      </w:r>
      <w:r w:rsidR="00BA2A92">
        <w:rPr>
          <w:sz w:val="16"/>
          <w:szCs w:val="16"/>
        </w:rPr>
        <w:t>’</w:t>
      </w:r>
      <w:r>
        <w:rPr>
          <w:sz w:val="16"/>
          <w:szCs w:val="16"/>
        </w:rPr>
        <w:t>année précédente (non ajusté en fonction de la capturabilité).</w:t>
      </w:r>
    </w:p>
    <w:p w14:paraId="7AA40ED7" w14:textId="0ED1BBCF" w:rsidR="009B0ED0" w:rsidRDefault="000A29EF" w:rsidP="00C36001">
      <w:pPr>
        <w:rPr>
          <w:sz w:val="16"/>
          <w:szCs w:val="16"/>
        </w:rPr>
      </w:pPr>
      <w:r>
        <w:rPr>
          <w:sz w:val="16"/>
          <w:szCs w:val="16"/>
          <w:vertAlign w:val="superscript"/>
        </w:rPr>
        <w:t>7</w:t>
      </w:r>
      <w:r>
        <w:rPr>
          <w:sz w:val="16"/>
          <w:szCs w:val="16"/>
        </w:rPr>
        <w:t xml:space="preserve"> Mortalité par pêche relative; moyenne normalisée (1987-2018) des prises annuelles divisée par l</w:t>
      </w:r>
      <w:r w:rsidR="00BA2A92">
        <w:rPr>
          <w:sz w:val="16"/>
          <w:szCs w:val="16"/>
        </w:rPr>
        <w:t>’</w:t>
      </w:r>
      <w:r>
        <w:rPr>
          <w:sz w:val="16"/>
          <w:szCs w:val="16"/>
        </w:rPr>
        <w:t>indice de la biomasse pour chacun des trois indices de relevé (MPO, NMFS de printemps et d</w:t>
      </w:r>
      <w:r w:rsidR="00BA2A92">
        <w:rPr>
          <w:sz w:val="16"/>
          <w:szCs w:val="16"/>
        </w:rPr>
        <w:t>’</w:t>
      </w:r>
      <w:r>
        <w:rPr>
          <w:sz w:val="16"/>
          <w:szCs w:val="16"/>
        </w:rPr>
        <w:t xml:space="preserve">automne). </w:t>
      </w:r>
    </w:p>
    <w:p w14:paraId="000728D1" w14:textId="77777777" w:rsidR="007B195A" w:rsidRDefault="00745D81" w:rsidP="00C36001">
      <w:pPr>
        <w:rPr>
          <w:sz w:val="16"/>
          <w:szCs w:val="16"/>
        </w:rPr>
        <w:sectPr w:rsidR="007B195A" w:rsidSect="002941D2">
          <w:pgSz w:w="15840" w:h="12240" w:orient="landscape" w:code="1"/>
          <w:pgMar w:top="1440" w:right="1440" w:bottom="1440" w:left="1080" w:header="720" w:footer="720" w:gutter="0"/>
          <w:cols w:space="720"/>
          <w:titlePg/>
          <w:docGrid w:linePitch="360"/>
        </w:sectPr>
      </w:pPr>
      <w:r>
        <w:rPr>
          <w:sz w:val="16"/>
          <w:szCs w:val="16"/>
          <w:vertAlign w:val="superscript"/>
        </w:rPr>
        <w:t>8</w:t>
      </w:r>
      <w:r>
        <w:rPr>
          <w:sz w:val="16"/>
          <w:szCs w:val="16"/>
        </w:rPr>
        <w:t xml:space="preserve"> De 1969 à 2019.</w:t>
      </w:r>
    </w:p>
    <w:p w14:paraId="7C4245DC" w14:textId="01EDD795" w:rsidR="004C0F17" w:rsidRPr="00446CA9" w:rsidDel="00576A6E" w:rsidRDefault="00F66833" w:rsidP="002941D2">
      <w:pPr>
        <w:pStyle w:val="Heading5"/>
        <w:spacing w:before="120" w:after="120"/>
      </w:pPr>
      <w:r>
        <w:t xml:space="preserve">Pêche </w:t>
      </w:r>
    </w:p>
    <w:p w14:paraId="44BEEBAF" w14:textId="049389D1" w:rsidR="004C0F17" w:rsidRPr="00CF6978" w:rsidDel="00576A6E" w:rsidRDefault="00B02AE4" w:rsidP="002941D2">
      <w:pPr>
        <w:pStyle w:val="BodyText"/>
        <w:spacing w:after="120"/>
      </w:pPr>
      <w:r>
        <w:t xml:space="preserve">Après avoir atteint 6 504 t en 1991, </w:t>
      </w:r>
      <w:r>
        <w:rPr>
          <w:b/>
          <w:bCs/>
        </w:rPr>
        <w:t>les</w:t>
      </w:r>
      <w:r>
        <w:t xml:space="preserve"> </w:t>
      </w:r>
      <w:r>
        <w:rPr>
          <w:b/>
        </w:rPr>
        <w:t>prises combinées du Canada et des États-Unis</w:t>
      </w:r>
      <w:r>
        <w:t xml:space="preserve"> d</w:t>
      </w:r>
      <w:r w:rsidR="00BA2A92">
        <w:t>’</w:t>
      </w:r>
      <w:r>
        <w:t>aiglefin de l</w:t>
      </w:r>
      <w:r w:rsidR="00BA2A92">
        <w:t>’</w:t>
      </w:r>
      <w:r>
        <w:t>est du banc de Georges ont connu un creux à 2 150 t en 1995, puis elles ont oscillé entre 3 000 t et 4 000 t environ jusqu</w:t>
      </w:r>
      <w:r w:rsidR="00BA2A92">
        <w:t>’</w:t>
      </w:r>
      <w:r>
        <w:t>en 1999 avant d</w:t>
      </w:r>
      <w:r w:rsidR="00BA2A92">
        <w:t>’</w:t>
      </w:r>
      <w:r>
        <w:t>augmenter pour atteindre 15 257 t en 2005 (figure 1). Les prises combinées ont ensuite décliné pour s</w:t>
      </w:r>
      <w:r w:rsidR="00BA2A92">
        <w:t>’</w:t>
      </w:r>
      <w:r>
        <w:t xml:space="preserve">établir à 12 510 t en 2007, ont augmenté à 19 855 t en 2009 et ont décliné entre 2010 et 2013, avec des prises plus abondantes entre 2014 et 2018 et des prises totales de 12 495 t en 2018 (tableau 1). </w:t>
      </w:r>
    </w:p>
    <w:p w14:paraId="06F94485" w14:textId="58BFC760" w:rsidR="004C0F17" w:rsidRPr="00CF6978" w:rsidDel="00576A6E" w:rsidRDefault="004C0F17" w:rsidP="002941D2">
      <w:pPr>
        <w:pStyle w:val="BodyText"/>
        <w:spacing w:after="120"/>
      </w:pPr>
      <w:r>
        <w:t xml:space="preserve">Les </w:t>
      </w:r>
      <w:r>
        <w:rPr>
          <w:b/>
        </w:rPr>
        <w:t xml:space="preserve">prises canadiennes </w:t>
      </w:r>
      <w:r>
        <w:t>ont diminué, passant de 13 384 t en 2017 à 12 222 t en 2018. Les rejets de la pêche au poisson de fond sont considérés comme négligeables. Les rejets d</w:t>
      </w:r>
      <w:r w:rsidR="00BA2A92">
        <w:t>’</w:t>
      </w:r>
      <w:r>
        <w:t>aiglefin dans la pêche au pétoncle géant du Canada s</w:t>
      </w:r>
      <w:r w:rsidR="00BA2A92">
        <w:t>’</w:t>
      </w:r>
      <w:r>
        <w:t>établissaient à 5 t en 2018, mais se sont échelonnées entre 5</w:t>
      </w:r>
      <w:r w:rsidR="00C64FBA">
        <w:t> t</w:t>
      </w:r>
      <w:r>
        <w:t xml:space="preserve"> et 186 t durant la série chronologique. </w:t>
      </w:r>
    </w:p>
    <w:p w14:paraId="0C4BCD9C" w14:textId="17DCCD48" w:rsidR="004C0F17" w:rsidRPr="00CF6978" w:rsidDel="00576A6E" w:rsidRDefault="004C0F17" w:rsidP="002941D2">
      <w:pPr>
        <w:pStyle w:val="BodyText"/>
        <w:spacing w:after="120"/>
      </w:pPr>
      <w:r>
        <w:t xml:space="preserve">Les </w:t>
      </w:r>
      <w:r>
        <w:rPr>
          <w:b/>
        </w:rPr>
        <w:t>prises des États-Unis</w:t>
      </w:r>
      <w:r>
        <w:t xml:space="preserve"> ont diminué, passant de 295 t en 2017 à 274 t en 2018. Les débarquements en 2018 se chiffraient à 253 t et les rejets ont été estimés à 21 t; ces derniers provenaient principalement de la pêche au chalut à plateaux, avec une petite quantité (0,1 t) rejetée par la pêche au pétoncle à la drague. </w:t>
      </w:r>
    </w:p>
    <w:p w14:paraId="63253AEC" w14:textId="6C4B355C" w:rsidR="004C0F17" w:rsidRPr="00CF6978" w:rsidDel="00576A6E" w:rsidRDefault="0053047F">
      <w:pPr>
        <w:jc w:val="both"/>
      </w:pPr>
      <w:r>
        <w:t xml:space="preserve">La </w:t>
      </w:r>
      <w:r>
        <w:rPr>
          <w:b/>
          <w:bCs/>
        </w:rPr>
        <w:t>composition selon l</w:t>
      </w:r>
      <w:r w:rsidR="00BA2A92">
        <w:rPr>
          <w:b/>
          <w:bCs/>
        </w:rPr>
        <w:t>’</w:t>
      </w:r>
      <w:r>
        <w:rPr>
          <w:b/>
          <w:bCs/>
        </w:rPr>
        <w:t>âge des pêches</w:t>
      </w:r>
      <w:r>
        <w:t xml:space="preserve"> combinées du Canada et des États-Unis (débarquements + rejets) en 2018 était dominée par la classe d</w:t>
      </w:r>
      <w:r w:rsidR="00BA2A92">
        <w:t>’</w:t>
      </w:r>
      <w:r>
        <w:t>âge de 2013 (âge 5) en nombre et en poids. La pêche canadienne et celle des États-Unis ont fait l</w:t>
      </w:r>
      <w:r w:rsidR="00BA2A92">
        <w:t>’</w:t>
      </w:r>
      <w:r>
        <w:t>objet d</w:t>
      </w:r>
      <w:r w:rsidR="00BA2A92">
        <w:t>’</w:t>
      </w:r>
      <w:r>
        <w:t>un échantillonnage adéquat destiné à déterminer la composition des prises selon la longueur.</w:t>
      </w:r>
    </w:p>
    <w:p w14:paraId="41E26FC7" w14:textId="77777777" w:rsidR="004C0F17" w:rsidRPr="002941D2" w:rsidRDefault="004C0F17" w:rsidP="002941D2">
      <w:pPr>
        <w:pStyle w:val="Heading5"/>
        <w:spacing w:before="120" w:after="120"/>
      </w:pPr>
      <w:r w:rsidRPr="002941D2">
        <w:t>Stratégie de pêche et points de référence</w:t>
      </w:r>
    </w:p>
    <w:p w14:paraId="0424AC11" w14:textId="68FDE1C7" w:rsidR="004C0F17" w:rsidRPr="00CF6978" w:rsidRDefault="004C0F17" w:rsidP="00690E92">
      <w:pPr>
        <w:pStyle w:val="BodyText"/>
        <w:spacing w:after="0"/>
      </w:pPr>
      <w:r>
        <w:t>Le Comité d</w:t>
      </w:r>
      <w:r w:rsidR="00BA2A92">
        <w:t>’</w:t>
      </w:r>
      <w:r>
        <w:t>orientation de la gestion des stocks transfrontaliers a adopté une stratégie visant à faire en sorte que le risque de dépassement du taux de mortalité par pêche de référence F</w:t>
      </w:r>
      <w:r>
        <w:rPr>
          <w:vertAlign w:val="subscript"/>
        </w:rPr>
        <w:t>réf</w:t>
      </w:r>
      <w:r>
        <w:t> = 0,26 (qu</w:t>
      </w:r>
      <w:r w:rsidR="00BA2A92">
        <w:t>’</w:t>
      </w:r>
      <w:r>
        <w:t>il a établi en 2002) demeure faible à neutre. Quand les conditions du stock sont mauvaises, il conviendrait de faciliter son rétablissement en abaissant davantage le taux de mortalité par pêche</w:t>
      </w:r>
      <w:r w:rsidR="0096298B">
        <w:t xml:space="preserve">. </w:t>
      </w:r>
      <w:r>
        <w:t>En l</w:t>
      </w:r>
      <w:r w:rsidR="00BA2A92">
        <w:t>’</w:t>
      </w:r>
      <w:r>
        <w:t>absence d</w:t>
      </w:r>
      <w:r w:rsidR="00BA2A92">
        <w:t>’</w:t>
      </w:r>
      <w:r>
        <w:t>un modèle d</w:t>
      </w:r>
      <w:r w:rsidR="00BA2A92">
        <w:t>’</w:t>
      </w:r>
      <w:r>
        <w:t>évaluation, il n</w:t>
      </w:r>
      <w:r w:rsidR="00BA2A92">
        <w:t>’</w:t>
      </w:r>
      <w:r>
        <w:t>est plus possible de calculer une estimation du taux de mortalité par pêche. La détermination de l</w:t>
      </w:r>
      <w:r w:rsidR="00BA2A92">
        <w:t>’</w:t>
      </w:r>
      <w:r>
        <w:t>état par rapport aux points de référence n</w:t>
      </w:r>
      <w:r w:rsidR="00BA2A92">
        <w:t>’</w:t>
      </w:r>
      <w:r>
        <w:t>est pas possible, parce que les points de référence n</w:t>
      </w:r>
      <w:r w:rsidR="00BA2A92">
        <w:t>’</w:t>
      </w:r>
      <w:r>
        <w:t>ont pas été définis. La mortalité par pêche relative F (prises/biomasse moyenne du relevé) est indiquée à la place des taux de mortalité par pêche, mais il est à noter que les deux mesures ne sont pas comparables.</w:t>
      </w:r>
    </w:p>
    <w:p w14:paraId="597D9699" w14:textId="77777777" w:rsidR="004C0F17" w:rsidRPr="002941D2" w:rsidRDefault="004C0F17" w:rsidP="002941D2">
      <w:pPr>
        <w:pStyle w:val="Heading5"/>
        <w:spacing w:before="120" w:after="120"/>
      </w:pPr>
      <w:r w:rsidRPr="002941D2">
        <w:t>État de la ressource</w:t>
      </w:r>
    </w:p>
    <w:p w14:paraId="5F05E738" w14:textId="0ECBF529" w:rsidR="00955541" w:rsidRDefault="00955541" w:rsidP="00955541">
      <w:r>
        <w:t>Les indices des relevés de 2018 et 2019 étaient supérieurs à leurs moyennes respectives pour la série chronologique</w:t>
      </w:r>
      <w:r w:rsidR="0096298B">
        <w:t xml:space="preserve">. </w:t>
      </w:r>
      <w:r>
        <w:t>Durant l</w:t>
      </w:r>
      <w:r w:rsidR="00BA2A92">
        <w:t>’</w:t>
      </w:r>
      <w:r>
        <w:t>année la plus récente, les indices automnaux de Pêches et Océans Canada (MPO) et du National Marine Fisheries Service (NMFS) ont diminué (16 % de 2018 à 2019 pour le relevé du MPO et 27 % de 2017 à 2018 pour le relevé du NMFS), tandis que l</w:t>
      </w:r>
      <w:r w:rsidR="00BA2A92">
        <w:t>’</w:t>
      </w:r>
      <w:r>
        <w:t>indice du printemps du NMFS a augmenté de 35 % entre 2018 et 2019 (figure 2).</w:t>
      </w:r>
    </w:p>
    <w:p w14:paraId="7D4644D2" w14:textId="42BF36D2" w:rsidR="00841B41" w:rsidRDefault="00C212C2" w:rsidP="002941D2">
      <w:pPr>
        <w:pStyle w:val="BodyText"/>
        <w:spacing w:after="120"/>
      </w:pPr>
      <w:r>
        <w:t>Dans le passé, l</w:t>
      </w:r>
      <w:r w:rsidR="00BA2A92">
        <w:t>’</w:t>
      </w:r>
      <w:r>
        <w:t>évaluation de l</w:t>
      </w:r>
      <w:r w:rsidR="00BA2A92">
        <w:t>’</w:t>
      </w:r>
      <w:r>
        <w:t>état de la ressource était basée sur les résultats d</w:t>
      </w:r>
      <w:r w:rsidR="00BA2A92">
        <w:t>’</w:t>
      </w:r>
      <w:r>
        <w:t>une évaluation analytique structurée par âge (analyse de population virtuelle, APV). En 2019, le CERT a convenu que le modèle d</w:t>
      </w:r>
      <w:r w:rsidR="00BA2A92">
        <w:t>’</w:t>
      </w:r>
      <w:r>
        <w:t>évaluation ne permet pas de produire des avis fiables sur l</w:t>
      </w:r>
      <w:r w:rsidR="00BA2A92">
        <w:t>’</w:t>
      </w:r>
      <w:r>
        <w:t>abondance actuelle, ni sur les prises dues</w:t>
      </w:r>
      <w:r w:rsidR="0096298B">
        <w:t xml:space="preserve">. </w:t>
      </w:r>
      <w:r>
        <w:t>La tendance rétrospective, qui est apparue pour la première fois en 2014, a augmenté chaque année et est devenue extrême en 2019, ce qui nécessité de ramener l</w:t>
      </w:r>
      <w:r w:rsidR="00BA2A92">
        <w:t>’</w:t>
      </w:r>
      <w:r>
        <w:t>abondance à environ 1/3 de la valeur estimée initiale</w:t>
      </w:r>
      <w:r w:rsidR="0096298B">
        <w:t xml:space="preserve">. </w:t>
      </w:r>
      <w:r>
        <w:t>De plus, les ajustements aux indices étaient faibles, affichant des années consécutives où presque tous les âges ont été surestimés ou sous-estimés</w:t>
      </w:r>
      <w:r w:rsidR="0096298B">
        <w:t xml:space="preserve">. </w:t>
      </w:r>
      <w:r>
        <w:t>De plus, l</w:t>
      </w:r>
      <w:r w:rsidR="00BA2A92">
        <w:t>’</w:t>
      </w:r>
      <w:r>
        <w:t>incertitude dans les données selon l</w:t>
      </w:r>
      <w:r w:rsidR="00BA2A92">
        <w:t>’</w:t>
      </w:r>
      <w:r>
        <w:t>âge qui ont été introduites dans le modèle était plus grande. Cette incertitude accrue est due au fait que les classes d</w:t>
      </w:r>
      <w:r w:rsidR="00BA2A92">
        <w:t>’</w:t>
      </w:r>
      <w:r>
        <w:t>âge moins abondantes de part et d</w:t>
      </w:r>
      <w:r w:rsidR="00BA2A92">
        <w:t>’</w:t>
      </w:r>
      <w:r>
        <w:t>autre de la classe d</w:t>
      </w:r>
      <w:r w:rsidR="00BA2A92">
        <w:t>’</w:t>
      </w:r>
      <w:r>
        <w:t>âge de 2013 se chevauchent complètement dans la distribution des longueurs, ce qui entraîne un « lissage » de la classe d</w:t>
      </w:r>
      <w:r w:rsidR="00BA2A92">
        <w:t>’</w:t>
      </w:r>
      <w:r>
        <w:t>âge de 2013 dans les âges adjacents où une clé de longueur selon l</w:t>
      </w:r>
      <w:r w:rsidR="00BA2A92">
        <w:t>’</w:t>
      </w:r>
      <w:r>
        <w:t>âge est appliquée à ces longueurs</w:t>
      </w:r>
      <w:r w:rsidR="0096298B">
        <w:t xml:space="preserve">. </w:t>
      </w:r>
      <w:r>
        <w:t>En raison du piètre rendement de l</w:t>
      </w:r>
      <w:r w:rsidR="00BA2A92">
        <w:t>’</w:t>
      </w:r>
      <w:r>
        <w:t>APV et de l</w:t>
      </w:r>
      <w:r w:rsidR="00BA2A92">
        <w:t>’</w:t>
      </w:r>
      <w:r>
        <w:t>incertitude accrue des données selon l</w:t>
      </w:r>
      <w:r w:rsidR="00BA2A92">
        <w:t>’</w:t>
      </w:r>
      <w:r>
        <w:t>âge, ce sont la biomasse du relevé et les prises totales qui sont résumées pour décrire l</w:t>
      </w:r>
      <w:r w:rsidR="00BA2A92">
        <w:t>’</w:t>
      </w:r>
      <w:r>
        <w:t>état de la ressource, plutôt que les résultats du modèle rejeté</w:t>
      </w:r>
      <w:r w:rsidR="0096298B">
        <w:t xml:space="preserve">. </w:t>
      </w:r>
    </w:p>
    <w:p w14:paraId="2FD065F0" w14:textId="6A3D4055" w:rsidR="004C0F17" w:rsidRPr="00CF6978" w:rsidRDefault="00926365" w:rsidP="002941D2">
      <w:pPr>
        <w:pStyle w:val="BodyText"/>
        <w:spacing w:after="120"/>
      </w:pPr>
      <w:r>
        <w:t>La biomasse moyenne du relevé est bien supérieure à la moyenne de la série chronologique (de 30 à 40 % plus élevée en 2018-2019)</w:t>
      </w:r>
      <w:r w:rsidR="0096298B">
        <w:t xml:space="preserve">. </w:t>
      </w:r>
      <w:r>
        <w:t>La classe d</w:t>
      </w:r>
      <w:r w:rsidR="00BA2A92">
        <w:t>’</w:t>
      </w:r>
      <w:r>
        <w:t>âge de 2013 demeure la plus importante observée dans l</w:t>
      </w:r>
      <w:r w:rsidR="00BA2A92">
        <w:t>’</w:t>
      </w:r>
      <w:r>
        <w:t>ensemble de la série chronologique du relevé, mais deux relevés sur trois ont diminué durant l</w:t>
      </w:r>
      <w:r w:rsidR="00BA2A92">
        <w:t>’</w:t>
      </w:r>
      <w:r>
        <w:t>année la plus récente, et on s</w:t>
      </w:r>
      <w:r w:rsidR="00BA2A92">
        <w:t>’</w:t>
      </w:r>
      <w:r>
        <w:t>attend à une autre baisse dans l</w:t>
      </w:r>
      <w:r w:rsidR="00BA2A92">
        <w:t>’</w:t>
      </w:r>
      <w:r>
        <w:t>avenir immédiat, car la grande classe d</w:t>
      </w:r>
      <w:r w:rsidR="00BA2A92">
        <w:t>’</w:t>
      </w:r>
      <w:r>
        <w:t>âge de 2013 diminue en nombre.</w:t>
      </w:r>
    </w:p>
    <w:p w14:paraId="184B6642" w14:textId="25060060" w:rsidR="00C756B0" w:rsidRPr="008149EA" w:rsidRDefault="003E6C7E" w:rsidP="002941D2">
      <w:pPr>
        <w:pStyle w:val="BodyText"/>
        <w:spacing w:after="120"/>
      </w:pPr>
      <w:r w:rsidRPr="00B3422B">
        <w:t>La</w:t>
      </w:r>
      <w:r>
        <w:rPr>
          <w:b/>
        </w:rPr>
        <w:t xml:space="preserve"> mortalité par pêche relative (F) </w:t>
      </w:r>
      <w:r>
        <w:t>(prises/biomasse du relevé sans ajustement en fonction de la capturabilité) a été calculée individuellement pour chacun des relevés, puis une moyenne annuelle de la mortalité par pêche relative a été calculée en utilisant les relevés de printemps du MPO et du NMFS et e relevé d</w:t>
      </w:r>
      <w:r w:rsidR="00BA2A92">
        <w:t>’</w:t>
      </w:r>
      <w:r>
        <w:t>automne du NMFS l</w:t>
      </w:r>
      <w:r w:rsidR="00BA2A92">
        <w:t>’</w:t>
      </w:r>
      <w:r>
        <w:t>année précédente, de 1987 à 2018 (figure 5). Les valeurs de F relative ont eu tendance à être supérieures à la moyenne les premières années de la série chronologique jusqu</w:t>
      </w:r>
      <w:r w:rsidR="00BA2A92">
        <w:t>’</w:t>
      </w:r>
      <w:r>
        <w:t>en 1997 et sont demeurées basses depuis 2012</w:t>
      </w:r>
      <w:r w:rsidR="0096298B">
        <w:t xml:space="preserve">. </w:t>
      </w:r>
      <w:r>
        <w:t xml:space="preserve"> </w:t>
      </w:r>
    </w:p>
    <w:p w14:paraId="1B6AC865" w14:textId="77777777" w:rsidR="004C0F17" w:rsidRPr="008149EA" w:rsidRDefault="004C0F17" w:rsidP="00EF2777">
      <w:pPr>
        <w:pStyle w:val="Heading5"/>
        <w:spacing w:before="120" w:after="120"/>
      </w:pPr>
      <w:r>
        <w:t>Productivité</w:t>
      </w:r>
    </w:p>
    <w:p w14:paraId="5A96F5C9" w14:textId="0850640F" w:rsidR="009642ED" w:rsidRDefault="009A20BE" w:rsidP="00D01D18">
      <w:pPr>
        <w:pStyle w:val="BodyText"/>
        <w:spacing w:after="120"/>
      </w:pPr>
      <w:r>
        <w:t xml:space="preserve">Le </w:t>
      </w:r>
      <w:r>
        <w:rPr>
          <w:b/>
          <w:bCs/>
        </w:rPr>
        <w:t>recrutement</w:t>
      </w:r>
      <w:r>
        <w:t>, la structure selon l</w:t>
      </w:r>
      <w:r w:rsidR="00BA2A92">
        <w:t>’</w:t>
      </w:r>
      <w:r>
        <w:t>âge, la répartition spatiale et la croissance du poisson reflètent des changements dans le potentiel de production. Le recrutement, bien que hautement variable, a généralement été supérieur lorsque la biomasse des adultes se situait au-dessus de 40 000 t, et le stock a produit plusieurs classes d</w:t>
      </w:r>
      <w:r w:rsidR="00BA2A92">
        <w:t>’</w:t>
      </w:r>
      <w:r>
        <w:t>âge exceptionnellement vigoureuses au cours des 16 dernières années. Il n</w:t>
      </w:r>
      <w:r w:rsidR="00BA2A92">
        <w:t>’</w:t>
      </w:r>
      <w:r>
        <w:t>y a aucune indication de classes d</w:t>
      </w:r>
      <w:r w:rsidR="00BA2A92">
        <w:t>’</w:t>
      </w:r>
      <w:r>
        <w:t>âge exceptionnelles entrant dans la population de (nombres selon l</w:t>
      </w:r>
      <w:r w:rsidR="00BA2A92">
        <w:t>’</w:t>
      </w:r>
      <w:r>
        <w:t>âge de 2000 à 2018, d</w:t>
      </w:r>
      <w:r w:rsidR="00BA2A92">
        <w:t>’</w:t>
      </w:r>
      <w:r>
        <w:t>après le relevé d</w:t>
      </w:r>
      <w:r w:rsidR="00BA2A92">
        <w:t>’</w:t>
      </w:r>
      <w:r>
        <w:t>automne du NMFS sur la figure 3). Il existe des indications préliminaires d</w:t>
      </w:r>
      <w:r w:rsidR="00BA2A92">
        <w:t>’</w:t>
      </w:r>
      <w:r>
        <w:t xml:space="preserve">un recrutement supérieur à la moyenne pour 2016 (figure 3), bien que cette observation soit incertaine. La </w:t>
      </w:r>
      <w:r>
        <w:rPr>
          <w:b/>
          <w:bCs/>
        </w:rPr>
        <w:t>structure selon l</w:t>
      </w:r>
      <w:r w:rsidR="00BA2A92">
        <w:rPr>
          <w:b/>
          <w:bCs/>
        </w:rPr>
        <w:t>’</w:t>
      </w:r>
      <w:r>
        <w:rPr>
          <w:b/>
          <w:bCs/>
        </w:rPr>
        <w:t>âge de la population</w:t>
      </w:r>
      <w:r>
        <w:t xml:space="preserve"> affiche une vaste représentation des divers groupes d</w:t>
      </w:r>
      <w:r w:rsidR="00BA2A92">
        <w:t>’</w:t>
      </w:r>
      <w:r>
        <w:t xml:space="preserve">âge, ce qui dénote une amélioration du recrutement depuis 1995. Les tendances de la </w:t>
      </w:r>
      <w:r>
        <w:rPr>
          <w:b/>
        </w:rPr>
        <w:t>répartition spatiale</w:t>
      </w:r>
      <w:r>
        <w:t xml:space="preserve"> observées pendant les plus récents relevés au chalut de fond étaient comparables aux tendances moyennes des dix années précédentes. </w:t>
      </w:r>
    </w:p>
    <w:p w14:paraId="3BAC9E60" w14:textId="76ECE8F8" w:rsidR="003D1773" w:rsidRPr="008149EA" w:rsidRDefault="00404464" w:rsidP="00D01D18">
      <w:pPr>
        <w:pStyle w:val="BodyText"/>
        <w:spacing w:after="120"/>
      </w:pPr>
      <w:r>
        <w:t>Il y a eu un déclin général du poids selon l</w:t>
      </w:r>
      <w:r w:rsidR="00BA2A92">
        <w:t>’</w:t>
      </w:r>
      <w:r>
        <w:t>âge depuis la fin des années</w:t>
      </w:r>
      <w:r w:rsidR="003170DC">
        <w:t> </w:t>
      </w:r>
      <w:r>
        <w:t>1990. Tandis que la biomasse a augmenté, les taux de croissance et les longueurs asymptotiques ont décliné. Ce déclin dans la taille selon l</w:t>
      </w:r>
      <w:r w:rsidR="00BA2A92">
        <w:t>’</w:t>
      </w:r>
      <w:r>
        <w:t>âge s</w:t>
      </w:r>
      <w:r w:rsidR="00BA2A92">
        <w:t>’</w:t>
      </w:r>
      <w:r>
        <w:t>est exacerbé pour la classe d</w:t>
      </w:r>
      <w:r w:rsidR="00BA2A92">
        <w:t>’</w:t>
      </w:r>
      <w:r>
        <w:t>âge de 2013 (figure 4). L</w:t>
      </w:r>
      <w:r w:rsidR="00BA2A92">
        <w:t>’</w:t>
      </w:r>
      <w:r>
        <w:t>état des poissons, tel que mesuré par le K de Fulton, est généralement inférieur à la moyenne de la série chronologique depuis 2004 pour les relevés printaniers du MPO et du NMFS</w:t>
      </w:r>
      <w:r w:rsidR="0096298B">
        <w:t xml:space="preserve">. </w:t>
      </w:r>
      <w:r>
        <w:t>En 2018 (relevé d</w:t>
      </w:r>
      <w:r w:rsidR="00BA2A92">
        <w:t>’</w:t>
      </w:r>
      <w:r>
        <w:t xml:space="preserve">automne du NMFS) et </w:t>
      </w:r>
      <w:r w:rsidR="00B3422B">
        <w:t xml:space="preserve">en </w:t>
      </w:r>
      <w:r>
        <w:t>2019 (relevé de printemps du NMFS), l</w:t>
      </w:r>
      <w:r w:rsidR="00BA2A92">
        <w:t>’</w:t>
      </w:r>
      <w:r>
        <w:t xml:space="preserve">état </w:t>
      </w:r>
      <w:r w:rsidR="00B3422B">
        <w:t>est</w:t>
      </w:r>
      <w:r>
        <w:t xml:space="preserve"> passé au-dessus de la moyenne de la série chronologique; en 2019, il a augmenté dans le relevé du MPO, mais est demeuré sous la moyenne de la série chronologique.</w:t>
      </w:r>
    </w:p>
    <w:p w14:paraId="1F0A76C7" w14:textId="77777777" w:rsidR="00901E24" w:rsidRPr="008149EA" w:rsidRDefault="004C0F17" w:rsidP="00D01D18">
      <w:pPr>
        <w:pStyle w:val="Heading5"/>
        <w:spacing w:before="240" w:after="120"/>
      </w:pPr>
      <w:r>
        <w:t>Perspectives et avis du CERT</w:t>
      </w:r>
    </w:p>
    <w:p w14:paraId="6BA3CEC1" w14:textId="2BB9F52E" w:rsidR="00901E24" w:rsidRPr="008149EA" w:rsidRDefault="00901E24" w:rsidP="00D01D18">
      <w:pPr>
        <w:pStyle w:val="BodyText"/>
        <w:spacing w:after="120"/>
      </w:pPr>
      <w:r>
        <w:t>Le modèle d</w:t>
      </w:r>
      <w:r w:rsidR="00BA2A92">
        <w:t>’</w:t>
      </w:r>
      <w:r>
        <w:t>évaluation a été rejeté, de sorte qu</w:t>
      </w:r>
      <w:r w:rsidR="00BA2A92">
        <w:t>’</w:t>
      </w:r>
      <w:r>
        <w:t>il n</w:t>
      </w:r>
      <w:r w:rsidR="00BA2A92">
        <w:t>’</w:t>
      </w:r>
      <w:r>
        <w:t>y a pas de projections analytiques pour caractériser le risque de prises en 2020 et 2021</w:t>
      </w:r>
      <w:r w:rsidR="0096298B">
        <w:t xml:space="preserve">. </w:t>
      </w:r>
      <w:r>
        <w:t>Nous présentons plutôt les tendances du relevé et de F relative, ainsi que des comparaisons avec la classe d</w:t>
      </w:r>
      <w:r w:rsidR="00BA2A92">
        <w:t>’</w:t>
      </w:r>
      <w:r>
        <w:t>âge de 2003 en 2009 (qui est semblable à la classe d</w:t>
      </w:r>
      <w:r w:rsidR="00BA2A92">
        <w:t>’</w:t>
      </w:r>
      <w:r>
        <w:t>âge de 2013 en 2019) (tableau 2)</w:t>
      </w:r>
      <w:r w:rsidR="0096298B">
        <w:t xml:space="preserve">. </w:t>
      </w:r>
      <w:r>
        <w:t>En plus de ces résumés sans modèle, les résultats de l</w:t>
      </w:r>
      <w:r w:rsidR="00BA2A92">
        <w:t>’</w:t>
      </w:r>
      <w:r>
        <w:t>APV de 2012 sont résumés dans le but d</w:t>
      </w:r>
      <w:r w:rsidR="00BA2A92">
        <w:t>’</w:t>
      </w:r>
      <w:r>
        <w:t>établir un lien entre les mesures relatives actuelles et les estimations analytiques de la dernière APV ayant un rendement acceptable (tableau 2)</w:t>
      </w:r>
      <w:r w:rsidR="0096298B">
        <w:t xml:space="preserve">. </w:t>
      </w:r>
      <w:r>
        <w:t>Les observations sans modèle sur l</w:t>
      </w:r>
      <w:r w:rsidR="00BA2A92">
        <w:t>’</w:t>
      </w:r>
      <w:r>
        <w:t>état de la population et les raisons d</w:t>
      </w:r>
      <w:r w:rsidR="00BA2A92">
        <w:t>’</w:t>
      </w:r>
      <w:r>
        <w:t>ajuster les quotas futurs sont récapitulées dans le tableau 3.</w:t>
      </w:r>
    </w:p>
    <w:p w14:paraId="53BB9574" w14:textId="16E1152E" w:rsidR="00901E24" w:rsidRPr="008149EA" w:rsidRDefault="00901E24" w:rsidP="00D01D18">
      <w:pPr>
        <w:pStyle w:val="BodyText"/>
        <w:spacing w:after="120"/>
      </w:pPr>
      <w:r>
        <w:t>La population devrait diminuer de 2019 à 2020 et 2021, même sans aucune prise en 2020</w:t>
      </w:r>
      <w:r w:rsidR="0096298B">
        <w:t xml:space="preserve">. </w:t>
      </w:r>
      <w:r>
        <w:t>Cela s</w:t>
      </w:r>
      <w:r w:rsidR="00BA2A92">
        <w:t>’</w:t>
      </w:r>
      <w:r>
        <w:t>explique principalement par la diminution du nombre d</w:t>
      </w:r>
      <w:r w:rsidR="00BA2A92">
        <w:t>’</w:t>
      </w:r>
      <w:r>
        <w:t>individus de la classe d</w:t>
      </w:r>
      <w:r w:rsidR="00BA2A92">
        <w:t>’</w:t>
      </w:r>
      <w:r>
        <w:t>âge de 2013, dont le gain de poids devrait être très faible entre les âges 6 et 8</w:t>
      </w:r>
      <w:r w:rsidR="0096298B">
        <w:t xml:space="preserve">. </w:t>
      </w:r>
      <w:r>
        <w:t>Il est difficile de produire des avis sur les quotas pour 2020 et 2021 sans modèle analytique</w:t>
      </w:r>
      <w:r w:rsidR="0096298B">
        <w:t xml:space="preserve">. </w:t>
      </w:r>
      <w:r>
        <w:t>Avec un quota de 30 000 t pour 2019, le CERT a convenu que le quota ne devrait pas être augmenté en 2020 et 2021</w:t>
      </w:r>
      <w:r w:rsidR="0096298B">
        <w:t xml:space="preserve">. </w:t>
      </w:r>
      <w:r>
        <w:t>Deux solutions de rechange aux avis sur les prises consistent à maintenir le statu quo ou à réduire le quota. Bien que la population soit encore abondante et bien au-dessus de la biomasse moyenne du relevé de la série chronologique (30 à 40 % plus élevée en 2018 et 2019), le maintien d</w:t>
      </w:r>
      <w:r w:rsidR="00BA2A92">
        <w:t>’</w:t>
      </w:r>
      <w:r>
        <w:t>un quota constant sur une population en déclin (où les prises proviennent principalement d</w:t>
      </w:r>
      <w:r w:rsidR="00BA2A92">
        <w:t>’</w:t>
      </w:r>
      <w:r>
        <w:t>une seule classe d</w:t>
      </w:r>
      <w:r w:rsidR="00BA2A92">
        <w:t>’</w:t>
      </w:r>
      <w:r>
        <w:t>âge) entraînerait une tendance croissante de la F relative. De plus, la disponibilité de la classe d</w:t>
      </w:r>
      <w:r w:rsidR="00BA2A92">
        <w:t>’</w:t>
      </w:r>
      <w:r>
        <w:t>âge de 2013 pour la pêche chez ces âges plus avancés est incertaine, en raison des signes de faible disponibilité pour cette pêche après l</w:t>
      </w:r>
      <w:r w:rsidR="00BA2A92">
        <w:t>’</w:t>
      </w:r>
      <w:r>
        <w:t>âge 8 (observations des APV sur les 10 dernières années)</w:t>
      </w:r>
      <w:r w:rsidR="0096298B">
        <w:t xml:space="preserve">. </w:t>
      </w:r>
      <w:r>
        <w:t>L</w:t>
      </w:r>
      <w:r w:rsidR="00BA2A92">
        <w:t>’</w:t>
      </w:r>
      <w:r>
        <w:t>incertitude de la disponibilité, combinée au fait que les poids selon l</w:t>
      </w:r>
      <w:r w:rsidR="00BA2A92">
        <w:t>’</w:t>
      </w:r>
      <w:r>
        <w:t>âge sont les plus faibles observés pour la classe d</w:t>
      </w:r>
      <w:r w:rsidR="00BA2A92">
        <w:t>’</w:t>
      </w:r>
      <w:r>
        <w:t>âge de 2013, vont à l</w:t>
      </w:r>
      <w:r w:rsidR="00BA2A92">
        <w:t>’</w:t>
      </w:r>
      <w:r>
        <w:t>encontre d</w:t>
      </w:r>
      <w:r w:rsidR="00BA2A92">
        <w:t>’</w:t>
      </w:r>
      <w:r>
        <w:t>un statu quo du quota</w:t>
      </w:r>
      <w:r w:rsidR="0096298B">
        <w:t xml:space="preserve">. </w:t>
      </w:r>
    </w:p>
    <w:p w14:paraId="5807FD0E" w14:textId="2E0D5CF0" w:rsidR="00901E24" w:rsidRDefault="00901E24" w:rsidP="00D01D18">
      <w:pPr>
        <w:pStyle w:val="BodyText"/>
        <w:spacing w:after="120"/>
      </w:pPr>
      <w:r>
        <w:t>L</w:t>
      </w:r>
      <w:r w:rsidR="00BA2A92">
        <w:t>’</w:t>
      </w:r>
      <w:r>
        <w:t>autre solution consiste à réduire les quotas de 2020 et 2021 par rapport au quota de 2019, qui était de 30 000 tonnes</w:t>
      </w:r>
      <w:r w:rsidR="0096298B">
        <w:t xml:space="preserve">. </w:t>
      </w:r>
      <w:r>
        <w:t>Le CERT recommande de ne pas augmenter le quota en 2020 par rapport au quota de 2019 (30 000 t), mais de le réduire en 2021</w:t>
      </w:r>
      <w:r w:rsidR="0096298B">
        <w:t xml:space="preserve">. </w:t>
      </w:r>
      <w:r>
        <w:t>Il n</w:t>
      </w:r>
      <w:r w:rsidR="00BA2A92">
        <w:t>’</w:t>
      </w:r>
      <w:r>
        <w:t>y a pas de consensus sur la possibilité de réduire le quota en 2020</w:t>
      </w:r>
      <w:r w:rsidR="00B3422B">
        <w:t xml:space="preserve">. </w:t>
      </w:r>
      <w:r>
        <w:t>Pour obtenir des orientations sur une gamme potentiellement raisonnable d</w:t>
      </w:r>
      <w:r w:rsidR="00BA2A92">
        <w:t>’</w:t>
      </w:r>
      <w:r>
        <w:t>avis sur les quotas, le COGST pourrait prendre comme point de départ les avis sur les quotas pour la classe d</w:t>
      </w:r>
      <w:r w:rsidR="00BA2A92">
        <w:t>’</w:t>
      </w:r>
      <w:r>
        <w:t>âge de 2003 en 2009-2011</w:t>
      </w:r>
      <w:r w:rsidR="0096298B">
        <w:t xml:space="preserve">. </w:t>
      </w:r>
      <w:r>
        <w:t>La biomasse moyenne du relevé de 2009 (54 254 t, tableau 2) est du même ordre de grandeur que la biomasse moyenne du relevé de 2019 (62 041 t), et on pourrait s</w:t>
      </w:r>
      <w:r w:rsidR="00BA2A92">
        <w:t>’</w:t>
      </w:r>
      <w:r>
        <w:t>attendre à une tendance similaire à mesure que la classe d</w:t>
      </w:r>
      <w:r w:rsidR="00BA2A92">
        <w:t>’</w:t>
      </w:r>
      <w:r>
        <w:t>âge de 2013 diminuera avec l</w:t>
      </w:r>
      <w:r w:rsidR="00BA2A92">
        <w:t>’</w:t>
      </w:r>
      <w:r>
        <w:t>âge et se rapprochera du groupe plus vieux (9 ans et plus)</w:t>
      </w:r>
      <w:r w:rsidR="0096298B">
        <w:t xml:space="preserve">. </w:t>
      </w:r>
      <w:r>
        <w:t>Les quotas fixés en 2010-2011 sont antérieurs à l</w:t>
      </w:r>
      <w:r w:rsidR="00BA2A92">
        <w:t>’</w:t>
      </w:r>
      <w:r>
        <w:t>apparition du modèle rétrospectif de l</w:t>
      </w:r>
      <w:r w:rsidR="00BA2A92">
        <w:t>’</w:t>
      </w:r>
      <w:r>
        <w:t>APV, ce qui donne à penser que l</w:t>
      </w:r>
      <w:r w:rsidR="00BA2A92">
        <w:t>’</w:t>
      </w:r>
      <w:r>
        <w:t>échelle de ces quotas était probablement appropriée</w:t>
      </w:r>
      <w:r w:rsidR="0096298B">
        <w:t xml:space="preserve">. </w:t>
      </w:r>
      <w:r>
        <w:t>On estime que les prises prélevées en 2009-2011 étaient inférieures à F</w:t>
      </w:r>
      <w:r>
        <w:rPr>
          <w:vertAlign w:val="subscript"/>
        </w:rPr>
        <w:t xml:space="preserve">réf </w:t>
      </w:r>
      <w:r>
        <w:t xml:space="preserve">(0,26), et même si le quota total avait été prélevé, F aurait été comprise entre 0,19 et 0,27. </w:t>
      </w:r>
    </w:p>
    <w:p w14:paraId="6D87D10E" w14:textId="2E677487" w:rsidR="00D01D18" w:rsidRDefault="00901E24" w:rsidP="00D01D18">
      <w:pPr>
        <w:pStyle w:val="BodyText"/>
        <w:spacing w:after="120"/>
      </w:pPr>
      <w:r>
        <w:t>Alors que le tableau 2 présente les quotas de 2010-2011, qui pourraient orienter ceux de 2020-2021, le CERT convient qu</w:t>
      </w:r>
      <w:r w:rsidR="00BA2A92">
        <w:t>’</w:t>
      </w:r>
      <w:r>
        <w:t>il devra revoir l</w:t>
      </w:r>
      <w:r w:rsidR="00BA2A92">
        <w:t>’</w:t>
      </w:r>
      <w:r>
        <w:t>avis sur le quota de la deuxième année (2021) devrait être réexaminé lors de sa réunion de 2020</w:t>
      </w:r>
      <w:r w:rsidR="0096298B">
        <w:t xml:space="preserve">. </w:t>
      </w:r>
      <w:r>
        <w:t>Les tendances du poids selon l</w:t>
      </w:r>
      <w:r w:rsidR="00BA2A92">
        <w:t>’</w:t>
      </w:r>
      <w:r>
        <w:t>âge et du relevé, ainsi que de F relative à partir de 2019, pourraient fournir de l</w:t>
      </w:r>
      <w:r w:rsidR="00BA2A92">
        <w:t>’</w:t>
      </w:r>
      <w:r>
        <w:t>information sur la pertinence du quota de la deuxième année</w:t>
      </w:r>
      <w:r w:rsidR="0096298B">
        <w:t xml:space="preserve">. </w:t>
      </w:r>
      <w:r>
        <w:t>À titre de comparaison, les valeurs de la mortalité par pêche (F) relative pour 2009-2011 variaient de 0,94 à 1,20, et pourraient s</w:t>
      </w:r>
      <w:r w:rsidR="00BA2A92">
        <w:t>’</w:t>
      </w:r>
      <w:r>
        <w:t>avérer utiles pour calculer F relative pour 2019 à la prochaine réunion du CERT.</w:t>
      </w:r>
    </w:p>
    <w:p w14:paraId="51EE2EFE" w14:textId="77777777" w:rsidR="00D01D18" w:rsidRDefault="00D01D18">
      <w:r>
        <w:br w:type="page"/>
      </w:r>
    </w:p>
    <w:p w14:paraId="0E6BE759" w14:textId="1BC776A3" w:rsidR="00901E24" w:rsidRPr="00653AAD" w:rsidRDefault="00901E24" w:rsidP="00D01D18">
      <w:pPr>
        <w:pStyle w:val="BodyText"/>
        <w:spacing w:before="240" w:after="120"/>
        <w:rPr>
          <w:i/>
        </w:rPr>
      </w:pPr>
      <w:r>
        <w:rPr>
          <w:i/>
        </w:rPr>
        <w:t>Tableau 2</w:t>
      </w:r>
      <w:r w:rsidR="0096298B">
        <w:rPr>
          <w:i/>
        </w:rPr>
        <w:t xml:space="preserve">. </w:t>
      </w:r>
      <w:r>
        <w:rPr>
          <w:i/>
        </w:rPr>
        <w:t>Renseignements tirés de l</w:t>
      </w:r>
      <w:r w:rsidR="00BA2A92">
        <w:rPr>
          <w:i/>
        </w:rPr>
        <w:t>’</w:t>
      </w:r>
      <w:r>
        <w:rPr>
          <w:i/>
        </w:rPr>
        <w:t>APV de 2012 (cellules surlignées en jaune dans les années</w:t>
      </w:r>
      <w:r w:rsidR="003170DC">
        <w:rPr>
          <w:i/>
        </w:rPr>
        <w:t> </w:t>
      </w:r>
      <w:r>
        <w:rPr>
          <w:i/>
        </w:rPr>
        <w:t>2009-2011) et de la biomasse moyenne du relevé de 2019</w:t>
      </w:r>
      <w:r w:rsidR="0096298B">
        <w:rPr>
          <w:i/>
        </w:rPr>
        <w:t xml:space="preserve">. </w:t>
      </w:r>
      <w:r>
        <w:rPr>
          <w:i/>
        </w:rPr>
        <w:t>L</w:t>
      </w:r>
      <w:r w:rsidR="00BA2A92">
        <w:rPr>
          <w:i/>
        </w:rPr>
        <w:t>’</w:t>
      </w:r>
      <w:r>
        <w:rPr>
          <w:i/>
        </w:rPr>
        <w:t>APV de 2012 est la dernière itération du modèle sans modèle rétrospectif et fournit une mesure de l</w:t>
      </w:r>
      <w:r w:rsidR="00BA2A92">
        <w:rPr>
          <w:i/>
        </w:rPr>
        <w:t>’</w:t>
      </w:r>
      <w:r>
        <w:rPr>
          <w:i/>
        </w:rPr>
        <w:t>échelle entre la biomasse moyenne du relevé (AvgSurvB) et la biomasse des poissons d</w:t>
      </w:r>
      <w:r w:rsidR="00BA2A92">
        <w:rPr>
          <w:i/>
        </w:rPr>
        <w:t>’</w:t>
      </w:r>
      <w:r>
        <w:rPr>
          <w:i/>
        </w:rPr>
        <w:t>âge</w:t>
      </w:r>
      <w:r w:rsidR="003170DC">
        <w:rPr>
          <w:i/>
        </w:rPr>
        <w:t> </w:t>
      </w:r>
      <w:r>
        <w:rPr>
          <w:i/>
        </w:rPr>
        <w:t>3+ estimée par l</w:t>
      </w:r>
      <w:r w:rsidR="00BA2A92">
        <w:rPr>
          <w:i/>
        </w:rPr>
        <w:t>’</w:t>
      </w:r>
      <w:r>
        <w:rPr>
          <w:i/>
        </w:rPr>
        <w:t>APV (B), et entre les estimations de F par l</w:t>
      </w:r>
      <w:r w:rsidR="00BA2A92">
        <w:rPr>
          <w:i/>
        </w:rPr>
        <w:t>’</w:t>
      </w:r>
      <w:r>
        <w:rPr>
          <w:i/>
        </w:rPr>
        <w:t>APV pour les âges 5 à 8 (F5-8) correspondant aux prises prélevées de la biomasse moyenne du relevé (Rel.F)</w:t>
      </w:r>
      <w:r w:rsidR="0096298B">
        <w:rPr>
          <w:i/>
        </w:rPr>
        <w:t xml:space="preserve">. </w:t>
      </w:r>
      <w:r>
        <w:rPr>
          <w:i/>
        </w:rPr>
        <w:t>Dans la dernière colonne, la valeur de F5-8 est mise à l</w:t>
      </w:r>
      <w:r w:rsidR="00BA2A92">
        <w:rPr>
          <w:i/>
        </w:rPr>
        <w:t>’</w:t>
      </w:r>
      <w:r>
        <w:rPr>
          <w:i/>
        </w:rPr>
        <w:t>échelle par le rapport quota/prises (Q/C) pour estimer ce que F aurait pu être si le quota total avait été pêché</w:t>
      </w:r>
      <w:r w:rsidR="0096298B">
        <w:rPr>
          <w:i/>
        </w:rPr>
        <w:t xml:space="preserve">. </w:t>
      </w:r>
      <w:r>
        <w:rPr>
          <w:i/>
        </w:rPr>
        <w:t>*Indique les valeurs qui seront renseignées lors de la réunion du CERT de 2020 et ** celles qui le seront après la réunion du COGST de 2019.</w:t>
      </w:r>
    </w:p>
    <w:tbl>
      <w:tblPr>
        <w:tblW w:w="9295" w:type="dxa"/>
        <w:tblLook w:val="04A0" w:firstRow="1" w:lastRow="0" w:firstColumn="1" w:lastColumn="0" w:noHBand="0" w:noVBand="1"/>
      </w:tblPr>
      <w:tblGrid>
        <w:gridCol w:w="960"/>
        <w:gridCol w:w="960"/>
        <w:gridCol w:w="960"/>
        <w:gridCol w:w="960"/>
        <w:gridCol w:w="1140"/>
        <w:gridCol w:w="960"/>
        <w:gridCol w:w="960"/>
        <w:gridCol w:w="1419"/>
        <w:gridCol w:w="1000"/>
      </w:tblGrid>
      <w:tr w:rsidR="00901E24" w14:paraId="3191DC07" w14:textId="77777777" w:rsidTr="00ED0CF2">
        <w:trPr>
          <w:trHeight w:val="300"/>
        </w:trPr>
        <w:tc>
          <w:tcPr>
            <w:tcW w:w="960" w:type="dxa"/>
            <w:tcBorders>
              <w:top w:val="nil"/>
              <w:left w:val="nil"/>
              <w:bottom w:val="nil"/>
              <w:right w:val="nil"/>
            </w:tcBorders>
            <w:shd w:val="clear" w:color="auto" w:fill="auto"/>
            <w:noWrap/>
            <w:vAlign w:val="bottom"/>
            <w:hideMark/>
          </w:tcPr>
          <w:p w14:paraId="24ED09E0" w14:textId="7E659833" w:rsidR="00901E24" w:rsidRDefault="00482E51" w:rsidP="000A29EF">
            <w:pPr>
              <w:jc w:val="right"/>
              <w:rPr>
                <w:rFonts w:ascii="Calibri" w:hAnsi="Calibri"/>
                <w:b/>
                <w:bCs/>
                <w:color w:val="000000"/>
                <w:sz w:val="22"/>
                <w:szCs w:val="22"/>
                <w:u w:val="single"/>
              </w:rPr>
            </w:pPr>
            <w:r>
              <w:rPr>
                <w:rFonts w:ascii="Calibri" w:hAnsi="Calibri"/>
                <w:b/>
                <w:bCs/>
                <w:color w:val="000000"/>
                <w:sz w:val="22"/>
                <w:szCs w:val="22"/>
                <w:u w:val="single"/>
              </w:rPr>
              <w:t>Année</w:t>
            </w:r>
          </w:p>
        </w:tc>
        <w:tc>
          <w:tcPr>
            <w:tcW w:w="960" w:type="dxa"/>
            <w:tcBorders>
              <w:top w:val="nil"/>
              <w:left w:val="nil"/>
              <w:bottom w:val="nil"/>
              <w:right w:val="nil"/>
            </w:tcBorders>
            <w:shd w:val="clear" w:color="auto" w:fill="auto"/>
            <w:noWrap/>
            <w:vAlign w:val="bottom"/>
            <w:hideMark/>
          </w:tcPr>
          <w:p w14:paraId="34A09B16"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F5-8</w:t>
            </w:r>
          </w:p>
        </w:tc>
        <w:tc>
          <w:tcPr>
            <w:tcW w:w="960" w:type="dxa"/>
            <w:tcBorders>
              <w:top w:val="nil"/>
              <w:left w:val="nil"/>
              <w:bottom w:val="nil"/>
              <w:right w:val="nil"/>
            </w:tcBorders>
            <w:shd w:val="clear" w:color="auto" w:fill="auto"/>
            <w:noWrap/>
            <w:vAlign w:val="bottom"/>
            <w:hideMark/>
          </w:tcPr>
          <w:p w14:paraId="106A6420"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Rel. F</w:t>
            </w:r>
          </w:p>
        </w:tc>
        <w:tc>
          <w:tcPr>
            <w:tcW w:w="960" w:type="dxa"/>
            <w:tcBorders>
              <w:top w:val="nil"/>
              <w:left w:val="nil"/>
              <w:bottom w:val="nil"/>
              <w:right w:val="nil"/>
            </w:tcBorders>
            <w:shd w:val="clear" w:color="auto" w:fill="auto"/>
            <w:noWrap/>
            <w:vAlign w:val="bottom"/>
            <w:hideMark/>
          </w:tcPr>
          <w:p w14:paraId="5C8FDDE4" w14:textId="77777777" w:rsidR="00901E24" w:rsidRDefault="00901E24" w:rsidP="000A29EF">
            <w:pPr>
              <w:jc w:val="center"/>
              <w:rPr>
                <w:rFonts w:ascii="Calibri" w:hAnsi="Calibri"/>
                <w:b/>
                <w:bCs/>
                <w:color w:val="000000"/>
                <w:sz w:val="22"/>
                <w:szCs w:val="22"/>
                <w:u w:val="single"/>
              </w:rPr>
            </w:pPr>
            <w:r>
              <w:rPr>
                <w:rFonts w:ascii="Calibri" w:hAnsi="Calibri"/>
                <w:b/>
                <w:bCs/>
                <w:color w:val="000000"/>
                <w:sz w:val="22"/>
                <w:szCs w:val="22"/>
                <w:u w:val="single"/>
              </w:rPr>
              <w:t>B</w:t>
            </w:r>
          </w:p>
        </w:tc>
        <w:tc>
          <w:tcPr>
            <w:tcW w:w="1140" w:type="dxa"/>
            <w:tcBorders>
              <w:top w:val="nil"/>
              <w:left w:val="nil"/>
              <w:bottom w:val="nil"/>
              <w:right w:val="nil"/>
            </w:tcBorders>
            <w:shd w:val="clear" w:color="auto" w:fill="auto"/>
            <w:noWrap/>
            <w:vAlign w:val="bottom"/>
            <w:hideMark/>
          </w:tcPr>
          <w:p w14:paraId="16404B7F"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AvgSurvB</w:t>
            </w:r>
          </w:p>
        </w:tc>
        <w:tc>
          <w:tcPr>
            <w:tcW w:w="960" w:type="dxa"/>
            <w:tcBorders>
              <w:top w:val="nil"/>
              <w:left w:val="nil"/>
              <w:bottom w:val="nil"/>
              <w:right w:val="nil"/>
            </w:tcBorders>
            <w:shd w:val="clear" w:color="auto" w:fill="auto"/>
            <w:noWrap/>
            <w:vAlign w:val="bottom"/>
            <w:hideMark/>
          </w:tcPr>
          <w:p w14:paraId="3B9D0E8B"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Prises</w:t>
            </w:r>
          </w:p>
        </w:tc>
        <w:tc>
          <w:tcPr>
            <w:tcW w:w="960" w:type="dxa"/>
            <w:tcBorders>
              <w:top w:val="nil"/>
              <w:left w:val="nil"/>
              <w:bottom w:val="nil"/>
              <w:right w:val="nil"/>
            </w:tcBorders>
            <w:shd w:val="clear" w:color="auto" w:fill="auto"/>
            <w:noWrap/>
            <w:vAlign w:val="bottom"/>
            <w:hideMark/>
          </w:tcPr>
          <w:p w14:paraId="1343C84F"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Quota</w:t>
            </w:r>
          </w:p>
        </w:tc>
        <w:tc>
          <w:tcPr>
            <w:tcW w:w="1395" w:type="dxa"/>
            <w:tcBorders>
              <w:top w:val="nil"/>
              <w:left w:val="nil"/>
              <w:bottom w:val="nil"/>
              <w:right w:val="nil"/>
            </w:tcBorders>
            <w:shd w:val="clear" w:color="auto" w:fill="auto"/>
            <w:noWrap/>
            <w:vAlign w:val="bottom"/>
            <w:hideMark/>
          </w:tcPr>
          <w:p w14:paraId="2A684210"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Quota/Prises</w:t>
            </w:r>
          </w:p>
        </w:tc>
        <w:tc>
          <w:tcPr>
            <w:tcW w:w="1000" w:type="dxa"/>
            <w:tcBorders>
              <w:top w:val="nil"/>
              <w:left w:val="nil"/>
              <w:bottom w:val="nil"/>
              <w:right w:val="nil"/>
            </w:tcBorders>
            <w:shd w:val="clear" w:color="auto" w:fill="auto"/>
            <w:noWrap/>
            <w:vAlign w:val="bottom"/>
            <w:hideMark/>
          </w:tcPr>
          <w:p w14:paraId="7CBB1E99" w14:textId="77777777" w:rsidR="00901E24" w:rsidRDefault="00901E24" w:rsidP="000A29EF">
            <w:pPr>
              <w:jc w:val="right"/>
              <w:rPr>
                <w:rFonts w:ascii="Calibri" w:hAnsi="Calibri"/>
                <w:b/>
                <w:bCs/>
                <w:color w:val="000000"/>
                <w:sz w:val="22"/>
                <w:szCs w:val="22"/>
                <w:u w:val="single"/>
              </w:rPr>
            </w:pPr>
            <w:r>
              <w:rPr>
                <w:rFonts w:ascii="Calibri" w:hAnsi="Calibri"/>
                <w:b/>
                <w:bCs/>
                <w:color w:val="000000"/>
                <w:sz w:val="22"/>
                <w:szCs w:val="22"/>
                <w:u w:val="single"/>
              </w:rPr>
              <w:t>F*Q/C</w:t>
            </w:r>
          </w:p>
        </w:tc>
      </w:tr>
      <w:tr w:rsidR="00ED0CF2" w14:paraId="07BEFE6F" w14:textId="77777777" w:rsidTr="00ED0CF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2C98A" w14:textId="77777777" w:rsidR="00ED0CF2" w:rsidRDefault="00ED0CF2" w:rsidP="00ED0CF2">
            <w:pPr>
              <w:jc w:val="right"/>
              <w:rPr>
                <w:rFonts w:ascii="Calibri" w:hAnsi="Calibri"/>
                <w:color w:val="000000"/>
                <w:sz w:val="22"/>
                <w:szCs w:val="22"/>
              </w:rPr>
            </w:pPr>
            <w:r>
              <w:rPr>
                <w:rFonts w:ascii="Calibri" w:hAnsi="Calibri"/>
                <w:color w:val="000000"/>
                <w:sz w:val="22"/>
                <w:szCs w:val="22"/>
              </w:rPr>
              <w:t>2009</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CEA9A89" w14:textId="77777777" w:rsidR="00ED0CF2" w:rsidRDefault="00ED0CF2" w:rsidP="00ED0CF2">
            <w:pPr>
              <w:jc w:val="right"/>
              <w:rPr>
                <w:rFonts w:ascii="Calibri" w:hAnsi="Calibri"/>
                <w:color w:val="000000"/>
                <w:sz w:val="22"/>
                <w:szCs w:val="22"/>
              </w:rPr>
            </w:pPr>
            <w:r>
              <w:rPr>
                <w:rFonts w:ascii="Calibri" w:hAnsi="Calibri"/>
                <w:color w:val="000000"/>
                <w:sz w:val="22"/>
                <w:szCs w:val="22"/>
              </w:rPr>
              <w:t>0,12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3746B9" w14:textId="6F1C4A26" w:rsidR="00ED0CF2" w:rsidRDefault="00ED0CF2" w:rsidP="00ED0CF2">
            <w:pPr>
              <w:jc w:val="right"/>
              <w:rPr>
                <w:rFonts w:ascii="Calibri" w:hAnsi="Calibri"/>
                <w:color w:val="000000"/>
                <w:sz w:val="22"/>
                <w:szCs w:val="22"/>
              </w:rPr>
            </w:pPr>
            <w:r>
              <w:rPr>
                <w:rFonts w:ascii="Calibri" w:hAnsi="Calibri"/>
                <w:color w:val="000000"/>
                <w:sz w:val="22"/>
                <w:szCs w:val="22"/>
              </w:rPr>
              <w:t>0,94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6A0EF96" w14:textId="77777777" w:rsidR="00ED0CF2" w:rsidRDefault="00ED0CF2" w:rsidP="00ED0CF2">
            <w:pPr>
              <w:jc w:val="right"/>
              <w:rPr>
                <w:rFonts w:ascii="Calibri" w:hAnsi="Calibri"/>
                <w:color w:val="000000"/>
                <w:sz w:val="22"/>
                <w:szCs w:val="22"/>
              </w:rPr>
            </w:pPr>
            <w:r>
              <w:rPr>
                <w:rFonts w:ascii="Calibri" w:hAnsi="Calibri"/>
                <w:color w:val="000000"/>
                <w:sz w:val="22"/>
                <w:szCs w:val="22"/>
              </w:rPr>
              <w:t>132 500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7143929" w14:textId="77777777" w:rsidR="00ED0CF2" w:rsidRDefault="00ED0CF2" w:rsidP="00ED0CF2">
            <w:pPr>
              <w:jc w:val="right"/>
              <w:rPr>
                <w:rFonts w:ascii="Calibri" w:hAnsi="Calibri"/>
                <w:color w:val="000000"/>
                <w:sz w:val="22"/>
                <w:szCs w:val="22"/>
              </w:rPr>
            </w:pPr>
            <w:r>
              <w:rPr>
                <w:rFonts w:ascii="Calibri" w:hAnsi="Calibri"/>
                <w:color w:val="000000"/>
                <w:sz w:val="22"/>
                <w:szCs w:val="22"/>
              </w:rPr>
              <w:t>54 250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E1DAC5" w14:textId="77777777" w:rsidR="00ED0CF2" w:rsidRDefault="00ED0CF2" w:rsidP="00ED0CF2">
            <w:pPr>
              <w:jc w:val="right"/>
              <w:rPr>
                <w:rFonts w:ascii="Calibri" w:hAnsi="Calibri"/>
                <w:color w:val="000000"/>
                <w:sz w:val="22"/>
                <w:szCs w:val="22"/>
              </w:rPr>
            </w:pPr>
            <w:r>
              <w:rPr>
                <w:rFonts w:ascii="Calibri" w:hAnsi="Calibri"/>
                <w:color w:val="000000"/>
                <w:sz w:val="22"/>
                <w:szCs w:val="22"/>
              </w:rPr>
              <w:t>19 855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92A197" w14:textId="77777777" w:rsidR="00ED0CF2" w:rsidRDefault="00ED0CF2" w:rsidP="00ED0CF2">
            <w:pPr>
              <w:jc w:val="right"/>
              <w:rPr>
                <w:rFonts w:ascii="Calibri" w:hAnsi="Calibri"/>
                <w:color w:val="000000"/>
                <w:sz w:val="22"/>
                <w:szCs w:val="22"/>
              </w:rPr>
            </w:pPr>
            <w:r>
              <w:rPr>
                <w:rFonts w:ascii="Calibri" w:hAnsi="Calibri"/>
                <w:color w:val="000000"/>
                <w:sz w:val="22"/>
                <w:szCs w:val="22"/>
              </w:rPr>
              <w:t>30 000</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604DF884" w14:textId="77777777" w:rsidR="00ED0CF2" w:rsidRDefault="00ED0CF2" w:rsidP="00ED0CF2">
            <w:pPr>
              <w:jc w:val="right"/>
              <w:rPr>
                <w:rFonts w:ascii="Calibri" w:hAnsi="Calibri"/>
                <w:color w:val="000000"/>
                <w:sz w:val="22"/>
                <w:szCs w:val="22"/>
              </w:rPr>
            </w:pPr>
            <w:r>
              <w:rPr>
                <w:rFonts w:ascii="Calibri" w:hAnsi="Calibri"/>
                <w:color w:val="000000"/>
                <w:sz w:val="22"/>
                <w:szCs w:val="22"/>
              </w:rPr>
              <w:t>1,51</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A43D7EA" w14:textId="77777777" w:rsidR="00ED0CF2" w:rsidRDefault="00ED0CF2" w:rsidP="00ED0CF2">
            <w:pPr>
              <w:jc w:val="right"/>
              <w:rPr>
                <w:rFonts w:ascii="Calibri" w:hAnsi="Calibri"/>
                <w:color w:val="000000"/>
                <w:sz w:val="22"/>
                <w:szCs w:val="22"/>
              </w:rPr>
            </w:pPr>
            <w:r>
              <w:rPr>
                <w:rFonts w:ascii="Calibri" w:hAnsi="Calibri"/>
                <w:color w:val="000000"/>
                <w:sz w:val="22"/>
                <w:szCs w:val="22"/>
              </w:rPr>
              <w:t>0,19</w:t>
            </w:r>
          </w:p>
        </w:tc>
      </w:tr>
      <w:tr w:rsidR="00ED0CF2" w14:paraId="39CCAA20"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33944F" w14:textId="77777777" w:rsidR="00ED0CF2" w:rsidRDefault="00ED0CF2" w:rsidP="00ED0CF2">
            <w:pPr>
              <w:jc w:val="right"/>
              <w:rPr>
                <w:rFonts w:ascii="Calibri" w:hAnsi="Calibri"/>
                <w:color w:val="000000"/>
                <w:sz w:val="22"/>
                <w:szCs w:val="22"/>
              </w:rPr>
            </w:pPr>
            <w:r>
              <w:rPr>
                <w:rFonts w:ascii="Calibri" w:hAnsi="Calibri"/>
                <w:color w:val="000000"/>
                <w:sz w:val="22"/>
                <w:szCs w:val="22"/>
              </w:rPr>
              <w:t>2010</w:t>
            </w:r>
          </w:p>
        </w:tc>
        <w:tc>
          <w:tcPr>
            <w:tcW w:w="960" w:type="dxa"/>
            <w:tcBorders>
              <w:top w:val="nil"/>
              <w:left w:val="nil"/>
              <w:bottom w:val="single" w:sz="4" w:space="0" w:color="auto"/>
              <w:right w:val="single" w:sz="4" w:space="0" w:color="auto"/>
            </w:tcBorders>
            <w:shd w:val="clear" w:color="000000" w:fill="FFFF00"/>
            <w:noWrap/>
            <w:vAlign w:val="bottom"/>
            <w:hideMark/>
          </w:tcPr>
          <w:p w14:paraId="66CD6613" w14:textId="77777777" w:rsidR="00ED0CF2" w:rsidRDefault="00ED0CF2" w:rsidP="00ED0CF2">
            <w:pPr>
              <w:jc w:val="right"/>
              <w:rPr>
                <w:rFonts w:ascii="Calibri" w:hAnsi="Calibri"/>
                <w:color w:val="000000"/>
                <w:sz w:val="22"/>
                <w:szCs w:val="22"/>
              </w:rPr>
            </w:pPr>
            <w:r>
              <w:rPr>
                <w:rFonts w:ascii="Calibri" w:hAnsi="Calibri"/>
                <w:color w:val="000000"/>
                <w:sz w:val="22"/>
                <w:szCs w:val="22"/>
              </w:rPr>
              <w:t>0,15</w:t>
            </w:r>
          </w:p>
        </w:tc>
        <w:tc>
          <w:tcPr>
            <w:tcW w:w="960" w:type="dxa"/>
            <w:tcBorders>
              <w:top w:val="nil"/>
              <w:left w:val="nil"/>
              <w:bottom w:val="single" w:sz="4" w:space="0" w:color="auto"/>
              <w:right w:val="single" w:sz="4" w:space="0" w:color="auto"/>
            </w:tcBorders>
            <w:shd w:val="clear" w:color="auto" w:fill="auto"/>
            <w:noWrap/>
            <w:vAlign w:val="bottom"/>
            <w:hideMark/>
          </w:tcPr>
          <w:p w14:paraId="70D1DCC3" w14:textId="08421A59" w:rsidR="00ED0CF2" w:rsidRDefault="00ED0CF2" w:rsidP="00ED0CF2">
            <w:pPr>
              <w:jc w:val="right"/>
              <w:rPr>
                <w:rFonts w:ascii="Calibri" w:hAnsi="Calibri"/>
                <w:color w:val="000000"/>
                <w:sz w:val="22"/>
                <w:szCs w:val="22"/>
              </w:rPr>
            </w:pPr>
            <w:r>
              <w:rPr>
                <w:rFonts w:ascii="Calibri" w:hAnsi="Calibri"/>
                <w:color w:val="000000"/>
                <w:sz w:val="22"/>
                <w:szCs w:val="22"/>
              </w:rPr>
              <w:t>0,99</w:t>
            </w:r>
          </w:p>
        </w:tc>
        <w:tc>
          <w:tcPr>
            <w:tcW w:w="960" w:type="dxa"/>
            <w:tcBorders>
              <w:top w:val="nil"/>
              <w:left w:val="nil"/>
              <w:bottom w:val="single" w:sz="4" w:space="0" w:color="auto"/>
              <w:right w:val="single" w:sz="4" w:space="0" w:color="auto"/>
            </w:tcBorders>
            <w:shd w:val="clear" w:color="000000" w:fill="FFFF00"/>
            <w:noWrap/>
            <w:vAlign w:val="bottom"/>
            <w:hideMark/>
          </w:tcPr>
          <w:p w14:paraId="3E0F1A54" w14:textId="77777777" w:rsidR="00ED0CF2" w:rsidRDefault="00ED0CF2" w:rsidP="00ED0CF2">
            <w:pPr>
              <w:jc w:val="right"/>
              <w:rPr>
                <w:rFonts w:ascii="Calibri" w:hAnsi="Calibri"/>
                <w:color w:val="000000"/>
                <w:sz w:val="22"/>
                <w:szCs w:val="22"/>
              </w:rPr>
            </w:pPr>
            <w:r>
              <w:rPr>
                <w:rFonts w:ascii="Calibri" w:hAnsi="Calibri"/>
                <w:color w:val="000000"/>
                <w:sz w:val="22"/>
                <w:szCs w:val="22"/>
              </w:rPr>
              <w:t>102 000</w:t>
            </w:r>
          </w:p>
        </w:tc>
        <w:tc>
          <w:tcPr>
            <w:tcW w:w="1140" w:type="dxa"/>
            <w:tcBorders>
              <w:top w:val="nil"/>
              <w:left w:val="nil"/>
              <w:bottom w:val="single" w:sz="4" w:space="0" w:color="auto"/>
              <w:right w:val="single" w:sz="4" w:space="0" w:color="auto"/>
            </w:tcBorders>
            <w:shd w:val="clear" w:color="auto" w:fill="auto"/>
            <w:noWrap/>
            <w:vAlign w:val="bottom"/>
            <w:hideMark/>
          </w:tcPr>
          <w:p w14:paraId="6471DB29" w14:textId="77777777" w:rsidR="00ED0CF2" w:rsidRDefault="00ED0CF2" w:rsidP="00ED0CF2">
            <w:pPr>
              <w:jc w:val="right"/>
              <w:rPr>
                <w:rFonts w:ascii="Calibri" w:hAnsi="Calibri"/>
                <w:color w:val="000000"/>
                <w:sz w:val="22"/>
                <w:szCs w:val="22"/>
              </w:rPr>
            </w:pPr>
            <w:r>
              <w:rPr>
                <w:rFonts w:ascii="Calibri" w:hAnsi="Calibri"/>
                <w:color w:val="000000"/>
                <w:sz w:val="22"/>
                <w:szCs w:val="22"/>
              </w:rPr>
              <w:t>50 800</w:t>
            </w:r>
          </w:p>
        </w:tc>
        <w:tc>
          <w:tcPr>
            <w:tcW w:w="960" w:type="dxa"/>
            <w:tcBorders>
              <w:top w:val="nil"/>
              <w:left w:val="nil"/>
              <w:bottom w:val="single" w:sz="4" w:space="0" w:color="auto"/>
              <w:right w:val="single" w:sz="4" w:space="0" w:color="auto"/>
            </w:tcBorders>
            <w:shd w:val="clear" w:color="auto" w:fill="auto"/>
            <w:noWrap/>
            <w:vAlign w:val="bottom"/>
            <w:hideMark/>
          </w:tcPr>
          <w:p w14:paraId="7EF19B24" w14:textId="77777777" w:rsidR="00ED0CF2" w:rsidRDefault="00ED0CF2" w:rsidP="00ED0CF2">
            <w:pPr>
              <w:jc w:val="right"/>
              <w:rPr>
                <w:rFonts w:ascii="Calibri" w:hAnsi="Calibri"/>
                <w:color w:val="000000"/>
                <w:sz w:val="22"/>
                <w:szCs w:val="22"/>
              </w:rPr>
            </w:pPr>
            <w:r>
              <w:rPr>
                <w:rFonts w:ascii="Calibri" w:hAnsi="Calibri"/>
                <w:color w:val="000000"/>
                <w:sz w:val="22"/>
                <w:szCs w:val="22"/>
              </w:rPr>
              <w:t>18 794</w:t>
            </w:r>
          </w:p>
        </w:tc>
        <w:tc>
          <w:tcPr>
            <w:tcW w:w="960" w:type="dxa"/>
            <w:tcBorders>
              <w:top w:val="nil"/>
              <w:left w:val="nil"/>
              <w:bottom w:val="single" w:sz="4" w:space="0" w:color="auto"/>
              <w:right w:val="single" w:sz="4" w:space="0" w:color="auto"/>
            </w:tcBorders>
            <w:shd w:val="clear" w:color="auto" w:fill="auto"/>
            <w:noWrap/>
            <w:vAlign w:val="bottom"/>
            <w:hideMark/>
          </w:tcPr>
          <w:p w14:paraId="15D9BFD3" w14:textId="77777777" w:rsidR="00ED0CF2" w:rsidRDefault="00ED0CF2" w:rsidP="00ED0CF2">
            <w:pPr>
              <w:jc w:val="right"/>
              <w:rPr>
                <w:rFonts w:ascii="Calibri" w:hAnsi="Calibri"/>
                <w:color w:val="000000"/>
                <w:sz w:val="22"/>
                <w:szCs w:val="22"/>
              </w:rPr>
            </w:pPr>
            <w:r>
              <w:rPr>
                <w:rFonts w:ascii="Calibri" w:hAnsi="Calibri"/>
                <w:color w:val="000000"/>
                <w:sz w:val="22"/>
                <w:szCs w:val="22"/>
              </w:rPr>
              <w:t>29 600</w:t>
            </w:r>
          </w:p>
        </w:tc>
        <w:tc>
          <w:tcPr>
            <w:tcW w:w="1395" w:type="dxa"/>
            <w:tcBorders>
              <w:top w:val="nil"/>
              <w:left w:val="nil"/>
              <w:bottom w:val="single" w:sz="4" w:space="0" w:color="auto"/>
              <w:right w:val="single" w:sz="4" w:space="0" w:color="auto"/>
            </w:tcBorders>
            <w:shd w:val="clear" w:color="auto" w:fill="auto"/>
            <w:noWrap/>
            <w:vAlign w:val="bottom"/>
            <w:hideMark/>
          </w:tcPr>
          <w:p w14:paraId="5DA0ABFC" w14:textId="77777777" w:rsidR="00ED0CF2" w:rsidRDefault="00ED0CF2" w:rsidP="00ED0CF2">
            <w:pPr>
              <w:jc w:val="right"/>
              <w:rPr>
                <w:rFonts w:ascii="Calibri" w:hAnsi="Calibri"/>
                <w:color w:val="000000"/>
                <w:sz w:val="22"/>
                <w:szCs w:val="22"/>
              </w:rPr>
            </w:pPr>
            <w:r>
              <w:rPr>
                <w:rFonts w:ascii="Calibri" w:hAnsi="Calibri"/>
                <w:color w:val="000000"/>
                <w:sz w:val="22"/>
                <w:szCs w:val="22"/>
              </w:rPr>
              <w:t>1,57</w:t>
            </w:r>
          </w:p>
        </w:tc>
        <w:tc>
          <w:tcPr>
            <w:tcW w:w="1000" w:type="dxa"/>
            <w:tcBorders>
              <w:top w:val="nil"/>
              <w:left w:val="nil"/>
              <w:bottom w:val="single" w:sz="4" w:space="0" w:color="auto"/>
              <w:right w:val="single" w:sz="4" w:space="0" w:color="auto"/>
            </w:tcBorders>
            <w:shd w:val="clear" w:color="auto" w:fill="auto"/>
            <w:noWrap/>
            <w:vAlign w:val="bottom"/>
            <w:hideMark/>
          </w:tcPr>
          <w:p w14:paraId="77F2D46F" w14:textId="77777777" w:rsidR="00ED0CF2" w:rsidRDefault="00ED0CF2" w:rsidP="00ED0CF2">
            <w:pPr>
              <w:jc w:val="right"/>
              <w:rPr>
                <w:rFonts w:ascii="Calibri" w:hAnsi="Calibri"/>
                <w:color w:val="000000"/>
                <w:sz w:val="22"/>
                <w:szCs w:val="22"/>
              </w:rPr>
            </w:pPr>
            <w:r>
              <w:rPr>
                <w:rFonts w:ascii="Calibri" w:hAnsi="Calibri"/>
                <w:color w:val="000000"/>
                <w:sz w:val="22"/>
                <w:szCs w:val="22"/>
              </w:rPr>
              <w:t>0,24</w:t>
            </w:r>
          </w:p>
        </w:tc>
      </w:tr>
      <w:tr w:rsidR="00ED0CF2" w14:paraId="593619A3"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A75494" w14:textId="77777777" w:rsidR="00ED0CF2" w:rsidRDefault="00ED0CF2" w:rsidP="00ED0CF2">
            <w:pPr>
              <w:jc w:val="right"/>
              <w:rPr>
                <w:rFonts w:ascii="Calibri" w:hAnsi="Calibri"/>
                <w:color w:val="000000"/>
                <w:sz w:val="22"/>
                <w:szCs w:val="22"/>
              </w:rPr>
            </w:pPr>
            <w:r>
              <w:rPr>
                <w:rFonts w:ascii="Calibri" w:hAnsi="Calibri"/>
                <w:color w:val="000000"/>
                <w:sz w:val="22"/>
                <w:szCs w:val="22"/>
              </w:rPr>
              <w:t>2011</w:t>
            </w:r>
          </w:p>
        </w:tc>
        <w:tc>
          <w:tcPr>
            <w:tcW w:w="960" w:type="dxa"/>
            <w:tcBorders>
              <w:top w:val="nil"/>
              <w:left w:val="nil"/>
              <w:bottom w:val="single" w:sz="4" w:space="0" w:color="auto"/>
              <w:right w:val="single" w:sz="4" w:space="0" w:color="auto"/>
            </w:tcBorders>
            <w:shd w:val="clear" w:color="000000" w:fill="FFFF00"/>
            <w:noWrap/>
            <w:vAlign w:val="bottom"/>
            <w:hideMark/>
          </w:tcPr>
          <w:p w14:paraId="5D64B27E" w14:textId="77777777" w:rsidR="00ED0CF2" w:rsidRDefault="00ED0CF2" w:rsidP="00ED0CF2">
            <w:pPr>
              <w:jc w:val="right"/>
              <w:rPr>
                <w:rFonts w:ascii="Calibri" w:hAnsi="Calibri"/>
                <w:color w:val="000000"/>
                <w:sz w:val="22"/>
                <w:szCs w:val="22"/>
              </w:rPr>
            </w:pPr>
            <w:r>
              <w:rPr>
                <w:rFonts w:ascii="Calibri" w:hAnsi="Calibri"/>
                <w:color w:val="000000"/>
                <w:sz w:val="22"/>
                <w:szCs w:val="22"/>
              </w:rPr>
              <w:t>0,15</w:t>
            </w:r>
          </w:p>
        </w:tc>
        <w:tc>
          <w:tcPr>
            <w:tcW w:w="960" w:type="dxa"/>
            <w:tcBorders>
              <w:top w:val="nil"/>
              <w:left w:val="nil"/>
              <w:bottom w:val="single" w:sz="4" w:space="0" w:color="auto"/>
              <w:right w:val="single" w:sz="4" w:space="0" w:color="auto"/>
            </w:tcBorders>
            <w:shd w:val="clear" w:color="auto" w:fill="auto"/>
            <w:noWrap/>
            <w:vAlign w:val="bottom"/>
            <w:hideMark/>
          </w:tcPr>
          <w:p w14:paraId="7B206802" w14:textId="7D9FC1EE" w:rsidR="00ED0CF2" w:rsidRDefault="00ED0CF2" w:rsidP="00ED0CF2">
            <w:pPr>
              <w:jc w:val="right"/>
              <w:rPr>
                <w:rFonts w:ascii="Calibri" w:hAnsi="Calibri"/>
                <w:color w:val="000000"/>
                <w:sz w:val="22"/>
                <w:szCs w:val="22"/>
              </w:rPr>
            </w:pPr>
            <w:r>
              <w:rPr>
                <w:rFonts w:ascii="Calibri" w:hAnsi="Calibri"/>
                <w:color w:val="000000"/>
                <w:sz w:val="22"/>
                <w:szCs w:val="22"/>
              </w:rPr>
              <w:t>1,20</w:t>
            </w:r>
          </w:p>
        </w:tc>
        <w:tc>
          <w:tcPr>
            <w:tcW w:w="960" w:type="dxa"/>
            <w:tcBorders>
              <w:top w:val="nil"/>
              <w:left w:val="nil"/>
              <w:bottom w:val="single" w:sz="4" w:space="0" w:color="auto"/>
              <w:right w:val="single" w:sz="4" w:space="0" w:color="auto"/>
            </w:tcBorders>
            <w:shd w:val="clear" w:color="000000" w:fill="FFFF00"/>
            <w:noWrap/>
            <w:vAlign w:val="bottom"/>
            <w:hideMark/>
          </w:tcPr>
          <w:p w14:paraId="25430592" w14:textId="77777777" w:rsidR="00ED0CF2" w:rsidRDefault="00ED0CF2" w:rsidP="00ED0CF2">
            <w:pPr>
              <w:jc w:val="right"/>
              <w:rPr>
                <w:rFonts w:ascii="Calibri" w:hAnsi="Calibri"/>
                <w:color w:val="000000"/>
                <w:sz w:val="22"/>
                <w:szCs w:val="22"/>
              </w:rPr>
            </w:pPr>
            <w:r>
              <w:rPr>
                <w:rFonts w:ascii="Calibri" w:hAnsi="Calibri"/>
                <w:color w:val="000000"/>
                <w:sz w:val="22"/>
                <w:szCs w:val="22"/>
              </w:rPr>
              <w:t>75 000</w:t>
            </w:r>
          </w:p>
        </w:tc>
        <w:tc>
          <w:tcPr>
            <w:tcW w:w="1140" w:type="dxa"/>
            <w:tcBorders>
              <w:top w:val="nil"/>
              <w:left w:val="nil"/>
              <w:bottom w:val="single" w:sz="4" w:space="0" w:color="auto"/>
              <w:right w:val="single" w:sz="4" w:space="0" w:color="auto"/>
            </w:tcBorders>
            <w:shd w:val="clear" w:color="auto" w:fill="auto"/>
            <w:noWrap/>
            <w:vAlign w:val="bottom"/>
            <w:hideMark/>
          </w:tcPr>
          <w:p w14:paraId="17397ACC" w14:textId="77777777" w:rsidR="00ED0CF2" w:rsidRDefault="00ED0CF2" w:rsidP="00ED0CF2">
            <w:pPr>
              <w:jc w:val="right"/>
              <w:rPr>
                <w:rFonts w:ascii="Calibri" w:hAnsi="Calibri"/>
                <w:color w:val="000000"/>
                <w:sz w:val="22"/>
                <w:szCs w:val="22"/>
              </w:rPr>
            </w:pPr>
            <w:r>
              <w:rPr>
                <w:rFonts w:ascii="Calibri" w:hAnsi="Calibri"/>
                <w:color w:val="000000"/>
                <w:sz w:val="22"/>
                <w:szCs w:val="22"/>
              </w:rPr>
              <w:t>33 400</w:t>
            </w:r>
          </w:p>
        </w:tc>
        <w:tc>
          <w:tcPr>
            <w:tcW w:w="960" w:type="dxa"/>
            <w:tcBorders>
              <w:top w:val="nil"/>
              <w:left w:val="nil"/>
              <w:bottom w:val="single" w:sz="4" w:space="0" w:color="auto"/>
              <w:right w:val="single" w:sz="4" w:space="0" w:color="auto"/>
            </w:tcBorders>
            <w:shd w:val="clear" w:color="auto" w:fill="auto"/>
            <w:noWrap/>
            <w:vAlign w:val="bottom"/>
            <w:hideMark/>
          </w:tcPr>
          <w:p w14:paraId="1328A5E6" w14:textId="77777777" w:rsidR="00ED0CF2" w:rsidRDefault="00ED0CF2" w:rsidP="00ED0CF2">
            <w:pPr>
              <w:jc w:val="right"/>
              <w:rPr>
                <w:rFonts w:ascii="Calibri" w:hAnsi="Calibri"/>
                <w:color w:val="000000"/>
                <w:sz w:val="22"/>
                <w:szCs w:val="22"/>
              </w:rPr>
            </w:pPr>
            <w:r>
              <w:rPr>
                <w:rFonts w:ascii="Calibri" w:hAnsi="Calibri"/>
                <w:color w:val="000000"/>
                <w:sz w:val="22"/>
                <w:szCs w:val="22"/>
              </w:rPr>
              <w:t>12 656</w:t>
            </w:r>
          </w:p>
        </w:tc>
        <w:tc>
          <w:tcPr>
            <w:tcW w:w="960" w:type="dxa"/>
            <w:tcBorders>
              <w:top w:val="nil"/>
              <w:left w:val="nil"/>
              <w:bottom w:val="single" w:sz="4" w:space="0" w:color="auto"/>
              <w:right w:val="single" w:sz="4" w:space="0" w:color="auto"/>
            </w:tcBorders>
            <w:shd w:val="clear" w:color="auto" w:fill="auto"/>
            <w:noWrap/>
            <w:vAlign w:val="bottom"/>
            <w:hideMark/>
          </w:tcPr>
          <w:p w14:paraId="19712E77" w14:textId="77777777" w:rsidR="00ED0CF2" w:rsidRDefault="00ED0CF2" w:rsidP="00ED0CF2">
            <w:pPr>
              <w:jc w:val="right"/>
              <w:rPr>
                <w:rFonts w:ascii="Calibri" w:hAnsi="Calibri"/>
                <w:color w:val="000000"/>
                <w:sz w:val="22"/>
                <w:szCs w:val="22"/>
              </w:rPr>
            </w:pPr>
            <w:r>
              <w:rPr>
                <w:rFonts w:ascii="Calibri" w:hAnsi="Calibri"/>
                <w:color w:val="000000"/>
                <w:sz w:val="22"/>
                <w:szCs w:val="22"/>
              </w:rPr>
              <w:t>22 000</w:t>
            </w:r>
          </w:p>
        </w:tc>
        <w:tc>
          <w:tcPr>
            <w:tcW w:w="1395" w:type="dxa"/>
            <w:tcBorders>
              <w:top w:val="nil"/>
              <w:left w:val="nil"/>
              <w:bottom w:val="single" w:sz="4" w:space="0" w:color="auto"/>
              <w:right w:val="single" w:sz="4" w:space="0" w:color="auto"/>
            </w:tcBorders>
            <w:shd w:val="clear" w:color="auto" w:fill="auto"/>
            <w:noWrap/>
            <w:vAlign w:val="bottom"/>
            <w:hideMark/>
          </w:tcPr>
          <w:p w14:paraId="261050C4" w14:textId="77777777" w:rsidR="00ED0CF2" w:rsidRDefault="00ED0CF2" w:rsidP="00ED0CF2">
            <w:pPr>
              <w:jc w:val="right"/>
              <w:rPr>
                <w:rFonts w:ascii="Calibri" w:hAnsi="Calibri"/>
                <w:color w:val="000000"/>
                <w:sz w:val="22"/>
                <w:szCs w:val="22"/>
              </w:rPr>
            </w:pPr>
            <w:r>
              <w:rPr>
                <w:rFonts w:ascii="Calibri" w:hAnsi="Calibri"/>
                <w:color w:val="000000"/>
                <w:sz w:val="22"/>
                <w:szCs w:val="22"/>
              </w:rPr>
              <w:t>1,74</w:t>
            </w:r>
          </w:p>
        </w:tc>
        <w:tc>
          <w:tcPr>
            <w:tcW w:w="1000" w:type="dxa"/>
            <w:tcBorders>
              <w:top w:val="nil"/>
              <w:left w:val="nil"/>
              <w:bottom w:val="single" w:sz="4" w:space="0" w:color="auto"/>
              <w:right w:val="single" w:sz="4" w:space="0" w:color="auto"/>
            </w:tcBorders>
            <w:shd w:val="clear" w:color="auto" w:fill="auto"/>
            <w:noWrap/>
            <w:vAlign w:val="bottom"/>
            <w:hideMark/>
          </w:tcPr>
          <w:p w14:paraId="5AF73842" w14:textId="77777777" w:rsidR="00ED0CF2" w:rsidRDefault="00ED0CF2" w:rsidP="00ED0CF2">
            <w:pPr>
              <w:jc w:val="right"/>
              <w:rPr>
                <w:rFonts w:ascii="Calibri" w:hAnsi="Calibri"/>
                <w:color w:val="000000"/>
                <w:sz w:val="22"/>
                <w:szCs w:val="22"/>
              </w:rPr>
            </w:pPr>
            <w:r>
              <w:rPr>
                <w:rFonts w:ascii="Calibri" w:hAnsi="Calibri"/>
                <w:color w:val="000000"/>
                <w:sz w:val="22"/>
                <w:szCs w:val="22"/>
              </w:rPr>
              <w:t>0,27</w:t>
            </w:r>
          </w:p>
        </w:tc>
      </w:tr>
      <w:tr w:rsidR="00901E24" w14:paraId="74DA5BDF" w14:textId="77777777" w:rsidTr="00ED0CF2">
        <w:trPr>
          <w:trHeight w:val="300"/>
        </w:trPr>
        <w:tc>
          <w:tcPr>
            <w:tcW w:w="960" w:type="dxa"/>
            <w:tcBorders>
              <w:top w:val="nil"/>
              <w:left w:val="single" w:sz="4" w:space="0" w:color="auto"/>
              <w:bottom w:val="single" w:sz="4" w:space="0" w:color="auto"/>
              <w:right w:val="single" w:sz="4" w:space="0" w:color="auto"/>
            </w:tcBorders>
            <w:shd w:val="clear" w:color="000000" w:fill="E7E6E6"/>
            <w:noWrap/>
            <w:vAlign w:val="bottom"/>
            <w:hideMark/>
          </w:tcPr>
          <w:p w14:paraId="0B825E01"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235D1366"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44BDEB06"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44EE1D25"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140" w:type="dxa"/>
            <w:tcBorders>
              <w:top w:val="nil"/>
              <w:left w:val="nil"/>
              <w:bottom w:val="single" w:sz="4" w:space="0" w:color="auto"/>
              <w:right w:val="single" w:sz="4" w:space="0" w:color="auto"/>
            </w:tcBorders>
            <w:shd w:val="clear" w:color="000000" w:fill="E7E6E6"/>
            <w:noWrap/>
            <w:vAlign w:val="bottom"/>
            <w:hideMark/>
          </w:tcPr>
          <w:p w14:paraId="7DE0F7B8"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3A8C4189"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E7E6E6"/>
            <w:noWrap/>
            <w:vAlign w:val="bottom"/>
            <w:hideMark/>
          </w:tcPr>
          <w:p w14:paraId="31BAE9A1"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395" w:type="dxa"/>
            <w:tcBorders>
              <w:top w:val="nil"/>
              <w:left w:val="nil"/>
              <w:bottom w:val="single" w:sz="4" w:space="0" w:color="auto"/>
              <w:right w:val="single" w:sz="4" w:space="0" w:color="auto"/>
            </w:tcBorders>
            <w:shd w:val="clear" w:color="000000" w:fill="E7E6E6"/>
            <w:noWrap/>
            <w:vAlign w:val="bottom"/>
            <w:hideMark/>
          </w:tcPr>
          <w:p w14:paraId="6AA19C8D"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000000" w:fill="E7E6E6"/>
            <w:noWrap/>
            <w:vAlign w:val="bottom"/>
            <w:hideMark/>
          </w:tcPr>
          <w:p w14:paraId="54FFCFF9"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r w:rsidR="00901E24" w14:paraId="43929A51"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0360BC" w14:textId="77777777" w:rsidR="00901E24" w:rsidRDefault="00901E24" w:rsidP="000A29EF">
            <w:pPr>
              <w:jc w:val="right"/>
              <w:rPr>
                <w:rFonts w:ascii="Calibri" w:hAnsi="Calibri"/>
                <w:color w:val="000000"/>
                <w:sz w:val="22"/>
                <w:szCs w:val="22"/>
              </w:rPr>
            </w:pPr>
            <w:r>
              <w:rPr>
                <w:rFonts w:ascii="Calibri" w:hAnsi="Calibri"/>
                <w:color w:val="000000"/>
                <w:sz w:val="22"/>
                <w:szCs w:val="22"/>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4A30DB3"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E515A2D" w14:textId="74DFD333"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1FD5B7F" w14:textId="49B64297" w:rsidR="00901E24" w:rsidRDefault="00901E24" w:rsidP="00ED0CF2">
            <w:pPr>
              <w:jc w:val="center"/>
              <w:rPr>
                <w:rFonts w:ascii="Calibri" w:hAnsi="Calibri"/>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14:paraId="2FABE763" w14:textId="77777777" w:rsidR="00901E24" w:rsidRDefault="00901E24" w:rsidP="00ED0CF2">
            <w:pPr>
              <w:jc w:val="right"/>
              <w:rPr>
                <w:rFonts w:ascii="Calibri" w:hAnsi="Calibri"/>
                <w:color w:val="000000"/>
                <w:sz w:val="22"/>
                <w:szCs w:val="22"/>
              </w:rPr>
            </w:pPr>
            <w:r>
              <w:rPr>
                <w:rFonts w:ascii="Calibri" w:hAnsi="Calibri"/>
                <w:color w:val="000000"/>
                <w:sz w:val="22"/>
                <w:szCs w:val="22"/>
              </w:rPr>
              <w:t>62 000</w:t>
            </w:r>
          </w:p>
        </w:tc>
        <w:tc>
          <w:tcPr>
            <w:tcW w:w="960" w:type="dxa"/>
            <w:tcBorders>
              <w:top w:val="nil"/>
              <w:left w:val="nil"/>
              <w:bottom w:val="single" w:sz="4" w:space="0" w:color="auto"/>
              <w:right w:val="single" w:sz="4" w:space="0" w:color="auto"/>
            </w:tcBorders>
            <w:shd w:val="clear" w:color="auto" w:fill="auto"/>
            <w:noWrap/>
            <w:vAlign w:val="bottom"/>
            <w:hideMark/>
          </w:tcPr>
          <w:p w14:paraId="70D8890B" w14:textId="70256675"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E0E6129" w14:textId="77777777" w:rsidR="00901E24" w:rsidRDefault="00901E24" w:rsidP="00ED0CF2">
            <w:pPr>
              <w:jc w:val="right"/>
              <w:rPr>
                <w:rFonts w:ascii="Calibri" w:hAnsi="Calibri"/>
                <w:color w:val="000000"/>
                <w:sz w:val="22"/>
                <w:szCs w:val="22"/>
              </w:rPr>
            </w:pPr>
            <w:r>
              <w:rPr>
                <w:rFonts w:ascii="Calibri" w:hAnsi="Calibri"/>
                <w:color w:val="000000"/>
                <w:sz w:val="22"/>
                <w:szCs w:val="22"/>
              </w:rPr>
              <w:t>30 000</w:t>
            </w:r>
          </w:p>
        </w:tc>
        <w:tc>
          <w:tcPr>
            <w:tcW w:w="1395" w:type="dxa"/>
            <w:tcBorders>
              <w:top w:val="nil"/>
              <w:left w:val="nil"/>
              <w:bottom w:val="single" w:sz="4" w:space="0" w:color="auto"/>
              <w:right w:val="single" w:sz="4" w:space="0" w:color="auto"/>
            </w:tcBorders>
            <w:shd w:val="clear" w:color="auto" w:fill="auto"/>
            <w:noWrap/>
            <w:vAlign w:val="bottom"/>
            <w:hideMark/>
          </w:tcPr>
          <w:p w14:paraId="48B2269B"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7FD170"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r w:rsidR="00901E24" w14:paraId="1F55A3DE"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36ED2A" w14:textId="77777777" w:rsidR="00901E24" w:rsidRDefault="00901E24" w:rsidP="000A29EF">
            <w:pPr>
              <w:jc w:val="right"/>
              <w:rPr>
                <w:rFonts w:ascii="Calibri" w:hAnsi="Calibri"/>
                <w:color w:val="000000"/>
                <w:sz w:val="22"/>
                <w:szCs w:val="22"/>
              </w:rPr>
            </w:pPr>
            <w:r>
              <w:rPr>
                <w:rFonts w:ascii="Calibri" w:hAnsi="Calibri"/>
                <w:color w:val="000000"/>
                <w:sz w:val="22"/>
                <w:szCs w:val="22"/>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583558FF"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1A40854" w14:textId="65D87AE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5CE04240" w14:textId="3CEFFF68" w:rsidR="00901E24" w:rsidRDefault="00901E24" w:rsidP="00ED0CF2">
            <w:pPr>
              <w:jc w:val="center"/>
              <w:rPr>
                <w:rFonts w:ascii="Calibri" w:hAnsi="Calibri"/>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14:paraId="225A72E2" w14:textId="5E260C8D"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2F61595" w14:textId="74BC59E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35A6A190" w14:textId="78D20D91"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1395" w:type="dxa"/>
            <w:tcBorders>
              <w:top w:val="nil"/>
              <w:left w:val="nil"/>
              <w:bottom w:val="single" w:sz="4" w:space="0" w:color="auto"/>
              <w:right w:val="single" w:sz="4" w:space="0" w:color="auto"/>
            </w:tcBorders>
            <w:shd w:val="clear" w:color="auto" w:fill="auto"/>
            <w:noWrap/>
            <w:vAlign w:val="bottom"/>
            <w:hideMark/>
          </w:tcPr>
          <w:p w14:paraId="5490E023"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54F392DA"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r w:rsidR="00901E24" w14:paraId="5B9B283C" w14:textId="77777777" w:rsidTr="00ED0C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7C39FD" w14:textId="77777777" w:rsidR="00901E24" w:rsidRDefault="00901E24" w:rsidP="000A29EF">
            <w:pPr>
              <w:jc w:val="right"/>
              <w:rPr>
                <w:rFonts w:ascii="Calibri" w:hAnsi="Calibri"/>
                <w:color w:val="000000"/>
                <w:sz w:val="22"/>
                <w:szCs w:val="22"/>
              </w:rPr>
            </w:pPr>
            <w:r>
              <w:rPr>
                <w:rFonts w:ascii="Calibri" w:hAnsi="Calibri"/>
                <w:color w:val="000000"/>
                <w:sz w:val="22"/>
                <w:szCs w:val="22"/>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3FC97D8C"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FE22725" w14:textId="2D5F704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120494A1" w14:textId="416356B1" w:rsidR="00901E24" w:rsidRDefault="00901E24" w:rsidP="00ED0CF2">
            <w:pPr>
              <w:jc w:val="center"/>
              <w:rPr>
                <w:rFonts w:ascii="Calibri" w:hAnsi="Calibri"/>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14:paraId="54C6A454" w14:textId="1B01AAA8"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639AFB10" w14:textId="29FCA727" w:rsidR="00901E24" w:rsidRDefault="00901E24" w:rsidP="00ED0CF2">
            <w:pPr>
              <w:jc w:val="cente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4B9E78C4" w14:textId="5CA55EE1" w:rsidR="00901E24" w:rsidRDefault="00FE795C" w:rsidP="00ED0CF2">
            <w:pPr>
              <w:jc w:val="center"/>
              <w:rPr>
                <w:rFonts w:ascii="Calibri" w:hAnsi="Calibri"/>
                <w:color w:val="000000"/>
                <w:sz w:val="22"/>
                <w:szCs w:val="22"/>
              </w:rPr>
            </w:pPr>
            <w:r>
              <w:rPr>
                <w:rFonts w:ascii="Calibri" w:hAnsi="Calibri"/>
                <w:color w:val="000000"/>
                <w:sz w:val="22"/>
                <w:szCs w:val="22"/>
              </w:rPr>
              <w:t>**</w:t>
            </w:r>
          </w:p>
        </w:tc>
        <w:tc>
          <w:tcPr>
            <w:tcW w:w="1395" w:type="dxa"/>
            <w:tcBorders>
              <w:top w:val="nil"/>
              <w:left w:val="nil"/>
              <w:bottom w:val="single" w:sz="4" w:space="0" w:color="auto"/>
              <w:right w:val="single" w:sz="4" w:space="0" w:color="auto"/>
            </w:tcBorders>
            <w:shd w:val="clear" w:color="auto" w:fill="auto"/>
            <w:noWrap/>
            <w:vAlign w:val="bottom"/>
            <w:hideMark/>
          </w:tcPr>
          <w:p w14:paraId="198BDCE2" w14:textId="77777777" w:rsidR="00901E24" w:rsidRDefault="00901E24" w:rsidP="000A29EF">
            <w:pPr>
              <w:rPr>
                <w:rFonts w:ascii="Calibri" w:hAnsi="Calibri"/>
                <w:color w:val="000000"/>
                <w:sz w:val="22"/>
                <w:szCs w:val="22"/>
              </w:rPr>
            </w:pPr>
            <w:r>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25A5903D" w14:textId="77777777" w:rsidR="00901E24" w:rsidRDefault="00901E24" w:rsidP="000A29EF">
            <w:pPr>
              <w:rPr>
                <w:rFonts w:ascii="Calibri" w:hAnsi="Calibri"/>
                <w:color w:val="000000"/>
                <w:sz w:val="22"/>
                <w:szCs w:val="22"/>
              </w:rPr>
            </w:pPr>
            <w:r>
              <w:rPr>
                <w:rFonts w:ascii="Calibri" w:hAnsi="Calibri"/>
                <w:color w:val="000000"/>
                <w:sz w:val="22"/>
                <w:szCs w:val="22"/>
              </w:rPr>
              <w:t> </w:t>
            </w:r>
          </w:p>
        </w:tc>
      </w:tr>
    </w:tbl>
    <w:p w14:paraId="042AA926" w14:textId="77777777" w:rsidR="00EF2777" w:rsidRDefault="00EF2777" w:rsidP="00901E24">
      <w:pPr>
        <w:pStyle w:val="BodyText"/>
        <w:spacing w:after="0"/>
        <w:rPr>
          <w:i/>
        </w:rPr>
      </w:pPr>
    </w:p>
    <w:p w14:paraId="06E57F62" w14:textId="77777777" w:rsidR="00EF2777" w:rsidRDefault="00EF2777">
      <w:pPr>
        <w:rPr>
          <w:i/>
        </w:rPr>
      </w:pPr>
      <w:r>
        <w:rPr>
          <w:i/>
        </w:rPr>
        <w:br w:type="page"/>
      </w:r>
    </w:p>
    <w:p w14:paraId="40E7DB68" w14:textId="73A7C961" w:rsidR="00901E24" w:rsidRPr="00653AAD" w:rsidRDefault="00901E24" w:rsidP="002941D2">
      <w:pPr>
        <w:pStyle w:val="BodyText"/>
        <w:spacing w:before="120" w:after="120"/>
        <w:rPr>
          <w:i/>
        </w:rPr>
      </w:pPr>
      <w:r>
        <w:rPr>
          <w:i/>
        </w:rPr>
        <w:t>Tableau 3</w:t>
      </w:r>
      <w:r w:rsidR="0096298B">
        <w:rPr>
          <w:i/>
        </w:rPr>
        <w:t xml:space="preserve">. </w:t>
      </w:r>
      <w:r>
        <w:rPr>
          <w:i/>
        </w:rPr>
        <w:t>Résumé des considérations positives et négatives de la population d</w:t>
      </w:r>
      <w:r w:rsidR="00BA2A92">
        <w:rPr>
          <w:i/>
        </w:rPr>
        <w:t>’</w:t>
      </w:r>
      <w:r>
        <w:rPr>
          <w:i/>
        </w:rPr>
        <w:t xml:space="preserve">aiglefin qui peuvent guider les avis sur les quotas pour 2020-2021. </w:t>
      </w:r>
    </w:p>
    <w:tbl>
      <w:tblPr>
        <w:tblpPr w:leftFromText="187" w:rightFromText="187"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4768"/>
      </w:tblGrid>
      <w:tr w:rsidR="00FE795C" w:rsidRPr="00C36806" w14:paraId="6A0BDC13" w14:textId="77777777" w:rsidTr="002941D2">
        <w:trPr>
          <w:trHeight w:val="338"/>
        </w:trPr>
        <w:tc>
          <w:tcPr>
            <w:tcW w:w="4504" w:type="dxa"/>
            <w:vAlign w:val="center"/>
          </w:tcPr>
          <w:p w14:paraId="27C56BEB" w14:textId="6483A526" w:rsidR="00FE795C" w:rsidRPr="00C36806" w:rsidRDefault="00FE795C" w:rsidP="002941D2">
            <w:pPr>
              <w:autoSpaceDE w:val="0"/>
              <w:autoSpaceDN w:val="0"/>
              <w:adjustRightInd w:val="0"/>
              <w:jc w:val="center"/>
              <w:rPr>
                <w:b/>
                <w:bCs/>
              </w:rPr>
            </w:pPr>
            <w:r>
              <w:rPr>
                <w:b/>
                <w:bCs/>
              </w:rPr>
              <w:t>Considérations positives</w:t>
            </w:r>
          </w:p>
        </w:tc>
        <w:tc>
          <w:tcPr>
            <w:tcW w:w="4768" w:type="dxa"/>
            <w:vAlign w:val="center"/>
          </w:tcPr>
          <w:p w14:paraId="5BC9DC0E" w14:textId="2BA9F002" w:rsidR="00FE795C" w:rsidRPr="00C36806" w:rsidRDefault="00393DEA" w:rsidP="002941D2">
            <w:pPr>
              <w:autoSpaceDE w:val="0"/>
              <w:autoSpaceDN w:val="0"/>
              <w:adjustRightInd w:val="0"/>
              <w:jc w:val="center"/>
              <w:rPr>
                <w:b/>
                <w:bCs/>
              </w:rPr>
            </w:pPr>
            <w:r>
              <w:rPr>
                <w:b/>
                <w:bCs/>
              </w:rPr>
              <w:t>Considérations négatives</w:t>
            </w:r>
          </w:p>
        </w:tc>
      </w:tr>
      <w:tr w:rsidR="00FE795C" w:rsidRPr="00C36806" w14:paraId="0A94D687" w14:textId="77777777" w:rsidTr="002941D2">
        <w:trPr>
          <w:trHeight w:val="843"/>
        </w:trPr>
        <w:tc>
          <w:tcPr>
            <w:tcW w:w="4504" w:type="dxa"/>
          </w:tcPr>
          <w:p w14:paraId="6406C0AF" w14:textId="3032E2DE" w:rsidR="00FE795C" w:rsidRPr="00CF7FE0" w:rsidRDefault="00FE795C" w:rsidP="002941D2">
            <w:pPr>
              <w:autoSpaceDE w:val="0"/>
              <w:autoSpaceDN w:val="0"/>
              <w:adjustRightInd w:val="0"/>
              <w:rPr>
                <w:color w:val="FF0000"/>
              </w:rPr>
            </w:pPr>
            <w:r>
              <w:t>La classe d</w:t>
            </w:r>
            <w:r w:rsidR="00BA2A92">
              <w:t>’</w:t>
            </w:r>
            <w:r>
              <w:t>âge de 2013 est toujours la plus importante jamais observée dans la série chronologique.</w:t>
            </w:r>
          </w:p>
        </w:tc>
        <w:tc>
          <w:tcPr>
            <w:tcW w:w="4768" w:type="dxa"/>
          </w:tcPr>
          <w:p w14:paraId="721AD61C" w14:textId="38F9B70E" w:rsidR="00FE795C" w:rsidRPr="00CF7FE0" w:rsidRDefault="00FE795C" w:rsidP="002941D2">
            <w:pPr>
              <w:autoSpaceDE w:val="0"/>
              <w:autoSpaceDN w:val="0"/>
              <w:adjustRightInd w:val="0"/>
              <w:rPr>
                <w:color w:val="FF0000"/>
              </w:rPr>
            </w:pPr>
            <w:r>
              <w:t>La très grande classe d</w:t>
            </w:r>
            <w:r w:rsidR="00BA2A92">
              <w:t>’</w:t>
            </w:r>
            <w:r>
              <w:t>âge de 2010 fait partie du groupe des 9+ en 2019</w:t>
            </w:r>
            <w:r w:rsidR="0096298B">
              <w:t xml:space="preserve">. </w:t>
            </w:r>
            <w:r>
              <w:t>La classe d</w:t>
            </w:r>
            <w:r w:rsidR="00BA2A92">
              <w:t>’</w:t>
            </w:r>
            <w:r>
              <w:t>âge de 2010 pour la pêche sera probablement peu disponible pour la pêche et ne devrait donc pas contribuer beaucoup aux prises futures.</w:t>
            </w:r>
          </w:p>
        </w:tc>
      </w:tr>
      <w:tr w:rsidR="00FE795C" w:rsidRPr="00AB1C6D" w14:paraId="04798F2E" w14:textId="77777777" w:rsidTr="002941D2">
        <w:trPr>
          <w:trHeight w:val="557"/>
        </w:trPr>
        <w:tc>
          <w:tcPr>
            <w:tcW w:w="4504" w:type="dxa"/>
          </w:tcPr>
          <w:p w14:paraId="0AF6B151" w14:textId="77777777" w:rsidR="00FE795C" w:rsidRPr="00AB1C6D" w:rsidRDefault="00FE795C" w:rsidP="002941D2">
            <w:pPr>
              <w:autoSpaceDE w:val="0"/>
              <w:autoSpaceDN w:val="0"/>
              <w:adjustRightInd w:val="0"/>
            </w:pPr>
            <w:r>
              <w:t>La biomasse moyenne du relevé est bien supérieure à la moyenne de la série chronologique.</w:t>
            </w:r>
          </w:p>
        </w:tc>
        <w:tc>
          <w:tcPr>
            <w:tcW w:w="4768" w:type="dxa"/>
          </w:tcPr>
          <w:p w14:paraId="34FD33B6" w14:textId="77777777" w:rsidR="00FE795C" w:rsidRPr="00AB1C6D" w:rsidRDefault="00FE795C" w:rsidP="002941D2">
            <w:pPr>
              <w:autoSpaceDE w:val="0"/>
              <w:autoSpaceDN w:val="0"/>
              <w:adjustRightInd w:val="0"/>
            </w:pPr>
            <w:r>
              <w:t>Même sans aucune prise en 2020, la biomasse devrait, selon les projections, décliner.</w:t>
            </w:r>
          </w:p>
          <w:p w14:paraId="70B5AB4D" w14:textId="77777777" w:rsidR="00FE795C" w:rsidRPr="00BA2A92" w:rsidRDefault="00FE795C" w:rsidP="002941D2">
            <w:pPr>
              <w:autoSpaceDE w:val="0"/>
              <w:autoSpaceDN w:val="0"/>
              <w:adjustRightInd w:val="0"/>
              <w:rPr>
                <w:lang w:eastAsia="en-CA"/>
              </w:rPr>
            </w:pPr>
          </w:p>
        </w:tc>
      </w:tr>
      <w:tr w:rsidR="00FE795C" w:rsidRPr="00AB1C6D" w14:paraId="0C5EFB1F" w14:textId="77777777" w:rsidTr="002941D2">
        <w:trPr>
          <w:trHeight w:val="849"/>
        </w:trPr>
        <w:tc>
          <w:tcPr>
            <w:tcW w:w="4504" w:type="dxa"/>
          </w:tcPr>
          <w:p w14:paraId="467681E5" w14:textId="270FB914" w:rsidR="00FE795C" w:rsidRPr="00AB1C6D" w:rsidRDefault="00FE795C" w:rsidP="002941D2">
            <w:pPr>
              <w:autoSpaceDE w:val="0"/>
              <w:autoSpaceDN w:val="0"/>
              <w:adjustRightInd w:val="0"/>
            </w:pPr>
            <w:r>
              <w:t>Indication préliminaire d</w:t>
            </w:r>
            <w:r w:rsidR="00BA2A92">
              <w:t>’</w:t>
            </w:r>
            <w:r>
              <w:t>un recrutement supérieur à la moyenne pour 2016 (fréquence de longueur et prises de la pêche et du relevé selon l</w:t>
            </w:r>
            <w:r w:rsidR="00BA2A92">
              <w:t>’</w:t>
            </w:r>
            <w:r>
              <w:t>âge), bien que cette observation soit incertaine; elle ne contribuerait pas non plus beaucoup aux prises en 2020 à l</w:t>
            </w:r>
            <w:r w:rsidR="00BA2A92">
              <w:t>’</w:t>
            </w:r>
            <w:r>
              <w:t>âge 4, car cet âge n</w:t>
            </w:r>
            <w:r w:rsidR="00BA2A92">
              <w:t>’</w:t>
            </w:r>
            <w:r>
              <w:t>est pas pleinement sélectionné pour la pêche.</w:t>
            </w:r>
          </w:p>
        </w:tc>
        <w:tc>
          <w:tcPr>
            <w:tcW w:w="4768" w:type="dxa"/>
          </w:tcPr>
          <w:p w14:paraId="4B621225" w14:textId="2CDB9127" w:rsidR="00FE795C" w:rsidRPr="00AB1C6D" w:rsidRDefault="00FE795C" w:rsidP="002941D2">
            <w:pPr>
              <w:autoSpaceDE w:val="0"/>
              <w:autoSpaceDN w:val="0"/>
              <w:adjustRightInd w:val="0"/>
            </w:pPr>
            <w:r>
              <w:t>Les poids selon l</w:t>
            </w:r>
            <w:r w:rsidR="00BA2A92">
              <w:t>’</w:t>
            </w:r>
            <w:r>
              <w:t>âge sont les plus faibles observés pour la classe d</w:t>
            </w:r>
            <w:r w:rsidR="00BA2A92">
              <w:t>’</w:t>
            </w:r>
            <w:r>
              <w:t>âge de 2013, et on prévoit une poursuite de la croissance faible pendant les années de la projection.</w:t>
            </w:r>
          </w:p>
        </w:tc>
      </w:tr>
      <w:tr w:rsidR="00FE795C" w:rsidRPr="00AB1C6D" w14:paraId="6069A80B" w14:textId="77777777" w:rsidTr="002941D2">
        <w:trPr>
          <w:trHeight w:val="849"/>
        </w:trPr>
        <w:tc>
          <w:tcPr>
            <w:tcW w:w="4504" w:type="dxa"/>
          </w:tcPr>
          <w:p w14:paraId="32D49A65" w14:textId="77777777" w:rsidR="00FE795C" w:rsidRPr="00BA2A92" w:rsidRDefault="00FE795C" w:rsidP="002941D2">
            <w:pPr>
              <w:autoSpaceDE w:val="0"/>
              <w:autoSpaceDN w:val="0"/>
              <w:adjustRightInd w:val="0"/>
              <w:rPr>
                <w:lang w:eastAsia="en-CA"/>
              </w:rPr>
            </w:pPr>
          </w:p>
        </w:tc>
        <w:tc>
          <w:tcPr>
            <w:tcW w:w="4768" w:type="dxa"/>
          </w:tcPr>
          <w:p w14:paraId="2133EF22" w14:textId="6B4AEF01" w:rsidR="00FE795C" w:rsidRPr="00AB1C6D" w:rsidRDefault="00E77E32" w:rsidP="002941D2">
            <w:pPr>
              <w:autoSpaceDE w:val="0"/>
              <w:autoSpaceDN w:val="0"/>
              <w:adjustRightInd w:val="0"/>
            </w:pPr>
            <w:r>
              <w:t>La disponibilité pour la pêche est très incertaine pour la classe d</w:t>
            </w:r>
            <w:r w:rsidR="00BA2A92">
              <w:t>’</w:t>
            </w:r>
            <w:r>
              <w:t>âge de 2013 à l</w:t>
            </w:r>
            <w:r w:rsidR="00BA2A92">
              <w:t>’</w:t>
            </w:r>
            <w:r>
              <w:t>âge 7 en 2020 ou à l</w:t>
            </w:r>
            <w:r w:rsidR="00BA2A92">
              <w:t>’</w:t>
            </w:r>
            <w:r>
              <w:t>âge 8 en 2021; beaucoup d</w:t>
            </w:r>
            <w:r w:rsidR="00BA2A92">
              <w:t>’</w:t>
            </w:r>
            <w:r>
              <w:t>APV récentes indiquent une disponibilité réduite aux âges plus avancés.</w:t>
            </w:r>
          </w:p>
        </w:tc>
      </w:tr>
    </w:tbl>
    <w:p w14:paraId="3F0D6FD1" w14:textId="396DDF6E" w:rsidR="004C0F17" w:rsidRPr="00446CA9" w:rsidRDefault="004C0F17" w:rsidP="00EF2777">
      <w:pPr>
        <w:pStyle w:val="Heading5"/>
        <w:spacing w:before="120" w:after="120"/>
      </w:pPr>
      <w:r>
        <w:t>Considérations particulières</w:t>
      </w:r>
    </w:p>
    <w:p w14:paraId="1FB8F6B4" w14:textId="49E0E152" w:rsidR="00901E24" w:rsidRDefault="00901E24" w:rsidP="00901E24">
      <w:pPr>
        <w:pStyle w:val="BodyText"/>
        <w:numPr>
          <w:ilvl w:val="0"/>
          <w:numId w:val="19"/>
        </w:numPr>
        <w:spacing w:after="0"/>
      </w:pPr>
      <w:r>
        <w:t>L</w:t>
      </w:r>
      <w:r w:rsidR="00BA2A92">
        <w:t>’</w:t>
      </w:r>
      <w:r>
        <w:t>évaluation de l</w:t>
      </w:r>
      <w:r w:rsidR="00BA2A92">
        <w:t>’</w:t>
      </w:r>
      <w:r>
        <w:t>APV a été rejetée cette année pour produire un avis</w:t>
      </w:r>
      <w:r w:rsidR="0096298B">
        <w:t xml:space="preserve">. </w:t>
      </w:r>
      <w:r>
        <w:t xml:space="preserve">Cela a limité la capacité du CERT de se fonder sur les analyses pour fournir des avis sur les quotas et caractériser les risques. </w:t>
      </w:r>
    </w:p>
    <w:p w14:paraId="15DD1E93" w14:textId="1B29DD93" w:rsidR="00901E24" w:rsidRDefault="00901E24" w:rsidP="00901E24">
      <w:pPr>
        <w:pStyle w:val="BodyText"/>
        <w:numPr>
          <w:ilvl w:val="0"/>
          <w:numId w:val="19"/>
        </w:numPr>
        <w:spacing w:after="0"/>
      </w:pPr>
      <w:r>
        <w:t>En l</w:t>
      </w:r>
      <w:r w:rsidR="00BA2A92">
        <w:t>’</w:t>
      </w:r>
      <w:r>
        <w:t>absence d</w:t>
      </w:r>
      <w:r w:rsidR="00BA2A92">
        <w:t>’</w:t>
      </w:r>
      <w:r>
        <w:t>un modèle analytique, l</w:t>
      </w:r>
      <w:r w:rsidR="00BA2A92">
        <w:t>’</w:t>
      </w:r>
      <w:r>
        <w:t>incertitude entourant le quota et à l</w:t>
      </w:r>
      <w:r w:rsidR="00BA2A92">
        <w:t>’</w:t>
      </w:r>
      <w:r>
        <w:t>échelle absolue de la population est très élevée.</w:t>
      </w:r>
    </w:p>
    <w:p w14:paraId="5EEAB64E" w14:textId="204CF3B0" w:rsidR="00901E24" w:rsidRDefault="00A52CBD" w:rsidP="00901E24">
      <w:pPr>
        <w:pStyle w:val="BodyText"/>
        <w:numPr>
          <w:ilvl w:val="0"/>
          <w:numId w:val="19"/>
        </w:numPr>
        <w:spacing w:after="0"/>
      </w:pPr>
      <w:r>
        <w:t>Le COGST a fixé le quota d</w:t>
      </w:r>
      <w:r w:rsidR="00BA2A92">
        <w:t>’</w:t>
      </w:r>
      <w:r>
        <w:t>aiglefin depuis 2004, mais le quota n</w:t>
      </w:r>
      <w:r w:rsidR="00BA2A92">
        <w:t>’</w:t>
      </w:r>
      <w:r>
        <w:t>a jamais été atteint en totalité</w:t>
      </w:r>
      <w:r w:rsidR="0096298B">
        <w:t xml:space="preserve">. </w:t>
      </w:r>
      <w:r>
        <w:t>De 2009 à 2011, les prises correspondaient à 66 %, 63 % et 58 % du quota</w:t>
      </w:r>
      <w:r w:rsidR="0096298B">
        <w:t xml:space="preserve">. </w:t>
      </w:r>
      <w:r>
        <w:t>Depuis, la fraction du quota capturée varie de 31 % (2018) à 53 % (2014).</w:t>
      </w:r>
    </w:p>
    <w:p w14:paraId="6D60C46C" w14:textId="7B6312C9" w:rsidR="00901E24" w:rsidRDefault="006455EC" w:rsidP="00901E24">
      <w:pPr>
        <w:pStyle w:val="BodyText"/>
        <w:numPr>
          <w:ilvl w:val="0"/>
          <w:numId w:val="19"/>
        </w:numPr>
        <w:spacing w:after="0"/>
      </w:pPr>
      <w:r>
        <w:t>Si le COGST recommande un avis de deux ans, le CERT recommande d</w:t>
      </w:r>
      <w:r w:rsidR="00BA2A92">
        <w:t>’</w:t>
      </w:r>
      <w:r>
        <w:t>évaluer la pertinence du quota de 2021 en comparant les tendances des valeurs de F relative, des poids selon l</w:t>
      </w:r>
      <w:r w:rsidR="00BA2A92">
        <w:t>’</w:t>
      </w:r>
      <w:r>
        <w:t>âge et du relevé à la réunion du CERT de 2020.</w:t>
      </w:r>
    </w:p>
    <w:p w14:paraId="38638450" w14:textId="4824269F" w:rsidR="00CC5317" w:rsidRPr="004E029A" w:rsidRDefault="005C726A" w:rsidP="00901E24">
      <w:pPr>
        <w:pStyle w:val="BodyText"/>
        <w:numPr>
          <w:ilvl w:val="0"/>
          <w:numId w:val="19"/>
        </w:numPr>
        <w:spacing w:after="0"/>
      </w:pPr>
      <w:r>
        <w:t>Lors d</w:t>
      </w:r>
      <w:r w:rsidR="00BA2A92">
        <w:t>’</w:t>
      </w:r>
      <w:r>
        <w:t>une présentation au CERT (Clark et Trinko-Lake 2019), on a étudié la croissance de l</w:t>
      </w:r>
      <w:r w:rsidR="00BA2A92">
        <w:t>’</w:t>
      </w:r>
      <w:r>
        <w:t>aiglefin et relevé de fortes indications d</w:t>
      </w:r>
      <w:r w:rsidR="00BA2A92">
        <w:t>’</w:t>
      </w:r>
      <w:r>
        <w:t>une croissance dépendante de la densité.</w:t>
      </w:r>
    </w:p>
    <w:p w14:paraId="2268D7D5" w14:textId="38DA0FE2" w:rsidR="004C0F17" w:rsidRPr="00050B81" w:rsidRDefault="004C0F17" w:rsidP="00EF2777">
      <w:pPr>
        <w:pStyle w:val="Heading5"/>
        <w:spacing w:before="120" w:after="120"/>
        <w:rPr>
          <w:sz w:val="24"/>
          <w:szCs w:val="24"/>
          <w:lang w:val="en-US"/>
        </w:rPr>
      </w:pPr>
      <w:r w:rsidRPr="00050B81">
        <w:rPr>
          <w:sz w:val="24"/>
          <w:szCs w:val="24"/>
          <w:lang w:val="en-US"/>
        </w:rPr>
        <w:t>Source Documents</w:t>
      </w:r>
    </w:p>
    <w:p w14:paraId="5251E0BB" w14:textId="077DA40B" w:rsidR="008C0CF5" w:rsidRPr="00050B81" w:rsidRDefault="008C0CF5" w:rsidP="002941D2">
      <w:pPr>
        <w:spacing w:after="120"/>
        <w:ind w:left="806" w:hanging="806"/>
        <w:rPr>
          <w:lang w:val="en-US"/>
        </w:rPr>
      </w:pPr>
      <w:r w:rsidRPr="00050B81">
        <w:rPr>
          <w:lang w:val="en-US" w:eastAsia="en-CA"/>
        </w:rPr>
        <w:t xml:space="preserve">L. Van Eeckhaute, E. N. Brooks and S. Christine Hansen. 2012. </w:t>
      </w:r>
      <w:r w:rsidRPr="00050B81">
        <w:rPr>
          <w:bCs/>
          <w:lang w:val="en-US" w:eastAsia="en-CA"/>
        </w:rPr>
        <w:t>Assessment of Eastern Georges Bank Haddock for 2012. TRAC Reference Document 2012/06</w:t>
      </w:r>
      <w:r w:rsidRPr="00050B81">
        <w:rPr>
          <w:rFonts w:ascii="Arial-BoldMT" w:hAnsi="Arial-BoldMT"/>
          <w:bCs/>
          <w:lang w:val="en-US" w:eastAsia="en-CA"/>
        </w:rPr>
        <w:t>.</w:t>
      </w:r>
    </w:p>
    <w:p w14:paraId="70A8D849" w14:textId="0F7206E7" w:rsidR="004737D7" w:rsidRPr="00050B81" w:rsidRDefault="002372CD" w:rsidP="002941D2">
      <w:pPr>
        <w:spacing w:after="120"/>
        <w:ind w:left="806" w:hanging="806"/>
        <w:rPr>
          <w:i/>
          <w:lang w:val="en-US"/>
        </w:rPr>
      </w:pPr>
      <w:r w:rsidRPr="00050B81">
        <w:rPr>
          <w:lang w:val="en-US"/>
        </w:rPr>
        <w:t xml:space="preserve">Clark, K.J, </w:t>
      </w:r>
      <w:r w:rsidRPr="002941D2">
        <w:rPr>
          <w:bCs/>
          <w:lang w:val="en-US" w:eastAsia="en-CA"/>
        </w:rPr>
        <w:t>and</w:t>
      </w:r>
      <w:r w:rsidRPr="00050B81">
        <w:rPr>
          <w:lang w:val="en-US"/>
        </w:rPr>
        <w:t xml:space="preserve"> E.N. Brooks, editors. 2017. Proceedings of the Transboundary Resources Assessment Committee (TRAC): Eastern Georges Bank Cod and Haddock, and Georges Bank Yellowtail Flounder: Report of Meeting held 11-14 July 2017. TRAC Proceedings 2017/01</w:t>
      </w:r>
      <w:r w:rsidRPr="00050B81">
        <w:rPr>
          <w:i/>
          <w:lang w:val="en-US"/>
        </w:rPr>
        <w:t>.</w:t>
      </w:r>
    </w:p>
    <w:p w14:paraId="36B07D35" w14:textId="7F8D2B32" w:rsidR="006455EC" w:rsidRPr="00050B81" w:rsidRDefault="006455EC" w:rsidP="002941D2">
      <w:pPr>
        <w:spacing w:after="120"/>
        <w:ind w:left="806" w:hanging="806"/>
        <w:rPr>
          <w:i/>
          <w:lang w:val="en-US"/>
        </w:rPr>
      </w:pPr>
      <w:r w:rsidRPr="00050B81">
        <w:rPr>
          <w:lang w:val="en-US"/>
        </w:rPr>
        <w:t xml:space="preserve">Clark, K.J, and T. Trinko-Lake, editors. 2019. Proceedings of the Transboundary Resources </w:t>
      </w:r>
      <w:r w:rsidRPr="002941D2">
        <w:rPr>
          <w:lang w:val="en-US"/>
        </w:rPr>
        <w:t>Assessment</w:t>
      </w:r>
      <w:r w:rsidRPr="00050B81">
        <w:rPr>
          <w:lang w:val="en-US"/>
        </w:rPr>
        <w:t xml:space="preserve"> Committee (TRAC): Eastern Georges Bank Cod and Haddock, and Georges Bank Yellowtail Flounder: Report of Meeting held 9-11 July 2019. TRAC Proceedings 2019/01</w:t>
      </w:r>
      <w:r w:rsidRPr="00050B81">
        <w:rPr>
          <w:i/>
          <w:lang w:val="en-US"/>
        </w:rPr>
        <w:t>.</w:t>
      </w:r>
    </w:p>
    <w:p w14:paraId="416256F6" w14:textId="311E0C6A" w:rsidR="00E43356" w:rsidRPr="00050B81" w:rsidRDefault="004737D7" w:rsidP="002941D2">
      <w:pPr>
        <w:spacing w:after="120"/>
        <w:ind w:left="806" w:hanging="806"/>
        <w:rPr>
          <w:lang w:val="en-US"/>
        </w:rPr>
      </w:pPr>
      <w:r w:rsidRPr="00050B81">
        <w:rPr>
          <w:lang w:val="en-US"/>
        </w:rPr>
        <w:t>Legault, C.M., L. Alade and H.H. Stone</w:t>
      </w:r>
      <w:r w:rsidR="0096298B">
        <w:rPr>
          <w:lang w:val="en-US"/>
        </w:rPr>
        <w:t xml:space="preserve">. </w:t>
      </w:r>
      <w:r w:rsidRPr="00050B81">
        <w:rPr>
          <w:lang w:val="en-US"/>
        </w:rPr>
        <w:t>2010</w:t>
      </w:r>
      <w:r w:rsidR="0096298B">
        <w:rPr>
          <w:lang w:val="en-US"/>
        </w:rPr>
        <w:t xml:space="preserve">. </w:t>
      </w:r>
      <w:r w:rsidRPr="00050B81">
        <w:rPr>
          <w:lang w:val="en-US"/>
        </w:rPr>
        <w:t>Stock Assessment of Georges Bank (5Zjmnh) Yellowtail Flounder for 2010</w:t>
      </w:r>
      <w:r w:rsidR="0096298B">
        <w:rPr>
          <w:lang w:val="en-US"/>
        </w:rPr>
        <w:t xml:space="preserve">. </w:t>
      </w:r>
      <w:r w:rsidRPr="00050B81">
        <w:rPr>
          <w:lang w:val="en-US"/>
        </w:rPr>
        <w:t xml:space="preserve">TRAC Reference Document 2010/06. </w:t>
      </w:r>
    </w:p>
    <w:p w14:paraId="76C566A3" w14:textId="36D7F2DB" w:rsidR="004C0F17" w:rsidRPr="00050B81" w:rsidRDefault="00B63183" w:rsidP="002941D2">
      <w:pPr>
        <w:spacing w:after="120"/>
        <w:ind w:left="806" w:hanging="806"/>
        <w:rPr>
          <w:lang w:val="en-US"/>
        </w:rPr>
      </w:pPr>
      <w:r w:rsidRPr="00050B81">
        <w:rPr>
          <w:lang w:val="sv-SE"/>
        </w:rPr>
        <w:t>Barrett, M.A., E.N. Brooks,. and Y. Wang. 2017. Assessment of Haddock on Eastern Georges Bank for 2017. TRAC Reference Document 2017/02.</w:t>
      </w:r>
      <w:r w:rsidRPr="00050B81">
        <w:rPr>
          <w:i/>
          <w:lang w:val="en-US"/>
        </w:rPr>
        <w:t xml:space="preserve"> </w:t>
      </w:r>
    </w:p>
    <w:p w14:paraId="1E98B953" w14:textId="77777777" w:rsidR="004C0F17" w:rsidRPr="00050B81" w:rsidRDefault="004C0F17" w:rsidP="002941D2">
      <w:pPr>
        <w:pStyle w:val="Heading5"/>
        <w:spacing w:before="120" w:after="120"/>
        <w:rPr>
          <w:sz w:val="24"/>
          <w:szCs w:val="24"/>
          <w:lang w:val="en-US"/>
        </w:rPr>
      </w:pPr>
      <w:r w:rsidRPr="00050B81">
        <w:rPr>
          <w:sz w:val="24"/>
          <w:szCs w:val="24"/>
          <w:lang w:val="en-US"/>
        </w:rPr>
        <w:t>Correct Citation</w:t>
      </w:r>
    </w:p>
    <w:p w14:paraId="7F9D2020" w14:textId="6DEC5F85" w:rsidR="004C0F17" w:rsidRPr="00050B81" w:rsidRDefault="004C0F17" w:rsidP="006724EE">
      <w:pPr>
        <w:pStyle w:val="ref"/>
        <w:spacing w:after="0"/>
        <w:ind w:left="0" w:firstLine="0"/>
      </w:pPr>
      <w:r w:rsidRPr="00050B81">
        <w:rPr>
          <w:lang w:val="en-US"/>
        </w:rPr>
        <w:t xml:space="preserve">TRAC. 2019. Eastern Georges Bank Haddock. </w:t>
      </w:r>
      <w:r w:rsidRPr="00050B81">
        <w:t>TRAC Status Report 2019/01.</w:t>
      </w:r>
    </w:p>
    <w:p w14:paraId="49E66EC0" w14:textId="77777777" w:rsidR="004C0F17" w:rsidRDefault="004C0F17" w:rsidP="006724EE"/>
    <w:p w14:paraId="283390CC" w14:textId="77777777" w:rsidR="004C0F17" w:rsidRDefault="004C0F17" w:rsidP="006724EE">
      <w:pPr>
        <w:sectPr w:rsidR="004C0F17" w:rsidSect="007B195A">
          <w:pgSz w:w="12240" w:h="15840" w:code="1"/>
          <w:pgMar w:top="1440" w:right="1440" w:bottom="1080" w:left="1440" w:header="720" w:footer="720" w:gutter="0"/>
          <w:cols w:space="720"/>
          <w:titlePg/>
          <w:docGrid w:linePitch="360"/>
        </w:sectPr>
      </w:pPr>
    </w:p>
    <w:tbl>
      <w:tblPr>
        <w:tblW w:w="13428" w:type="dxa"/>
        <w:tblLayout w:type="fixed"/>
        <w:tblLook w:val="01E0" w:firstRow="1" w:lastRow="1" w:firstColumn="1" w:lastColumn="1" w:noHBand="0" w:noVBand="0"/>
      </w:tblPr>
      <w:tblGrid>
        <w:gridCol w:w="6588"/>
        <w:gridCol w:w="6840"/>
      </w:tblGrid>
      <w:tr w:rsidR="004C0F17" w:rsidRPr="00B103EC" w14:paraId="786E1292" w14:textId="77777777" w:rsidTr="00CB6D7E">
        <w:trPr>
          <w:trHeight w:val="3899"/>
        </w:trPr>
        <w:tc>
          <w:tcPr>
            <w:tcW w:w="6588" w:type="dxa"/>
          </w:tcPr>
          <w:p w14:paraId="0B7748D3" w14:textId="263C5597" w:rsidR="004C0F17" w:rsidRPr="0072021F" w:rsidRDefault="004B4FEA" w:rsidP="0072021F">
            <w:pPr>
              <w:jc w:val="center"/>
              <w:rPr>
                <w:b/>
              </w:rPr>
            </w:pPr>
            <w:r>
              <w:rPr>
                <w:b/>
                <w:noProof/>
                <w:lang w:val="en-US"/>
              </w:rPr>
              <mc:AlternateContent>
                <mc:Choice Requires="wps">
                  <w:drawing>
                    <wp:anchor distT="0" distB="0" distL="114300" distR="114300" simplePos="0" relativeHeight="251661312" behindDoc="0" locked="0" layoutInCell="1" allowOverlap="1" wp14:anchorId="1324200F" wp14:editId="55D26FE4">
                      <wp:simplePos x="0" y="0"/>
                      <wp:positionH relativeFrom="column">
                        <wp:posOffset>3432810</wp:posOffset>
                      </wp:positionH>
                      <wp:positionV relativeFrom="paragraph">
                        <wp:posOffset>1514583</wp:posOffset>
                      </wp:positionV>
                      <wp:extent cx="189865" cy="18986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8986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B5A00" w14:textId="77777777" w:rsidR="0096298B" w:rsidRPr="00AE14C3" w:rsidRDefault="0096298B" w:rsidP="004B4F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4200F" id="_x0000_t202" coordsize="21600,21600" o:spt="202" path="m,l,21600r21600,l21600,xe">
                      <v:stroke joinstyle="miter"/>
                      <v:path gradientshapeok="t" o:connecttype="rect"/>
                    </v:shapetype>
                    <v:shape id="Text Box 78" o:spid="_x0000_s1109" type="#_x0000_t202" style="position:absolute;left:0;text-align:left;margin-left:270.3pt;margin-top:119.25pt;width:14.9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" filled="f" stroked="f" strokeweight=".5pt">
                      <v:textbox>
                        <w:txbxContent>
                          <w:p w14:paraId="1FCB5A00" w14:textId="77777777" w:rsidR="0096298B" w:rsidRPr="00AE14C3" w:rsidRDefault="0096298B" w:rsidP="004B4FEA">
                            <w:r>
                              <w:t>*</w:t>
                            </w:r>
                          </w:p>
                        </w:txbxContent>
                      </v:textbox>
                    </v:shape>
                  </w:pict>
                </mc:Fallback>
              </mc:AlternateContent>
            </w:r>
            <w:r w:rsidR="007B195A">
              <w:rPr>
                <w:noProof/>
                <w:lang w:val="en-US"/>
              </w:rPr>
              <w:drawing>
                <wp:inline distT="0" distB="0" distL="0" distR="0" wp14:anchorId="73AC3A6C" wp14:editId="68744DFA">
                  <wp:extent cx="4046220" cy="2233295"/>
                  <wp:effectExtent l="0" t="0" r="0" b="0"/>
                  <wp:docPr id="64" name="Picture 6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6220" cy="2233295"/>
                          </a:xfrm>
                          <a:prstGeom prst="rect">
                            <a:avLst/>
                          </a:prstGeom>
                        </pic:spPr>
                      </pic:pic>
                    </a:graphicData>
                  </a:graphic>
                </wp:inline>
              </w:drawing>
            </w:r>
          </w:p>
        </w:tc>
        <w:tc>
          <w:tcPr>
            <w:tcW w:w="6840" w:type="dxa"/>
          </w:tcPr>
          <w:p w14:paraId="78D4026D" w14:textId="77FDF550" w:rsidR="004C0F17" w:rsidRPr="00923CE7" w:rsidRDefault="007B195A" w:rsidP="00C36001">
            <w:pPr>
              <w:jc w:val="center"/>
              <w:rPr>
                <w:b/>
              </w:rPr>
            </w:pPr>
            <w:r>
              <w:rPr>
                <w:noProof/>
                <w:lang w:val="en-US"/>
              </w:rPr>
              <w:drawing>
                <wp:inline distT="0" distB="0" distL="0" distR="0" wp14:anchorId="64B8F160" wp14:editId="0847D96E">
                  <wp:extent cx="4206240" cy="2911475"/>
                  <wp:effectExtent l="0" t="0" r="3810" b="3175"/>
                  <wp:docPr id="68" name="Picture 68"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06240" cy="2911475"/>
                          </a:xfrm>
                          <a:prstGeom prst="rect">
                            <a:avLst/>
                          </a:prstGeom>
                        </pic:spPr>
                      </pic:pic>
                    </a:graphicData>
                  </a:graphic>
                </wp:inline>
              </w:drawing>
            </w:r>
            <w:r w:rsidR="00C36001">
              <w:rPr>
                <w:b/>
              </w:rPr>
              <w:t xml:space="preserve"> </w:t>
            </w:r>
          </w:p>
        </w:tc>
      </w:tr>
      <w:tr w:rsidR="00A23F99" w14:paraId="48AD29FA" w14:textId="77777777" w:rsidTr="001C25FB">
        <w:trPr>
          <w:trHeight w:val="512"/>
        </w:trPr>
        <w:tc>
          <w:tcPr>
            <w:tcW w:w="6588" w:type="dxa"/>
          </w:tcPr>
          <w:p w14:paraId="31CB585C" w14:textId="41C50B2A" w:rsidR="00A23F99" w:rsidRPr="009D4535" w:rsidRDefault="00B4023E" w:rsidP="00FA51C5">
            <w:pPr>
              <w:jc w:val="both"/>
            </w:pPr>
            <w:r>
              <w:rPr>
                <w:i/>
                <w:sz w:val="22"/>
                <w:szCs w:val="22"/>
              </w:rPr>
              <w:t>Figure 1</w:t>
            </w:r>
            <w:r>
              <w:rPr>
                <w:sz w:val="22"/>
                <w:szCs w:val="22"/>
              </w:rPr>
              <w:t xml:space="preserve">. </w:t>
            </w:r>
            <w:r>
              <w:rPr>
                <w:i/>
                <w:sz w:val="22"/>
                <w:szCs w:val="22"/>
              </w:rPr>
              <w:t>Prises et quota d</w:t>
            </w:r>
            <w:r w:rsidR="00BA2A92">
              <w:rPr>
                <w:i/>
                <w:sz w:val="22"/>
                <w:szCs w:val="22"/>
              </w:rPr>
              <w:t>’</w:t>
            </w:r>
            <w:r>
              <w:rPr>
                <w:i/>
                <w:sz w:val="22"/>
                <w:szCs w:val="22"/>
              </w:rPr>
              <w:t>aiglefin de l</w:t>
            </w:r>
            <w:r w:rsidR="00BA2A92">
              <w:rPr>
                <w:i/>
                <w:sz w:val="22"/>
                <w:szCs w:val="22"/>
              </w:rPr>
              <w:t>’</w:t>
            </w:r>
            <w:r>
              <w:rPr>
                <w:i/>
                <w:sz w:val="22"/>
                <w:szCs w:val="22"/>
              </w:rPr>
              <w:t>est du banc de Georges (EBG)</w:t>
            </w:r>
            <w:r w:rsidR="0096298B">
              <w:rPr>
                <w:i/>
                <w:sz w:val="22"/>
                <w:szCs w:val="22"/>
              </w:rPr>
              <w:t xml:space="preserve">. </w:t>
            </w:r>
          </w:p>
        </w:tc>
        <w:tc>
          <w:tcPr>
            <w:tcW w:w="6840" w:type="dxa"/>
          </w:tcPr>
          <w:p w14:paraId="1EC0FCF5" w14:textId="7AC90D44" w:rsidR="00A23F99" w:rsidRDefault="00A23F99">
            <w:pPr>
              <w:rPr>
                <w:i/>
                <w:sz w:val="22"/>
                <w:szCs w:val="22"/>
              </w:rPr>
            </w:pPr>
            <w:r>
              <w:rPr>
                <w:i/>
                <w:sz w:val="22"/>
                <w:szCs w:val="22"/>
              </w:rPr>
              <w:t>Figure 2. Indices de la biomasse totale corrigés, dérivés des relevés de recherche concernant l</w:t>
            </w:r>
            <w:r w:rsidR="00BA2A92">
              <w:rPr>
                <w:i/>
                <w:sz w:val="22"/>
                <w:szCs w:val="22"/>
              </w:rPr>
              <w:t>’</w:t>
            </w:r>
            <w:r>
              <w:rPr>
                <w:i/>
                <w:sz w:val="22"/>
                <w:szCs w:val="22"/>
              </w:rPr>
              <w:t>aiglefin de l</w:t>
            </w:r>
            <w:r w:rsidR="00BA2A92">
              <w:rPr>
                <w:i/>
                <w:sz w:val="22"/>
                <w:szCs w:val="22"/>
              </w:rPr>
              <w:t>’</w:t>
            </w:r>
            <w:r>
              <w:rPr>
                <w:i/>
                <w:sz w:val="22"/>
                <w:szCs w:val="22"/>
              </w:rPr>
              <w:t>est du banc de Georges. Les indices ne sont pas ajustés en fonction de la capturabilité.</w:t>
            </w:r>
          </w:p>
          <w:p w14:paraId="285A3F00" w14:textId="77777777" w:rsidR="00C36001" w:rsidRDefault="00C36001">
            <w:pPr>
              <w:rPr>
                <w:sz w:val="22"/>
                <w:szCs w:val="22"/>
              </w:rPr>
            </w:pPr>
          </w:p>
          <w:p w14:paraId="61099BDC" w14:textId="7BE7B107" w:rsidR="00C36001" w:rsidRPr="00C36001" w:rsidRDefault="00C36001">
            <w:pPr>
              <w:rPr>
                <w:sz w:val="22"/>
                <w:szCs w:val="22"/>
              </w:rPr>
            </w:pPr>
          </w:p>
        </w:tc>
      </w:tr>
      <w:tr w:rsidR="004C0F17" w14:paraId="3D8AC059" w14:textId="77777777" w:rsidTr="001C25FB">
        <w:trPr>
          <w:trHeight w:val="3890"/>
        </w:trPr>
        <w:tc>
          <w:tcPr>
            <w:tcW w:w="6588" w:type="dxa"/>
          </w:tcPr>
          <w:p w14:paraId="36303A9B" w14:textId="2B1FAA39" w:rsidR="004C0F17" w:rsidRPr="00DC470D" w:rsidRDefault="007B195A" w:rsidP="00A23F99">
            <w:pPr>
              <w:jc w:val="center"/>
            </w:pPr>
            <w:r>
              <w:rPr>
                <w:noProof/>
                <w:lang w:val="en-US"/>
              </w:rPr>
              <w:drawing>
                <wp:inline distT="0" distB="0" distL="0" distR="0" wp14:anchorId="78D228F1" wp14:editId="6E7F4039">
                  <wp:extent cx="2638425" cy="3219450"/>
                  <wp:effectExtent l="0" t="0" r="9525" b="0"/>
                  <wp:docPr id="69" name="Picture 69"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38425" cy="3219450"/>
                          </a:xfrm>
                          <a:prstGeom prst="rect">
                            <a:avLst/>
                          </a:prstGeom>
                        </pic:spPr>
                      </pic:pic>
                    </a:graphicData>
                  </a:graphic>
                </wp:inline>
              </w:drawing>
            </w:r>
            <w:r w:rsidR="00D3288E">
              <w:t xml:space="preserve"> </w:t>
            </w:r>
            <w:r w:rsidR="00D3288E">
              <w:rPr>
                <w:b/>
                <w:noProof/>
                <w:lang w:val="en-US"/>
              </w:rPr>
              <mc:AlternateContent>
                <mc:Choice Requires="wps">
                  <w:drawing>
                    <wp:anchor distT="0" distB="0" distL="114300" distR="114300" simplePos="0" relativeHeight="251663360" behindDoc="0" locked="0" layoutInCell="1" allowOverlap="1" wp14:anchorId="3E39A884" wp14:editId="488C4AB7">
                      <wp:simplePos x="0" y="0"/>
                      <wp:positionH relativeFrom="column">
                        <wp:posOffset>3403600</wp:posOffset>
                      </wp:positionH>
                      <wp:positionV relativeFrom="paragraph">
                        <wp:posOffset>968375</wp:posOffset>
                      </wp:positionV>
                      <wp:extent cx="189865" cy="18986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18986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85D3D" w14:textId="4B34A4A7" w:rsidR="0096298B" w:rsidRPr="00AE14C3" w:rsidRDefault="0096298B" w:rsidP="00150B4A">
                                  <w:pPr>
                                    <w:rPr>
                                      <w:color w:val="244061" w:themeColor="accent1" w:themeShade="80"/>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A884" id="Text Box 75" o:spid="_x0000_s1110" type="#_x0000_t202" style="position:absolute;left:0;text-align:left;margin-left:268pt;margin-top:76.25pt;width:14.9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" filled="f" stroked="f" strokeweight=".5pt">
                      <v:textbox>
                        <w:txbxContent>
                          <w:p w14:paraId="0D985D3D" w14:textId="4B34A4A7" w:rsidR="0096298B" w:rsidRPr="00AE14C3" w:rsidRDefault="0096298B" w:rsidP="00150B4A">
                            <w:pPr>
                              <w:rPr>
                                <w:color w:val="244061" w:themeColor="accent1" w:themeShade="80"/>
                                <w:lang w:val="en-CA"/>
                              </w:rPr>
                            </w:pPr>
                          </w:p>
                        </w:txbxContent>
                      </v:textbox>
                    </v:shape>
                  </w:pict>
                </mc:Fallback>
              </mc:AlternateContent>
            </w:r>
          </w:p>
        </w:tc>
        <w:tc>
          <w:tcPr>
            <w:tcW w:w="6840" w:type="dxa"/>
          </w:tcPr>
          <w:p w14:paraId="73451D87" w14:textId="31D106C8" w:rsidR="004C0F17" w:rsidRPr="00BC11F7" w:rsidRDefault="007B195A" w:rsidP="00EC2528">
            <w:pPr>
              <w:jc w:val="both"/>
            </w:pPr>
            <w:r>
              <w:rPr>
                <w:noProof/>
                <w:lang w:val="en-US"/>
              </w:rPr>
              <w:drawing>
                <wp:inline distT="0" distB="0" distL="0" distR="0" wp14:anchorId="3AFDFD33" wp14:editId="33F6703F">
                  <wp:extent cx="4206240" cy="3154680"/>
                  <wp:effectExtent l="0" t="0" r="3810" b="7620"/>
                  <wp:docPr id="70" name="Picture 70"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06240" cy="3154680"/>
                          </a:xfrm>
                          <a:prstGeom prst="rect">
                            <a:avLst/>
                          </a:prstGeom>
                        </pic:spPr>
                      </pic:pic>
                    </a:graphicData>
                  </a:graphic>
                </wp:inline>
              </w:drawing>
            </w:r>
          </w:p>
        </w:tc>
      </w:tr>
      <w:tr w:rsidR="00A23F99" w:rsidRPr="00F3121B" w14:paraId="69E7682D" w14:textId="77777777" w:rsidTr="001C25FB">
        <w:trPr>
          <w:trHeight w:val="287"/>
        </w:trPr>
        <w:tc>
          <w:tcPr>
            <w:tcW w:w="6588" w:type="dxa"/>
          </w:tcPr>
          <w:p w14:paraId="0F01FD5D" w14:textId="1AC7BFB6" w:rsidR="00A23F99" w:rsidRPr="001C25FB" w:rsidRDefault="00E519B8" w:rsidP="00D3288E">
            <w:pPr>
              <w:rPr>
                <w:i/>
              </w:rPr>
            </w:pPr>
            <w:r>
              <w:rPr>
                <w:i/>
                <w:sz w:val="22"/>
                <w:szCs w:val="22"/>
              </w:rPr>
              <w:t>Figure 3. Prises selon l</w:t>
            </w:r>
            <w:r w:rsidR="00BA2A92">
              <w:rPr>
                <w:i/>
                <w:sz w:val="22"/>
                <w:szCs w:val="22"/>
              </w:rPr>
              <w:t>’</w:t>
            </w:r>
            <w:r>
              <w:rPr>
                <w:i/>
                <w:sz w:val="22"/>
                <w:szCs w:val="22"/>
              </w:rPr>
              <w:t>âge dans le relevé d</w:t>
            </w:r>
            <w:r w:rsidR="00BA2A92">
              <w:rPr>
                <w:i/>
                <w:sz w:val="22"/>
                <w:szCs w:val="22"/>
              </w:rPr>
              <w:t>’</w:t>
            </w:r>
            <w:r>
              <w:rPr>
                <w:i/>
                <w:sz w:val="22"/>
                <w:szCs w:val="22"/>
              </w:rPr>
              <w:t>automne, en nombre, pour l</w:t>
            </w:r>
            <w:r w:rsidR="00BA2A92">
              <w:rPr>
                <w:i/>
                <w:sz w:val="22"/>
                <w:szCs w:val="22"/>
              </w:rPr>
              <w:t>’</w:t>
            </w:r>
            <w:r>
              <w:rPr>
                <w:i/>
                <w:sz w:val="22"/>
                <w:szCs w:val="22"/>
              </w:rPr>
              <w:t>aiglefin de l</w:t>
            </w:r>
            <w:r w:rsidR="00BA2A92">
              <w:rPr>
                <w:i/>
                <w:sz w:val="22"/>
                <w:szCs w:val="22"/>
              </w:rPr>
              <w:t>’</w:t>
            </w:r>
            <w:r>
              <w:rPr>
                <w:i/>
                <w:sz w:val="22"/>
                <w:szCs w:val="22"/>
              </w:rPr>
              <w:t>EBG, de 2000 à 2018</w:t>
            </w:r>
            <w:r w:rsidR="0096298B">
              <w:rPr>
                <w:i/>
                <w:sz w:val="22"/>
                <w:szCs w:val="22"/>
              </w:rPr>
              <w:t xml:space="preserve">. </w:t>
            </w:r>
          </w:p>
        </w:tc>
        <w:tc>
          <w:tcPr>
            <w:tcW w:w="6840" w:type="dxa"/>
          </w:tcPr>
          <w:p w14:paraId="5A6182E5" w14:textId="6C0EAFFE" w:rsidR="00C85F5C" w:rsidRPr="001C25FB" w:rsidRDefault="00A23F99" w:rsidP="00CB6D7E">
            <w:pPr>
              <w:rPr>
                <w:i/>
                <w:sz w:val="22"/>
                <w:szCs w:val="22"/>
              </w:rPr>
            </w:pPr>
            <w:r>
              <w:rPr>
                <w:i/>
                <w:sz w:val="22"/>
                <w:szCs w:val="22"/>
              </w:rPr>
              <w:t>Figure 4</w:t>
            </w:r>
            <w:r w:rsidR="0096298B">
              <w:rPr>
                <w:i/>
                <w:sz w:val="22"/>
                <w:szCs w:val="22"/>
              </w:rPr>
              <w:t xml:space="preserve">. </w:t>
            </w:r>
            <w:r>
              <w:rPr>
                <w:i/>
                <w:iCs/>
                <w:sz w:val="22"/>
                <w:szCs w:val="22"/>
              </w:rPr>
              <w:t>Longueur moyenne selon l</w:t>
            </w:r>
            <w:r w:rsidR="00BA2A92">
              <w:rPr>
                <w:i/>
                <w:iCs/>
                <w:sz w:val="22"/>
                <w:szCs w:val="22"/>
              </w:rPr>
              <w:t>’</w:t>
            </w:r>
            <w:r>
              <w:rPr>
                <w:i/>
                <w:iCs/>
                <w:sz w:val="22"/>
                <w:szCs w:val="22"/>
              </w:rPr>
              <w:t>âge pour certaines classes d</w:t>
            </w:r>
            <w:r w:rsidR="00BA2A92">
              <w:rPr>
                <w:i/>
                <w:iCs/>
                <w:sz w:val="22"/>
                <w:szCs w:val="22"/>
              </w:rPr>
              <w:t>’</w:t>
            </w:r>
            <w:r>
              <w:rPr>
                <w:i/>
                <w:iCs/>
                <w:sz w:val="22"/>
                <w:szCs w:val="22"/>
              </w:rPr>
              <w:t>âge d</w:t>
            </w:r>
            <w:r w:rsidR="00BA2A92">
              <w:rPr>
                <w:i/>
                <w:iCs/>
                <w:sz w:val="22"/>
                <w:szCs w:val="22"/>
              </w:rPr>
              <w:t>’</w:t>
            </w:r>
            <w:r>
              <w:rPr>
                <w:i/>
                <w:iCs/>
                <w:sz w:val="22"/>
                <w:szCs w:val="22"/>
              </w:rPr>
              <w:t>aiglefin de l</w:t>
            </w:r>
            <w:r w:rsidR="00BA2A92">
              <w:rPr>
                <w:i/>
                <w:iCs/>
                <w:sz w:val="22"/>
                <w:szCs w:val="22"/>
              </w:rPr>
              <w:t>’</w:t>
            </w:r>
            <w:r>
              <w:rPr>
                <w:i/>
                <w:iCs/>
                <w:sz w:val="22"/>
                <w:szCs w:val="22"/>
              </w:rPr>
              <w:t>est du banc de Georges échantillonnées à partir des relevés menés par le MPO.</w:t>
            </w:r>
            <w:r>
              <w:rPr>
                <w:sz w:val="22"/>
                <w:szCs w:val="22"/>
              </w:rPr>
              <w:t xml:space="preserve"> </w:t>
            </w:r>
          </w:p>
        </w:tc>
      </w:tr>
    </w:tbl>
    <w:p w14:paraId="0DC31244" w14:textId="68B6CEAD" w:rsidR="00E519B8" w:rsidRDefault="00ED304B" w:rsidP="00AE14C3">
      <w:pPr>
        <w:rPr>
          <w:i/>
          <w:sz w:val="22"/>
          <w:szCs w:val="22"/>
        </w:rPr>
      </w:pPr>
      <w:r>
        <w:t xml:space="preserve"> </w:t>
      </w:r>
      <w:r>
        <w:tab/>
      </w:r>
      <w:r>
        <w:tab/>
      </w:r>
    </w:p>
    <w:p w14:paraId="34859137" w14:textId="0A88A16D" w:rsidR="003B5E10" w:rsidRDefault="007B195A" w:rsidP="00F8320D">
      <w:pPr>
        <w:tabs>
          <w:tab w:val="left" w:pos="6390"/>
        </w:tabs>
        <w:rPr>
          <w:i/>
          <w:sz w:val="22"/>
          <w:szCs w:val="22"/>
        </w:rPr>
      </w:pPr>
      <w:r>
        <w:rPr>
          <w:noProof/>
          <w:lang w:val="en-US"/>
        </w:rPr>
        <w:drawing>
          <wp:inline distT="0" distB="0" distL="0" distR="0" wp14:anchorId="1168FA6D" wp14:editId="03299FAC">
            <wp:extent cx="5403850" cy="2206200"/>
            <wp:effectExtent l="0" t="0" r="6350" b="3810"/>
            <wp:docPr id="71" name="Picture 71"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45205" cy="2223084"/>
                    </a:xfrm>
                    <a:prstGeom prst="rect">
                      <a:avLst/>
                    </a:prstGeom>
                  </pic:spPr>
                </pic:pic>
              </a:graphicData>
            </a:graphic>
          </wp:inline>
        </w:drawing>
      </w:r>
    </w:p>
    <w:p w14:paraId="5FEC4AFE" w14:textId="3C2544A3" w:rsidR="008858AE" w:rsidRDefault="005C2753" w:rsidP="00692E08">
      <w:pPr>
        <w:tabs>
          <w:tab w:val="left" w:pos="6390"/>
        </w:tabs>
        <w:rPr>
          <w:i/>
          <w:sz w:val="22"/>
          <w:szCs w:val="22"/>
        </w:rPr>
      </w:pPr>
      <w:r>
        <w:rPr>
          <w:i/>
          <w:sz w:val="22"/>
          <w:szCs w:val="22"/>
        </w:rPr>
        <w:t>Figure 5. Mortalité par pêche relative (barres) et biomasse moyenne</w:t>
      </w:r>
      <w:r w:rsidR="00EF2777">
        <w:rPr>
          <w:i/>
          <w:sz w:val="22"/>
          <w:szCs w:val="22"/>
        </w:rPr>
        <w:t xml:space="preserve"> du relevé (ligne continue).</w:t>
      </w:r>
    </w:p>
    <w:sectPr w:rsidR="008858AE" w:rsidSect="00C36001">
      <w:headerReference w:type="default" r:id="rId21"/>
      <w:pgSz w:w="15840" w:h="12240" w:orient="landscape" w:code="1"/>
      <w:pgMar w:top="1080" w:right="1440" w:bottom="1080" w:left="1440" w:header="720" w:footer="720" w:gutter="0"/>
      <w:cols w:space="720" w:equalWidth="0">
        <w:col w:w="129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3EFC1" w14:textId="77777777" w:rsidR="008D5099" w:rsidRDefault="008D5099">
      <w:r>
        <w:separator/>
      </w:r>
    </w:p>
  </w:endnote>
  <w:endnote w:type="continuationSeparator" w:id="0">
    <w:p w14:paraId="4B372A8E" w14:textId="77777777" w:rsidR="008D5099" w:rsidRDefault="008D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AB6F" w14:textId="77777777" w:rsidR="0096298B" w:rsidRDefault="009629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7A5E7326" w14:textId="77777777" w:rsidR="0096298B" w:rsidRDefault="00962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813C" w14:textId="5C9D36A7" w:rsidR="0096298B" w:rsidRDefault="0096298B">
    <w:pPr>
      <w:pStyle w:val="Footer"/>
      <w:pBdr>
        <w:top w:val="single" w:sz="4" w:space="1" w:color="auto"/>
      </w:pBdr>
      <w:jc w:val="center"/>
    </w:pPr>
    <w:r>
      <w:rPr>
        <w:rStyle w:val="PageNumber"/>
      </w:rPr>
      <w:fldChar w:fldCharType="begin"/>
    </w:r>
    <w:r>
      <w:rPr>
        <w:rStyle w:val="PageNumber"/>
      </w:rPr>
      <w:instrText xml:space="preserve"> PAGE </w:instrText>
    </w:r>
    <w:r>
      <w:rPr>
        <w:rStyle w:val="PageNumber"/>
      </w:rPr>
      <w:fldChar w:fldCharType="separate"/>
    </w:r>
    <w:r w:rsidR="00CA3432">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7" w:type="dxa"/>
      <w:tblInd w:w="81" w:type="dxa"/>
      <w:tblBorders>
        <w:top w:val="single" w:sz="4" w:space="0" w:color="auto"/>
      </w:tblBorders>
      <w:tblLayout w:type="fixed"/>
      <w:tblLook w:val="01E0" w:firstRow="1" w:lastRow="1" w:firstColumn="1" w:lastColumn="1" w:noHBand="0" w:noVBand="0"/>
    </w:tblPr>
    <w:tblGrid>
      <w:gridCol w:w="3447"/>
      <w:gridCol w:w="630"/>
      <w:gridCol w:w="540"/>
      <w:gridCol w:w="630"/>
      <w:gridCol w:w="4140"/>
    </w:tblGrid>
    <w:tr w:rsidR="0096298B" w:rsidRPr="000004FB" w14:paraId="07DE85E2" w14:textId="77777777">
      <w:tc>
        <w:tcPr>
          <w:tcW w:w="4077" w:type="dxa"/>
          <w:gridSpan w:val="2"/>
          <w:tcBorders>
            <w:top w:val="single" w:sz="4" w:space="0" w:color="auto"/>
            <w:bottom w:val="nil"/>
          </w:tcBorders>
        </w:tcPr>
        <w:p w14:paraId="03ABFB37" w14:textId="77777777" w:rsidR="0096298B" w:rsidRPr="00BA2A92" w:rsidRDefault="0096298B">
          <w:pPr>
            <w:pStyle w:val="Footer"/>
            <w:rPr>
              <w:rFonts w:cs="Arial"/>
              <w:spacing w:val="-3"/>
              <w:sz w:val="16"/>
              <w:szCs w:val="16"/>
              <w:lang w:val="en-US"/>
            </w:rPr>
          </w:pPr>
          <w:r w:rsidRPr="00BA2A92">
            <w:rPr>
              <w:sz w:val="16"/>
              <w:szCs w:val="16"/>
              <w:lang w:val="en-US"/>
            </w:rPr>
            <w:t>This document is available on the Internet at:</w:t>
          </w:r>
        </w:p>
      </w:tc>
      <w:tc>
        <w:tcPr>
          <w:tcW w:w="540" w:type="dxa"/>
          <w:tcBorders>
            <w:top w:val="single" w:sz="4" w:space="0" w:color="auto"/>
            <w:bottom w:val="nil"/>
          </w:tcBorders>
        </w:tcPr>
        <w:p w14:paraId="77D10D46" w14:textId="77777777" w:rsidR="0096298B" w:rsidRPr="00BA2A92" w:rsidRDefault="0096298B">
          <w:pPr>
            <w:pStyle w:val="Footer"/>
            <w:jc w:val="center"/>
            <w:rPr>
              <w:rFonts w:cs="Arial"/>
              <w:spacing w:val="-3"/>
              <w:sz w:val="16"/>
              <w:szCs w:val="16"/>
              <w:lang w:val="en-US"/>
            </w:rPr>
          </w:pPr>
        </w:p>
      </w:tc>
      <w:tc>
        <w:tcPr>
          <w:tcW w:w="4770" w:type="dxa"/>
          <w:gridSpan w:val="2"/>
          <w:tcBorders>
            <w:top w:val="single" w:sz="4" w:space="0" w:color="auto"/>
            <w:bottom w:val="nil"/>
          </w:tcBorders>
        </w:tcPr>
        <w:p w14:paraId="29F71B49" w14:textId="46C6A9D9" w:rsidR="0096298B" w:rsidRPr="000004FB" w:rsidRDefault="0096298B">
          <w:pPr>
            <w:pStyle w:val="Footer"/>
            <w:jc w:val="right"/>
            <w:rPr>
              <w:rFonts w:cs="Arial"/>
              <w:spacing w:val="-3"/>
              <w:sz w:val="16"/>
              <w:szCs w:val="16"/>
            </w:rPr>
          </w:pPr>
          <w:r>
            <w:rPr>
              <w:sz w:val="16"/>
              <w:szCs w:val="16"/>
            </w:rPr>
            <w:t>Ce document est disponible sur Internet à l’adresse suivante :</w:t>
          </w:r>
        </w:p>
      </w:tc>
    </w:tr>
    <w:tr w:rsidR="0096298B" w:rsidRPr="000004FB" w14:paraId="12F4568A" w14:textId="77777777">
      <w:tc>
        <w:tcPr>
          <w:tcW w:w="9387" w:type="dxa"/>
          <w:gridSpan w:val="5"/>
          <w:tcBorders>
            <w:top w:val="nil"/>
            <w:bottom w:val="single" w:sz="4" w:space="0" w:color="auto"/>
          </w:tcBorders>
        </w:tcPr>
        <w:p w14:paraId="7EC2D1B7" w14:textId="77777777" w:rsidR="0096298B" w:rsidRPr="000004FB" w:rsidRDefault="00CA3432" w:rsidP="00B139DA">
          <w:pPr>
            <w:pStyle w:val="Footer"/>
            <w:jc w:val="center"/>
            <w:rPr>
              <w:rFonts w:cs="Arial"/>
              <w:spacing w:val="-3"/>
              <w:sz w:val="16"/>
              <w:szCs w:val="16"/>
            </w:rPr>
          </w:pPr>
          <w:hyperlink r:id="rId1" w:tooltip="Comité d'évaluation des ressources transfrontalières (CERT)" w:history="1">
            <w:r w:rsidR="0096298B">
              <w:rPr>
                <w:rStyle w:val="Hyperlink"/>
                <w:sz w:val="16"/>
                <w:szCs w:val="16"/>
              </w:rPr>
              <w:t>http://www.bio.gc.ca/info/intercol/trac-cert/index-fr.php</w:t>
            </w:r>
          </w:hyperlink>
        </w:p>
      </w:tc>
    </w:tr>
    <w:tr w:rsidR="0096298B" w:rsidRPr="000004FB" w14:paraId="3177B6C2" w14:textId="77777777">
      <w:tc>
        <w:tcPr>
          <w:tcW w:w="3447" w:type="dxa"/>
          <w:tcBorders>
            <w:top w:val="single" w:sz="4" w:space="0" w:color="auto"/>
          </w:tcBorders>
        </w:tcPr>
        <w:p w14:paraId="42A8A5C1" w14:textId="77777777" w:rsidR="0096298B" w:rsidRPr="00BA2A92" w:rsidRDefault="0096298B">
          <w:pPr>
            <w:pStyle w:val="Footer"/>
            <w:rPr>
              <w:rFonts w:cs="Arial"/>
              <w:spacing w:val="-3"/>
            </w:rPr>
          </w:pPr>
        </w:p>
        <w:p w14:paraId="5AEBAABD" w14:textId="77777777" w:rsidR="0096298B" w:rsidRPr="00CF322D" w:rsidRDefault="0096298B">
          <w:pPr>
            <w:pStyle w:val="Footer"/>
            <w:rPr>
              <w:rFonts w:cs="Arial"/>
              <w:spacing w:val="-3"/>
            </w:rPr>
          </w:pPr>
          <w:r>
            <w:rPr>
              <w:noProof/>
              <w:lang w:val="en-US" w:eastAsia="en-US"/>
            </w:rPr>
            <w:drawing>
              <wp:inline distT="0" distB="0" distL="0" distR="0" wp14:anchorId="6238F771" wp14:editId="3E799439">
                <wp:extent cx="800100" cy="190500"/>
                <wp:effectExtent l="0" t="0" r="0" b="0"/>
                <wp:docPr id="2" name="Picture 2" descr="CANADA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ADA ©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p>
      </w:tc>
      <w:tc>
        <w:tcPr>
          <w:tcW w:w="1800" w:type="dxa"/>
          <w:gridSpan w:val="3"/>
          <w:tcBorders>
            <w:top w:val="single" w:sz="4" w:space="0" w:color="auto"/>
          </w:tcBorders>
        </w:tcPr>
        <w:p w14:paraId="1E01F565" w14:textId="77777777" w:rsidR="0096298B" w:rsidRPr="00CF322D" w:rsidRDefault="0096298B">
          <w:pPr>
            <w:pStyle w:val="Footer"/>
            <w:jc w:val="center"/>
            <w:rPr>
              <w:rFonts w:cs="Arial"/>
              <w:spacing w:val="-3"/>
            </w:rPr>
          </w:pPr>
        </w:p>
        <w:p w14:paraId="4C2FEA46" w14:textId="2AEEE621" w:rsidR="0096298B" w:rsidRPr="00CF322D" w:rsidRDefault="00CA3432" w:rsidP="00200424">
          <w:pPr>
            <w:pStyle w:val="Footer"/>
            <w:jc w:val="center"/>
            <w:rPr>
              <w:rFonts w:cs="Arial"/>
              <w:spacing w:val="-3"/>
            </w:rPr>
          </w:pPr>
          <w:r>
            <w:t>Juin 2020</w:t>
          </w:r>
          <w:bookmarkStart w:id="0" w:name="_GoBack"/>
          <w:bookmarkEnd w:id="0"/>
        </w:p>
      </w:tc>
      <w:tc>
        <w:tcPr>
          <w:tcW w:w="4140" w:type="dxa"/>
          <w:tcBorders>
            <w:top w:val="single" w:sz="4" w:space="0" w:color="auto"/>
          </w:tcBorders>
        </w:tcPr>
        <w:p w14:paraId="653B5D50" w14:textId="77777777" w:rsidR="0096298B" w:rsidRPr="00CF322D" w:rsidRDefault="0096298B">
          <w:pPr>
            <w:pStyle w:val="Footer"/>
            <w:jc w:val="right"/>
            <w:rPr>
              <w:rFonts w:cs="Arial"/>
              <w:spacing w:val="-3"/>
            </w:rPr>
          </w:pPr>
          <w:r>
            <w:rPr>
              <w:noProof/>
              <w:lang w:val="en-US" w:eastAsia="en-US"/>
            </w:rPr>
            <w:drawing>
              <wp:inline distT="0" distB="0" distL="0" distR="0" wp14:anchorId="5938374E" wp14:editId="5CAE9B0D">
                <wp:extent cx="381000" cy="381000"/>
                <wp:effectExtent l="0" t="0" r="0" b="0"/>
                <wp:docPr id="3" name="Picture 3"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58AAEB25" w14:textId="77777777" w:rsidR="0096298B" w:rsidRDefault="0096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94085" w14:textId="77777777" w:rsidR="008D5099" w:rsidRDefault="008D5099">
      <w:r>
        <w:separator/>
      </w:r>
    </w:p>
  </w:footnote>
  <w:footnote w:type="continuationSeparator" w:id="0">
    <w:p w14:paraId="7032C6BE" w14:textId="77777777" w:rsidR="008D5099" w:rsidRDefault="008D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DDB0" w14:textId="77777777" w:rsidR="00CA3432" w:rsidRDefault="00CA3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D2F92" w14:textId="4470F136" w:rsidR="0096298B" w:rsidRDefault="0096298B" w:rsidP="0084721B">
    <w:pPr>
      <w:pStyle w:val="Header"/>
      <w:pBdr>
        <w:bottom w:val="single" w:sz="4" w:space="1" w:color="auto"/>
      </w:pBdr>
      <w:tabs>
        <w:tab w:val="clear" w:pos="4320"/>
        <w:tab w:val="clear" w:pos="8640"/>
        <w:tab w:val="right" w:pos="9252"/>
      </w:tabs>
    </w:pPr>
    <w:r>
      <w:rPr>
        <w:b/>
      </w:rPr>
      <w:t>Aiglefin de l’est du banc de Georges</w:t>
    </w:r>
    <w:r>
      <w:rPr>
        <w:b/>
      </w:rPr>
      <w:tab/>
      <w:t>Rapport du CERT sur l’état des stocks 2019/01</w:t>
    </w:r>
  </w:p>
  <w:p w14:paraId="4916D78B" w14:textId="77777777" w:rsidR="0096298B" w:rsidRDefault="0096298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Ind w:w="-5" w:type="dxa"/>
      <w:tblLayout w:type="fixed"/>
      <w:tblCellMar>
        <w:left w:w="0" w:type="dxa"/>
        <w:right w:w="0" w:type="dxa"/>
      </w:tblCellMar>
      <w:tblLook w:val="01E0" w:firstRow="1" w:lastRow="1" w:firstColumn="1" w:lastColumn="1" w:noHBand="0" w:noVBand="0"/>
    </w:tblPr>
    <w:tblGrid>
      <w:gridCol w:w="4428"/>
      <w:gridCol w:w="4937"/>
    </w:tblGrid>
    <w:tr w:rsidR="0096298B" w14:paraId="54AB7CDE" w14:textId="77777777">
      <w:tc>
        <w:tcPr>
          <w:tcW w:w="4428" w:type="dxa"/>
        </w:tcPr>
        <w:p w14:paraId="2EBDA2F2" w14:textId="77777777" w:rsidR="0096298B" w:rsidRDefault="0096298B">
          <w:pPr>
            <w:pStyle w:val="Header"/>
            <w:tabs>
              <w:tab w:val="clear" w:pos="8640"/>
              <w:tab w:val="right" w:pos="8825"/>
            </w:tabs>
            <w:rPr>
              <w:b/>
            </w:rPr>
          </w:pPr>
          <w:r>
            <w:rPr>
              <w:noProof/>
              <w:lang w:val="en-US"/>
            </w:rPr>
            <w:drawing>
              <wp:inline distT="0" distB="0" distL="0" distR="0" wp14:anchorId="102E051E" wp14:editId="50870D57">
                <wp:extent cx="2493364" cy="460350"/>
                <wp:effectExtent l="0" t="0" r="2540" b="0"/>
                <wp:docPr id="7" name="Picture 7" descr="C:\Users\RondeauI\Desktop\Templates&amp;Forms\e_es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eauI\Desktop\Templates&amp;Forms\e_eso_b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21" cy="460416"/>
                        </a:xfrm>
                        <a:prstGeom prst="rect">
                          <a:avLst/>
                        </a:prstGeom>
                        <a:noFill/>
                        <a:ln>
                          <a:noFill/>
                        </a:ln>
                      </pic:spPr>
                    </pic:pic>
                  </a:graphicData>
                </a:graphic>
              </wp:inline>
            </w:drawing>
          </w:r>
        </w:p>
      </w:tc>
      <w:tc>
        <w:tcPr>
          <w:tcW w:w="4937" w:type="dxa"/>
        </w:tcPr>
        <w:p w14:paraId="3C20E2D9" w14:textId="77777777" w:rsidR="0096298B" w:rsidRPr="00606708" w:rsidRDefault="0096298B">
          <w:pPr>
            <w:pStyle w:val="Header"/>
            <w:jc w:val="right"/>
            <w:rPr>
              <w:b/>
            </w:rPr>
          </w:pPr>
          <w:r>
            <w:rPr>
              <w:b/>
              <w:noProof/>
              <w:lang w:val="en-US"/>
            </w:rPr>
            <w:drawing>
              <wp:inline distT="0" distB="0" distL="0" distR="0" wp14:anchorId="68179A58" wp14:editId="6C8916B4">
                <wp:extent cx="271462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266700"/>
                        </a:xfrm>
                        <a:prstGeom prst="rect">
                          <a:avLst/>
                        </a:prstGeom>
                        <a:noFill/>
                        <a:ln>
                          <a:noFill/>
                        </a:ln>
                      </pic:spPr>
                    </pic:pic>
                  </a:graphicData>
                </a:graphic>
              </wp:inline>
            </w:drawing>
          </w:r>
        </w:p>
      </w:tc>
    </w:tr>
    <w:tr w:rsidR="0096298B" w14:paraId="6C4871CC" w14:textId="77777777">
      <w:tc>
        <w:tcPr>
          <w:tcW w:w="9365" w:type="dxa"/>
          <w:gridSpan w:val="2"/>
        </w:tcPr>
        <w:p w14:paraId="51E228EA" w14:textId="30CC8462" w:rsidR="0096298B" w:rsidRDefault="0096298B">
          <w:pPr>
            <w:pStyle w:val="Header"/>
            <w:tabs>
              <w:tab w:val="clear" w:pos="4320"/>
              <w:tab w:val="center" w:pos="4428"/>
            </w:tabs>
            <w:spacing w:before="60"/>
            <w:jc w:val="center"/>
            <w:rPr>
              <w:b/>
            </w:rPr>
          </w:pPr>
          <w:r>
            <w:rPr>
              <w:b/>
            </w:rPr>
            <w:t xml:space="preserve">Comité d’évaluation des ressources transfrontalières </w:t>
          </w:r>
        </w:p>
      </w:tc>
    </w:tr>
    <w:tr w:rsidR="0096298B" w14:paraId="3C8E23C9" w14:textId="77777777">
      <w:tc>
        <w:tcPr>
          <w:tcW w:w="9365" w:type="dxa"/>
          <w:gridSpan w:val="2"/>
          <w:tcBorders>
            <w:bottom w:val="single" w:sz="4" w:space="0" w:color="auto"/>
          </w:tcBorders>
        </w:tcPr>
        <w:p w14:paraId="32428251" w14:textId="54A747C8" w:rsidR="0096298B" w:rsidRDefault="0096298B" w:rsidP="00F73428">
          <w:pPr>
            <w:pStyle w:val="Header"/>
            <w:tabs>
              <w:tab w:val="clear" w:pos="4320"/>
              <w:tab w:val="center" w:pos="4428"/>
            </w:tabs>
            <w:spacing w:before="60"/>
            <w:jc w:val="right"/>
            <w:rPr>
              <w:b/>
            </w:rPr>
          </w:pPr>
          <w:r>
            <w:rPr>
              <w:b/>
            </w:rPr>
            <w:t>Rapport sur l’état des stocks 2019/01</w:t>
          </w:r>
        </w:p>
      </w:tc>
    </w:tr>
  </w:tbl>
  <w:p w14:paraId="33FF9F00" w14:textId="77777777" w:rsidR="0096298B" w:rsidRDefault="009629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0"/>
    </w:tblGrid>
    <w:tr w:rsidR="0096298B" w14:paraId="225462D5" w14:textId="77777777">
      <w:tc>
        <w:tcPr>
          <w:tcW w:w="13068" w:type="dxa"/>
          <w:tcBorders>
            <w:top w:val="nil"/>
            <w:left w:val="nil"/>
            <w:bottom w:val="single" w:sz="4" w:space="0" w:color="auto"/>
            <w:right w:val="nil"/>
          </w:tcBorders>
        </w:tcPr>
        <w:p w14:paraId="4FC060F4" w14:textId="7AAFC4F5" w:rsidR="0096298B" w:rsidRPr="00067959" w:rsidRDefault="0096298B" w:rsidP="00A52CBD">
          <w:pPr>
            <w:pStyle w:val="Header"/>
            <w:tabs>
              <w:tab w:val="clear" w:pos="4320"/>
              <w:tab w:val="left" w:pos="240"/>
              <w:tab w:val="left" w:pos="2325"/>
              <w:tab w:val="left" w:pos="5325"/>
            </w:tabs>
            <w:jc w:val="right"/>
            <w:rPr>
              <w:b/>
            </w:rPr>
          </w:pPr>
          <w:r>
            <w:rPr>
              <w:b/>
            </w:rPr>
            <w:t>Rapport du CERT sur l’état des stocks 2019/02</w:t>
          </w:r>
        </w:p>
      </w:tc>
    </w:tr>
  </w:tbl>
  <w:p w14:paraId="1A605854" w14:textId="77777777" w:rsidR="0096298B" w:rsidRDefault="009629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36CF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0EDB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767A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327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C5E5B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322E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B8D2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F455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48E7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763D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B517E"/>
    <w:multiLevelType w:val="hybridMultilevel"/>
    <w:tmpl w:val="067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B0805"/>
    <w:multiLevelType w:val="hybridMultilevel"/>
    <w:tmpl w:val="ADF64CD0"/>
    <w:lvl w:ilvl="0" w:tplc="207EE77A">
      <w:start w:val="1"/>
      <w:numFmt w:val="bullet"/>
      <w:lvlText w:val=""/>
      <w:lvlJc w:val="left"/>
      <w:pPr>
        <w:tabs>
          <w:tab w:val="num" w:pos="720"/>
        </w:tabs>
        <w:ind w:left="720" w:hanging="360"/>
      </w:pPr>
      <w:rPr>
        <w:rFonts w:ascii="Symbol" w:hAnsi="Symbol" w:hint="default"/>
      </w:rPr>
    </w:lvl>
    <w:lvl w:ilvl="1" w:tplc="B480403C" w:tentative="1">
      <w:start w:val="1"/>
      <w:numFmt w:val="bullet"/>
      <w:lvlText w:val="o"/>
      <w:lvlJc w:val="left"/>
      <w:pPr>
        <w:tabs>
          <w:tab w:val="num" w:pos="1440"/>
        </w:tabs>
        <w:ind w:left="1440" w:hanging="360"/>
      </w:pPr>
      <w:rPr>
        <w:rFonts w:ascii="Courier New" w:hAnsi="Courier New" w:cs="Courier New" w:hint="default"/>
      </w:rPr>
    </w:lvl>
    <w:lvl w:ilvl="2" w:tplc="8F481FCC" w:tentative="1">
      <w:start w:val="1"/>
      <w:numFmt w:val="bullet"/>
      <w:lvlText w:val=""/>
      <w:lvlJc w:val="left"/>
      <w:pPr>
        <w:tabs>
          <w:tab w:val="num" w:pos="2160"/>
        </w:tabs>
        <w:ind w:left="2160" w:hanging="360"/>
      </w:pPr>
      <w:rPr>
        <w:rFonts w:ascii="Wingdings" w:hAnsi="Wingdings" w:hint="default"/>
      </w:rPr>
    </w:lvl>
    <w:lvl w:ilvl="3" w:tplc="27C638D6" w:tentative="1">
      <w:start w:val="1"/>
      <w:numFmt w:val="bullet"/>
      <w:lvlText w:val=""/>
      <w:lvlJc w:val="left"/>
      <w:pPr>
        <w:tabs>
          <w:tab w:val="num" w:pos="2880"/>
        </w:tabs>
        <w:ind w:left="2880" w:hanging="360"/>
      </w:pPr>
      <w:rPr>
        <w:rFonts w:ascii="Symbol" w:hAnsi="Symbol" w:hint="default"/>
      </w:rPr>
    </w:lvl>
    <w:lvl w:ilvl="4" w:tplc="C73CE43A" w:tentative="1">
      <w:start w:val="1"/>
      <w:numFmt w:val="bullet"/>
      <w:lvlText w:val="o"/>
      <w:lvlJc w:val="left"/>
      <w:pPr>
        <w:tabs>
          <w:tab w:val="num" w:pos="3600"/>
        </w:tabs>
        <w:ind w:left="3600" w:hanging="360"/>
      </w:pPr>
      <w:rPr>
        <w:rFonts w:ascii="Courier New" w:hAnsi="Courier New" w:cs="Courier New" w:hint="default"/>
      </w:rPr>
    </w:lvl>
    <w:lvl w:ilvl="5" w:tplc="40A8C5B6" w:tentative="1">
      <w:start w:val="1"/>
      <w:numFmt w:val="bullet"/>
      <w:lvlText w:val=""/>
      <w:lvlJc w:val="left"/>
      <w:pPr>
        <w:tabs>
          <w:tab w:val="num" w:pos="4320"/>
        </w:tabs>
        <w:ind w:left="4320" w:hanging="360"/>
      </w:pPr>
      <w:rPr>
        <w:rFonts w:ascii="Wingdings" w:hAnsi="Wingdings" w:hint="default"/>
      </w:rPr>
    </w:lvl>
    <w:lvl w:ilvl="6" w:tplc="61E893A0" w:tentative="1">
      <w:start w:val="1"/>
      <w:numFmt w:val="bullet"/>
      <w:lvlText w:val=""/>
      <w:lvlJc w:val="left"/>
      <w:pPr>
        <w:tabs>
          <w:tab w:val="num" w:pos="5040"/>
        </w:tabs>
        <w:ind w:left="5040" w:hanging="360"/>
      </w:pPr>
      <w:rPr>
        <w:rFonts w:ascii="Symbol" w:hAnsi="Symbol" w:hint="default"/>
      </w:rPr>
    </w:lvl>
    <w:lvl w:ilvl="7" w:tplc="ED6A98F6" w:tentative="1">
      <w:start w:val="1"/>
      <w:numFmt w:val="bullet"/>
      <w:lvlText w:val="o"/>
      <w:lvlJc w:val="left"/>
      <w:pPr>
        <w:tabs>
          <w:tab w:val="num" w:pos="5760"/>
        </w:tabs>
        <w:ind w:left="5760" w:hanging="360"/>
      </w:pPr>
      <w:rPr>
        <w:rFonts w:ascii="Courier New" w:hAnsi="Courier New" w:cs="Courier New" w:hint="default"/>
      </w:rPr>
    </w:lvl>
    <w:lvl w:ilvl="8" w:tplc="AA0408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16BFD"/>
    <w:multiLevelType w:val="hybridMultilevel"/>
    <w:tmpl w:val="4E06C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B54A7A"/>
    <w:multiLevelType w:val="hybridMultilevel"/>
    <w:tmpl w:val="CCD0C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BF1172D"/>
    <w:multiLevelType w:val="hybridMultilevel"/>
    <w:tmpl w:val="B61CD92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532BE"/>
    <w:multiLevelType w:val="hybridMultilevel"/>
    <w:tmpl w:val="B850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1358E"/>
    <w:multiLevelType w:val="hybridMultilevel"/>
    <w:tmpl w:val="2AD6C03E"/>
    <w:lvl w:ilvl="0" w:tplc="FFFFFFFF">
      <w:start w:val="1"/>
      <w:numFmt w:val="bullet"/>
      <w:lvlText w:val=""/>
      <w:lvlJc w:val="left"/>
      <w:pPr>
        <w:tabs>
          <w:tab w:val="num" w:pos="360"/>
        </w:tabs>
        <w:ind w:left="360" w:hanging="360"/>
      </w:pPr>
      <w:rPr>
        <w:rFonts w:ascii="Symbol" w:hAnsi="Symbol" w:hint="default"/>
      </w:rPr>
    </w:lvl>
    <w:lvl w:ilvl="1" w:tplc="EB68A77E">
      <w:numFmt w:val="bullet"/>
      <w:lvlText w:val="•"/>
      <w:lvlJc w:val="left"/>
      <w:pPr>
        <w:ind w:left="1800" w:hanging="720"/>
      </w:pPr>
      <w:rPr>
        <w:rFonts w:ascii="Times New Roman" w:eastAsia="Times New Roman" w:hAnsi="Times New Roman" w:cs="Times New Roman"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51872"/>
    <w:multiLevelType w:val="hybridMultilevel"/>
    <w:tmpl w:val="0B285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514958"/>
    <w:multiLevelType w:val="hybridMultilevel"/>
    <w:tmpl w:val="D4DCB99C"/>
    <w:lvl w:ilvl="0" w:tplc="FFFFFFFF">
      <w:start w:val="1"/>
      <w:numFmt w:val="bullet"/>
      <w:lvlText w:val=""/>
      <w:lvlJc w:val="left"/>
      <w:pPr>
        <w:tabs>
          <w:tab w:val="num" w:pos="360"/>
        </w:tabs>
        <w:ind w:left="360" w:hanging="360"/>
      </w:pPr>
      <w:rPr>
        <w:rFonts w:ascii="Symbol" w:hAnsi="Symbol" w:hint="default"/>
      </w:rPr>
    </w:lvl>
    <w:lvl w:ilvl="1" w:tplc="B6EAB1A4">
      <w:start w:val="1"/>
      <w:numFmt w:val="bullet"/>
      <w:lvlText w:val=""/>
      <w:lvlJc w:val="left"/>
      <w:pPr>
        <w:tabs>
          <w:tab w:val="num" w:pos="1403"/>
        </w:tabs>
        <w:ind w:left="1403" w:hanging="683"/>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FD20FB"/>
    <w:multiLevelType w:val="hybridMultilevel"/>
    <w:tmpl w:val="A4F4BB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35B6B07"/>
    <w:multiLevelType w:val="hybridMultilevel"/>
    <w:tmpl w:val="52E45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BC7D8E"/>
    <w:multiLevelType w:val="hybridMultilevel"/>
    <w:tmpl w:val="F3BE5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F1153C"/>
    <w:multiLevelType w:val="hybridMultilevel"/>
    <w:tmpl w:val="97A4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4"/>
  </w:num>
  <w:num w:numId="14">
    <w:abstractNumId w:val="17"/>
  </w:num>
  <w:num w:numId="15">
    <w:abstractNumId w:val="16"/>
  </w:num>
  <w:num w:numId="16">
    <w:abstractNumId w:val="21"/>
  </w:num>
  <w:num w:numId="17">
    <w:abstractNumId w:val="19"/>
  </w:num>
  <w:num w:numId="18">
    <w:abstractNumId w:val="12"/>
  </w:num>
  <w:num w:numId="19">
    <w:abstractNumId w:val="15"/>
  </w:num>
  <w:num w:numId="20">
    <w:abstractNumId w:val="13"/>
  </w:num>
  <w:num w:numId="21">
    <w:abstractNumId w:val="10"/>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5A"/>
    <w:rsid w:val="00006CF1"/>
    <w:rsid w:val="000100CA"/>
    <w:rsid w:val="00015C38"/>
    <w:rsid w:val="000170C7"/>
    <w:rsid w:val="00020B73"/>
    <w:rsid w:val="00031A82"/>
    <w:rsid w:val="000364B9"/>
    <w:rsid w:val="00036D8A"/>
    <w:rsid w:val="00036FFD"/>
    <w:rsid w:val="000373DF"/>
    <w:rsid w:val="00043232"/>
    <w:rsid w:val="0004511B"/>
    <w:rsid w:val="00050B81"/>
    <w:rsid w:val="000568EE"/>
    <w:rsid w:val="000658A9"/>
    <w:rsid w:val="00067959"/>
    <w:rsid w:val="000748CF"/>
    <w:rsid w:val="00075047"/>
    <w:rsid w:val="000763F8"/>
    <w:rsid w:val="00077A0B"/>
    <w:rsid w:val="000876A8"/>
    <w:rsid w:val="000937B5"/>
    <w:rsid w:val="000955EF"/>
    <w:rsid w:val="000969D0"/>
    <w:rsid w:val="000A0AA6"/>
    <w:rsid w:val="000A29EF"/>
    <w:rsid w:val="000A635B"/>
    <w:rsid w:val="000A7B23"/>
    <w:rsid w:val="000B1448"/>
    <w:rsid w:val="000C00A7"/>
    <w:rsid w:val="000C4721"/>
    <w:rsid w:val="000C6E34"/>
    <w:rsid w:val="000D5850"/>
    <w:rsid w:val="000E1ECD"/>
    <w:rsid w:val="000E4CAD"/>
    <w:rsid w:val="000E4DEF"/>
    <w:rsid w:val="000E59DD"/>
    <w:rsid w:val="000E5CAD"/>
    <w:rsid w:val="001003CB"/>
    <w:rsid w:val="00100C59"/>
    <w:rsid w:val="001075B0"/>
    <w:rsid w:val="00107FC0"/>
    <w:rsid w:val="00113B67"/>
    <w:rsid w:val="00115418"/>
    <w:rsid w:val="00115EA1"/>
    <w:rsid w:val="00120120"/>
    <w:rsid w:val="00120B07"/>
    <w:rsid w:val="001231BC"/>
    <w:rsid w:val="00123D3E"/>
    <w:rsid w:val="001262FB"/>
    <w:rsid w:val="00134133"/>
    <w:rsid w:val="00136C9A"/>
    <w:rsid w:val="00141973"/>
    <w:rsid w:val="00147735"/>
    <w:rsid w:val="00150B4A"/>
    <w:rsid w:val="00152A23"/>
    <w:rsid w:val="0015361F"/>
    <w:rsid w:val="00155D49"/>
    <w:rsid w:val="00160A25"/>
    <w:rsid w:val="00164195"/>
    <w:rsid w:val="00167E13"/>
    <w:rsid w:val="0017060E"/>
    <w:rsid w:val="001716D8"/>
    <w:rsid w:val="001745EB"/>
    <w:rsid w:val="00176380"/>
    <w:rsid w:val="00177720"/>
    <w:rsid w:val="0018221B"/>
    <w:rsid w:val="00184EE3"/>
    <w:rsid w:val="001912D6"/>
    <w:rsid w:val="00191647"/>
    <w:rsid w:val="00191BCC"/>
    <w:rsid w:val="00191DAB"/>
    <w:rsid w:val="00192D8F"/>
    <w:rsid w:val="00193BA6"/>
    <w:rsid w:val="00194C41"/>
    <w:rsid w:val="001A2CB0"/>
    <w:rsid w:val="001B08E1"/>
    <w:rsid w:val="001B27EE"/>
    <w:rsid w:val="001B53FE"/>
    <w:rsid w:val="001B7616"/>
    <w:rsid w:val="001C25FB"/>
    <w:rsid w:val="001C608D"/>
    <w:rsid w:val="001C73BF"/>
    <w:rsid w:val="001D0277"/>
    <w:rsid w:val="001D0DB9"/>
    <w:rsid w:val="001D133C"/>
    <w:rsid w:val="001D6239"/>
    <w:rsid w:val="001D7F21"/>
    <w:rsid w:val="001E2352"/>
    <w:rsid w:val="001E6A6C"/>
    <w:rsid w:val="001F3899"/>
    <w:rsid w:val="001F5500"/>
    <w:rsid w:val="00200424"/>
    <w:rsid w:val="00200697"/>
    <w:rsid w:val="00200C70"/>
    <w:rsid w:val="00204696"/>
    <w:rsid w:val="0020493E"/>
    <w:rsid w:val="00204AF6"/>
    <w:rsid w:val="00205478"/>
    <w:rsid w:val="0020573B"/>
    <w:rsid w:val="002069E2"/>
    <w:rsid w:val="0021239F"/>
    <w:rsid w:val="00213FD9"/>
    <w:rsid w:val="00214C6A"/>
    <w:rsid w:val="002150DD"/>
    <w:rsid w:val="0021645D"/>
    <w:rsid w:val="002167EB"/>
    <w:rsid w:val="002242FC"/>
    <w:rsid w:val="00224391"/>
    <w:rsid w:val="002335CA"/>
    <w:rsid w:val="00234C04"/>
    <w:rsid w:val="002367FB"/>
    <w:rsid w:val="00237077"/>
    <w:rsid w:val="002372CD"/>
    <w:rsid w:val="00240022"/>
    <w:rsid w:val="00245EB6"/>
    <w:rsid w:val="00255BC3"/>
    <w:rsid w:val="002605C7"/>
    <w:rsid w:val="00260C85"/>
    <w:rsid w:val="0026217A"/>
    <w:rsid w:val="002668E2"/>
    <w:rsid w:val="0027064A"/>
    <w:rsid w:val="00270DF0"/>
    <w:rsid w:val="0027226F"/>
    <w:rsid w:val="00273020"/>
    <w:rsid w:val="00273AD5"/>
    <w:rsid w:val="002741A6"/>
    <w:rsid w:val="00274E65"/>
    <w:rsid w:val="00276041"/>
    <w:rsid w:val="0027707C"/>
    <w:rsid w:val="00277C41"/>
    <w:rsid w:val="0028198A"/>
    <w:rsid w:val="00291A46"/>
    <w:rsid w:val="00293E07"/>
    <w:rsid w:val="002941D2"/>
    <w:rsid w:val="002949A2"/>
    <w:rsid w:val="002A36A4"/>
    <w:rsid w:val="002A4969"/>
    <w:rsid w:val="002A5B22"/>
    <w:rsid w:val="002B121F"/>
    <w:rsid w:val="002B3142"/>
    <w:rsid w:val="002B35F2"/>
    <w:rsid w:val="002B4918"/>
    <w:rsid w:val="002B55E6"/>
    <w:rsid w:val="002B6792"/>
    <w:rsid w:val="002B73E4"/>
    <w:rsid w:val="002C32FD"/>
    <w:rsid w:val="002D4CBF"/>
    <w:rsid w:val="002D54F8"/>
    <w:rsid w:val="002D6C2C"/>
    <w:rsid w:val="002D7DB5"/>
    <w:rsid w:val="002D7F5D"/>
    <w:rsid w:val="002E1606"/>
    <w:rsid w:val="002E2E5E"/>
    <w:rsid w:val="002E55F3"/>
    <w:rsid w:val="002E645D"/>
    <w:rsid w:val="002E7359"/>
    <w:rsid w:val="002F2147"/>
    <w:rsid w:val="002F63B2"/>
    <w:rsid w:val="00302E15"/>
    <w:rsid w:val="003036CF"/>
    <w:rsid w:val="003064D2"/>
    <w:rsid w:val="00307848"/>
    <w:rsid w:val="003114EE"/>
    <w:rsid w:val="003120AB"/>
    <w:rsid w:val="0031478C"/>
    <w:rsid w:val="00316D99"/>
    <w:rsid w:val="003170DC"/>
    <w:rsid w:val="00317761"/>
    <w:rsid w:val="003224E0"/>
    <w:rsid w:val="0032300D"/>
    <w:rsid w:val="0032555C"/>
    <w:rsid w:val="00326E74"/>
    <w:rsid w:val="00331409"/>
    <w:rsid w:val="00344FDE"/>
    <w:rsid w:val="003458A8"/>
    <w:rsid w:val="00350E6B"/>
    <w:rsid w:val="00352606"/>
    <w:rsid w:val="00355CEF"/>
    <w:rsid w:val="0035766D"/>
    <w:rsid w:val="00357F40"/>
    <w:rsid w:val="0036428D"/>
    <w:rsid w:val="00373D58"/>
    <w:rsid w:val="00374D24"/>
    <w:rsid w:val="00377420"/>
    <w:rsid w:val="00382959"/>
    <w:rsid w:val="0038703B"/>
    <w:rsid w:val="00393DEA"/>
    <w:rsid w:val="003A0030"/>
    <w:rsid w:val="003A76F2"/>
    <w:rsid w:val="003B5E10"/>
    <w:rsid w:val="003B6F18"/>
    <w:rsid w:val="003C06A2"/>
    <w:rsid w:val="003C13BE"/>
    <w:rsid w:val="003C2382"/>
    <w:rsid w:val="003C3C0E"/>
    <w:rsid w:val="003C432C"/>
    <w:rsid w:val="003C440B"/>
    <w:rsid w:val="003C46CC"/>
    <w:rsid w:val="003C7E45"/>
    <w:rsid w:val="003D1773"/>
    <w:rsid w:val="003D4AD6"/>
    <w:rsid w:val="003D5A69"/>
    <w:rsid w:val="003E2A83"/>
    <w:rsid w:val="003E2AD9"/>
    <w:rsid w:val="003E4EBB"/>
    <w:rsid w:val="003E59B0"/>
    <w:rsid w:val="003E6C7E"/>
    <w:rsid w:val="003F0372"/>
    <w:rsid w:val="003F248B"/>
    <w:rsid w:val="003F5B1C"/>
    <w:rsid w:val="003F5F2D"/>
    <w:rsid w:val="004038AB"/>
    <w:rsid w:val="00404464"/>
    <w:rsid w:val="00412CA0"/>
    <w:rsid w:val="0042078D"/>
    <w:rsid w:val="00423F11"/>
    <w:rsid w:val="00426FCD"/>
    <w:rsid w:val="0042712B"/>
    <w:rsid w:val="004364B1"/>
    <w:rsid w:val="00437CB0"/>
    <w:rsid w:val="00441741"/>
    <w:rsid w:val="00444CCA"/>
    <w:rsid w:val="004450A0"/>
    <w:rsid w:val="00445937"/>
    <w:rsid w:val="00446844"/>
    <w:rsid w:val="00446CA9"/>
    <w:rsid w:val="00454825"/>
    <w:rsid w:val="0045617D"/>
    <w:rsid w:val="004561C8"/>
    <w:rsid w:val="00461366"/>
    <w:rsid w:val="00463E08"/>
    <w:rsid w:val="004644D0"/>
    <w:rsid w:val="00465120"/>
    <w:rsid w:val="00466218"/>
    <w:rsid w:val="004731A1"/>
    <w:rsid w:val="0047377E"/>
    <w:rsid w:val="004737D7"/>
    <w:rsid w:val="004751BC"/>
    <w:rsid w:val="00475E97"/>
    <w:rsid w:val="00480EF6"/>
    <w:rsid w:val="0048147B"/>
    <w:rsid w:val="00482E51"/>
    <w:rsid w:val="00484CAB"/>
    <w:rsid w:val="00494AC8"/>
    <w:rsid w:val="004951ED"/>
    <w:rsid w:val="004A6CFA"/>
    <w:rsid w:val="004B2522"/>
    <w:rsid w:val="004B4C2D"/>
    <w:rsid w:val="004B4FEA"/>
    <w:rsid w:val="004B5339"/>
    <w:rsid w:val="004B60B6"/>
    <w:rsid w:val="004B6891"/>
    <w:rsid w:val="004B7DD3"/>
    <w:rsid w:val="004B7F2C"/>
    <w:rsid w:val="004C0F17"/>
    <w:rsid w:val="004C7706"/>
    <w:rsid w:val="004D04BC"/>
    <w:rsid w:val="004D33DA"/>
    <w:rsid w:val="004D4AF6"/>
    <w:rsid w:val="004D5125"/>
    <w:rsid w:val="004D5B1D"/>
    <w:rsid w:val="004E029A"/>
    <w:rsid w:val="004E2ED2"/>
    <w:rsid w:val="004E3791"/>
    <w:rsid w:val="004E4781"/>
    <w:rsid w:val="004E6DA5"/>
    <w:rsid w:val="004F0202"/>
    <w:rsid w:val="004F07B2"/>
    <w:rsid w:val="004F1090"/>
    <w:rsid w:val="004F2F65"/>
    <w:rsid w:val="00511F0E"/>
    <w:rsid w:val="0051327C"/>
    <w:rsid w:val="00513D34"/>
    <w:rsid w:val="005143F3"/>
    <w:rsid w:val="00517744"/>
    <w:rsid w:val="00517B32"/>
    <w:rsid w:val="0052002A"/>
    <w:rsid w:val="005250DE"/>
    <w:rsid w:val="005253E3"/>
    <w:rsid w:val="005303D2"/>
    <w:rsid w:val="0053047F"/>
    <w:rsid w:val="0053466A"/>
    <w:rsid w:val="00535171"/>
    <w:rsid w:val="00536703"/>
    <w:rsid w:val="0054166C"/>
    <w:rsid w:val="00541697"/>
    <w:rsid w:val="005435D3"/>
    <w:rsid w:val="0054565B"/>
    <w:rsid w:val="005538DF"/>
    <w:rsid w:val="00556957"/>
    <w:rsid w:val="005642E2"/>
    <w:rsid w:val="00573C8D"/>
    <w:rsid w:val="005757B9"/>
    <w:rsid w:val="005765A3"/>
    <w:rsid w:val="00576A6E"/>
    <w:rsid w:val="00577590"/>
    <w:rsid w:val="0058081B"/>
    <w:rsid w:val="00580E01"/>
    <w:rsid w:val="005854BC"/>
    <w:rsid w:val="00585FE9"/>
    <w:rsid w:val="00587216"/>
    <w:rsid w:val="005910CE"/>
    <w:rsid w:val="005921A2"/>
    <w:rsid w:val="00596BFC"/>
    <w:rsid w:val="005979C5"/>
    <w:rsid w:val="005A0A0E"/>
    <w:rsid w:val="005B0CDC"/>
    <w:rsid w:val="005B2BD0"/>
    <w:rsid w:val="005B2E28"/>
    <w:rsid w:val="005B3BF7"/>
    <w:rsid w:val="005C15B9"/>
    <w:rsid w:val="005C2753"/>
    <w:rsid w:val="005C2E4E"/>
    <w:rsid w:val="005C4239"/>
    <w:rsid w:val="005C4909"/>
    <w:rsid w:val="005C726A"/>
    <w:rsid w:val="005D2286"/>
    <w:rsid w:val="005D2305"/>
    <w:rsid w:val="005D45F9"/>
    <w:rsid w:val="005E2B1B"/>
    <w:rsid w:val="005E327B"/>
    <w:rsid w:val="005E3A92"/>
    <w:rsid w:val="005E4259"/>
    <w:rsid w:val="005E46D9"/>
    <w:rsid w:val="005E59C9"/>
    <w:rsid w:val="005E5FA4"/>
    <w:rsid w:val="005E6BD4"/>
    <w:rsid w:val="005F061C"/>
    <w:rsid w:val="005F2F7F"/>
    <w:rsid w:val="005F5A52"/>
    <w:rsid w:val="005F5F4E"/>
    <w:rsid w:val="0060506C"/>
    <w:rsid w:val="00607A39"/>
    <w:rsid w:val="006136E0"/>
    <w:rsid w:val="00616AD4"/>
    <w:rsid w:val="0062034D"/>
    <w:rsid w:val="00621178"/>
    <w:rsid w:val="00622BFF"/>
    <w:rsid w:val="00622E35"/>
    <w:rsid w:val="00626F1C"/>
    <w:rsid w:val="00631A74"/>
    <w:rsid w:val="006368B4"/>
    <w:rsid w:val="0064127C"/>
    <w:rsid w:val="0064132A"/>
    <w:rsid w:val="00643DB9"/>
    <w:rsid w:val="006447B2"/>
    <w:rsid w:val="0064537E"/>
    <w:rsid w:val="006455EC"/>
    <w:rsid w:val="00646A62"/>
    <w:rsid w:val="00651A54"/>
    <w:rsid w:val="00655D72"/>
    <w:rsid w:val="00656747"/>
    <w:rsid w:val="00662B56"/>
    <w:rsid w:val="00664D3D"/>
    <w:rsid w:val="00666962"/>
    <w:rsid w:val="00667B0E"/>
    <w:rsid w:val="00671794"/>
    <w:rsid w:val="006724EE"/>
    <w:rsid w:val="00673171"/>
    <w:rsid w:val="00677244"/>
    <w:rsid w:val="00677319"/>
    <w:rsid w:val="006844AF"/>
    <w:rsid w:val="006860DD"/>
    <w:rsid w:val="00686AF2"/>
    <w:rsid w:val="00690E92"/>
    <w:rsid w:val="00690F95"/>
    <w:rsid w:val="00692E08"/>
    <w:rsid w:val="00694CA1"/>
    <w:rsid w:val="00697E12"/>
    <w:rsid w:val="006A256A"/>
    <w:rsid w:val="006A4A97"/>
    <w:rsid w:val="006A5323"/>
    <w:rsid w:val="006B64F8"/>
    <w:rsid w:val="006C1945"/>
    <w:rsid w:val="006C1B86"/>
    <w:rsid w:val="006C1E5A"/>
    <w:rsid w:val="006D2A12"/>
    <w:rsid w:val="006D4404"/>
    <w:rsid w:val="006D4FA0"/>
    <w:rsid w:val="006D5F59"/>
    <w:rsid w:val="006D6009"/>
    <w:rsid w:val="006D6133"/>
    <w:rsid w:val="006E34D9"/>
    <w:rsid w:val="006F58FF"/>
    <w:rsid w:val="006F5A97"/>
    <w:rsid w:val="00700AC8"/>
    <w:rsid w:val="00711B1A"/>
    <w:rsid w:val="0071520E"/>
    <w:rsid w:val="007161B1"/>
    <w:rsid w:val="00717FDD"/>
    <w:rsid w:val="0072021F"/>
    <w:rsid w:val="007230E3"/>
    <w:rsid w:val="0072357E"/>
    <w:rsid w:val="0072387D"/>
    <w:rsid w:val="00725416"/>
    <w:rsid w:val="00726936"/>
    <w:rsid w:val="007346C6"/>
    <w:rsid w:val="00734C08"/>
    <w:rsid w:val="007378DF"/>
    <w:rsid w:val="007431F4"/>
    <w:rsid w:val="00745D81"/>
    <w:rsid w:val="00745EB7"/>
    <w:rsid w:val="00760387"/>
    <w:rsid w:val="00761C59"/>
    <w:rsid w:val="00763618"/>
    <w:rsid w:val="00763C3F"/>
    <w:rsid w:val="00767C35"/>
    <w:rsid w:val="007712CE"/>
    <w:rsid w:val="007767DF"/>
    <w:rsid w:val="007827A8"/>
    <w:rsid w:val="007927EB"/>
    <w:rsid w:val="00792DC4"/>
    <w:rsid w:val="007977EC"/>
    <w:rsid w:val="007A2716"/>
    <w:rsid w:val="007A3BAD"/>
    <w:rsid w:val="007A5075"/>
    <w:rsid w:val="007A6722"/>
    <w:rsid w:val="007A69D2"/>
    <w:rsid w:val="007A6D6A"/>
    <w:rsid w:val="007A730F"/>
    <w:rsid w:val="007B195A"/>
    <w:rsid w:val="007B22A4"/>
    <w:rsid w:val="007B65E9"/>
    <w:rsid w:val="007B77D5"/>
    <w:rsid w:val="007C117A"/>
    <w:rsid w:val="007C28DD"/>
    <w:rsid w:val="007C545E"/>
    <w:rsid w:val="007C651F"/>
    <w:rsid w:val="007C729B"/>
    <w:rsid w:val="007D2D4A"/>
    <w:rsid w:val="007D346D"/>
    <w:rsid w:val="007D3CAE"/>
    <w:rsid w:val="007D4850"/>
    <w:rsid w:val="007E24E2"/>
    <w:rsid w:val="007E385A"/>
    <w:rsid w:val="007E4A19"/>
    <w:rsid w:val="007E5DB7"/>
    <w:rsid w:val="007F16DC"/>
    <w:rsid w:val="007F2574"/>
    <w:rsid w:val="007F3D0D"/>
    <w:rsid w:val="007F7C27"/>
    <w:rsid w:val="00802757"/>
    <w:rsid w:val="00806A7D"/>
    <w:rsid w:val="00806D2E"/>
    <w:rsid w:val="00812A94"/>
    <w:rsid w:val="00813587"/>
    <w:rsid w:val="00813D3A"/>
    <w:rsid w:val="008149EA"/>
    <w:rsid w:val="008171DC"/>
    <w:rsid w:val="008221AE"/>
    <w:rsid w:val="0082231A"/>
    <w:rsid w:val="008326E1"/>
    <w:rsid w:val="00832EF0"/>
    <w:rsid w:val="00834993"/>
    <w:rsid w:val="00836C86"/>
    <w:rsid w:val="00841B41"/>
    <w:rsid w:val="00842CB3"/>
    <w:rsid w:val="008439CD"/>
    <w:rsid w:val="008465CC"/>
    <w:rsid w:val="0084721B"/>
    <w:rsid w:val="008508EC"/>
    <w:rsid w:val="00851006"/>
    <w:rsid w:val="008546A6"/>
    <w:rsid w:val="008549AE"/>
    <w:rsid w:val="00855D8F"/>
    <w:rsid w:val="00857843"/>
    <w:rsid w:val="00857BBC"/>
    <w:rsid w:val="0086172E"/>
    <w:rsid w:val="00863487"/>
    <w:rsid w:val="00863FAB"/>
    <w:rsid w:val="00866911"/>
    <w:rsid w:val="008674C1"/>
    <w:rsid w:val="00871080"/>
    <w:rsid w:val="00871488"/>
    <w:rsid w:val="00872C97"/>
    <w:rsid w:val="008732CB"/>
    <w:rsid w:val="008858AE"/>
    <w:rsid w:val="00887A26"/>
    <w:rsid w:val="0089040C"/>
    <w:rsid w:val="00891045"/>
    <w:rsid w:val="00892AFD"/>
    <w:rsid w:val="00895147"/>
    <w:rsid w:val="008A3CE0"/>
    <w:rsid w:val="008A4E18"/>
    <w:rsid w:val="008A5176"/>
    <w:rsid w:val="008A5EC8"/>
    <w:rsid w:val="008A74D2"/>
    <w:rsid w:val="008C0CF5"/>
    <w:rsid w:val="008D00CE"/>
    <w:rsid w:val="008D014F"/>
    <w:rsid w:val="008D19E4"/>
    <w:rsid w:val="008D5099"/>
    <w:rsid w:val="008D55BD"/>
    <w:rsid w:val="008D5E00"/>
    <w:rsid w:val="008D6928"/>
    <w:rsid w:val="008E531A"/>
    <w:rsid w:val="008E747D"/>
    <w:rsid w:val="008E7B8E"/>
    <w:rsid w:val="008F3047"/>
    <w:rsid w:val="008F4F1A"/>
    <w:rsid w:val="008F5CBE"/>
    <w:rsid w:val="0090076B"/>
    <w:rsid w:val="00901E24"/>
    <w:rsid w:val="009110DE"/>
    <w:rsid w:val="00913477"/>
    <w:rsid w:val="009166FC"/>
    <w:rsid w:val="00916A04"/>
    <w:rsid w:val="009206A4"/>
    <w:rsid w:val="0092181D"/>
    <w:rsid w:val="00921944"/>
    <w:rsid w:val="00923CE7"/>
    <w:rsid w:val="00926365"/>
    <w:rsid w:val="0092764C"/>
    <w:rsid w:val="00930534"/>
    <w:rsid w:val="009350B4"/>
    <w:rsid w:val="009358CD"/>
    <w:rsid w:val="009376A0"/>
    <w:rsid w:val="00940CFE"/>
    <w:rsid w:val="0094301D"/>
    <w:rsid w:val="00945377"/>
    <w:rsid w:val="00945FF7"/>
    <w:rsid w:val="009526F4"/>
    <w:rsid w:val="009553DE"/>
    <w:rsid w:val="00955541"/>
    <w:rsid w:val="0096128A"/>
    <w:rsid w:val="0096298B"/>
    <w:rsid w:val="009642ED"/>
    <w:rsid w:val="00965D59"/>
    <w:rsid w:val="00965F6A"/>
    <w:rsid w:val="00970387"/>
    <w:rsid w:val="0097164B"/>
    <w:rsid w:val="00981ACC"/>
    <w:rsid w:val="009831C8"/>
    <w:rsid w:val="009868D7"/>
    <w:rsid w:val="00986BDD"/>
    <w:rsid w:val="00987C95"/>
    <w:rsid w:val="00990E5E"/>
    <w:rsid w:val="009910EE"/>
    <w:rsid w:val="00992DF2"/>
    <w:rsid w:val="009948BE"/>
    <w:rsid w:val="009966E7"/>
    <w:rsid w:val="009973E2"/>
    <w:rsid w:val="009A0AB7"/>
    <w:rsid w:val="009A20BE"/>
    <w:rsid w:val="009A23DE"/>
    <w:rsid w:val="009A2E9C"/>
    <w:rsid w:val="009A31AD"/>
    <w:rsid w:val="009A364C"/>
    <w:rsid w:val="009B0ED0"/>
    <w:rsid w:val="009B2A82"/>
    <w:rsid w:val="009B4EC3"/>
    <w:rsid w:val="009B529C"/>
    <w:rsid w:val="009B61A5"/>
    <w:rsid w:val="009B76FE"/>
    <w:rsid w:val="009C0FB8"/>
    <w:rsid w:val="009C3AB2"/>
    <w:rsid w:val="009C43BA"/>
    <w:rsid w:val="009C6B5A"/>
    <w:rsid w:val="009D2D1B"/>
    <w:rsid w:val="009D3E99"/>
    <w:rsid w:val="009D4535"/>
    <w:rsid w:val="009D7498"/>
    <w:rsid w:val="009D7C3F"/>
    <w:rsid w:val="009E0792"/>
    <w:rsid w:val="009E2840"/>
    <w:rsid w:val="009E337B"/>
    <w:rsid w:val="009E4563"/>
    <w:rsid w:val="009E4DAB"/>
    <w:rsid w:val="009F1E58"/>
    <w:rsid w:val="009F4D31"/>
    <w:rsid w:val="009F4D81"/>
    <w:rsid w:val="009F6C70"/>
    <w:rsid w:val="009F7CBC"/>
    <w:rsid w:val="00A059F0"/>
    <w:rsid w:val="00A05BC8"/>
    <w:rsid w:val="00A12817"/>
    <w:rsid w:val="00A12D97"/>
    <w:rsid w:val="00A13289"/>
    <w:rsid w:val="00A15963"/>
    <w:rsid w:val="00A20421"/>
    <w:rsid w:val="00A23F99"/>
    <w:rsid w:val="00A27771"/>
    <w:rsid w:val="00A3291E"/>
    <w:rsid w:val="00A367ED"/>
    <w:rsid w:val="00A43158"/>
    <w:rsid w:val="00A43F5F"/>
    <w:rsid w:val="00A47E2E"/>
    <w:rsid w:val="00A50E30"/>
    <w:rsid w:val="00A51465"/>
    <w:rsid w:val="00A52CBD"/>
    <w:rsid w:val="00A54D10"/>
    <w:rsid w:val="00A55E65"/>
    <w:rsid w:val="00A569ED"/>
    <w:rsid w:val="00A6089F"/>
    <w:rsid w:val="00A62188"/>
    <w:rsid w:val="00A62E07"/>
    <w:rsid w:val="00A6425B"/>
    <w:rsid w:val="00A6467D"/>
    <w:rsid w:val="00A646B4"/>
    <w:rsid w:val="00A66A35"/>
    <w:rsid w:val="00A67C09"/>
    <w:rsid w:val="00A721E7"/>
    <w:rsid w:val="00A72308"/>
    <w:rsid w:val="00A72F3B"/>
    <w:rsid w:val="00A76E77"/>
    <w:rsid w:val="00A775B0"/>
    <w:rsid w:val="00A86132"/>
    <w:rsid w:val="00A87349"/>
    <w:rsid w:val="00A91D58"/>
    <w:rsid w:val="00A93C5B"/>
    <w:rsid w:val="00A94579"/>
    <w:rsid w:val="00A945B1"/>
    <w:rsid w:val="00A97B02"/>
    <w:rsid w:val="00AA0A5F"/>
    <w:rsid w:val="00AA1AAD"/>
    <w:rsid w:val="00AA2D4A"/>
    <w:rsid w:val="00AB16E6"/>
    <w:rsid w:val="00AB2372"/>
    <w:rsid w:val="00AB3CC6"/>
    <w:rsid w:val="00AC0595"/>
    <w:rsid w:val="00AC33AB"/>
    <w:rsid w:val="00AC40B3"/>
    <w:rsid w:val="00AC62BC"/>
    <w:rsid w:val="00AC6583"/>
    <w:rsid w:val="00AD0A59"/>
    <w:rsid w:val="00AD6BB1"/>
    <w:rsid w:val="00AE006A"/>
    <w:rsid w:val="00AE03EA"/>
    <w:rsid w:val="00AE098F"/>
    <w:rsid w:val="00AE14C3"/>
    <w:rsid w:val="00AE1773"/>
    <w:rsid w:val="00AE1F03"/>
    <w:rsid w:val="00AE452F"/>
    <w:rsid w:val="00AE7B11"/>
    <w:rsid w:val="00B02AE4"/>
    <w:rsid w:val="00B05A72"/>
    <w:rsid w:val="00B07AAE"/>
    <w:rsid w:val="00B103EC"/>
    <w:rsid w:val="00B10561"/>
    <w:rsid w:val="00B123C1"/>
    <w:rsid w:val="00B1362B"/>
    <w:rsid w:val="00B139DA"/>
    <w:rsid w:val="00B16753"/>
    <w:rsid w:val="00B22DC4"/>
    <w:rsid w:val="00B26ECC"/>
    <w:rsid w:val="00B27C33"/>
    <w:rsid w:val="00B32F27"/>
    <w:rsid w:val="00B3422B"/>
    <w:rsid w:val="00B34C18"/>
    <w:rsid w:val="00B35F90"/>
    <w:rsid w:val="00B374A7"/>
    <w:rsid w:val="00B37A4D"/>
    <w:rsid w:val="00B4023E"/>
    <w:rsid w:val="00B423B7"/>
    <w:rsid w:val="00B423F5"/>
    <w:rsid w:val="00B46AAD"/>
    <w:rsid w:val="00B4725C"/>
    <w:rsid w:val="00B5736D"/>
    <w:rsid w:val="00B62165"/>
    <w:rsid w:val="00B63183"/>
    <w:rsid w:val="00B6680F"/>
    <w:rsid w:val="00B668E0"/>
    <w:rsid w:val="00B70447"/>
    <w:rsid w:val="00B709B8"/>
    <w:rsid w:val="00B753E4"/>
    <w:rsid w:val="00B75404"/>
    <w:rsid w:val="00B81972"/>
    <w:rsid w:val="00B85BD3"/>
    <w:rsid w:val="00B9227B"/>
    <w:rsid w:val="00B93F82"/>
    <w:rsid w:val="00BA0DA5"/>
    <w:rsid w:val="00BA1978"/>
    <w:rsid w:val="00BA235F"/>
    <w:rsid w:val="00BA2A92"/>
    <w:rsid w:val="00BA2E1B"/>
    <w:rsid w:val="00BA5334"/>
    <w:rsid w:val="00BA6337"/>
    <w:rsid w:val="00BA7CEF"/>
    <w:rsid w:val="00BB0344"/>
    <w:rsid w:val="00BB3B6C"/>
    <w:rsid w:val="00BB3F30"/>
    <w:rsid w:val="00BB55B4"/>
    <w:rsid w:val="00BC0DD4"/>
    <w:rsid w:val="00BC11F7"/>
    <w:rsid w:val="00BC3672"/>
    <w:rsid w:val="00BC50FC"/>
    <w:rsid w:val="00BC63CA"/>
    <w:rsid w:val="00BD06BA"/>
    <w:rsid w:val="00BD1FAB"/>
    <w:rsid w:val="00BD4A8D"/>
    <w:rsid w:val="00BE2BFB"/>
    <w:rsid w:val="00BE2DEE"/>
    <w:rsid w:val="00BE36DD"/>
    <w:rsid w:val="00BE7674"/>
    <w:rsid w:val="00BF04E0"/>
    <w:rsid w:val="00BF48CD"/>
    <w:rsid w:val="00C02993"/>
    <w:rsid w:val="00C06DD7"/>
    <w:rsid w:val="00C171D5"/>
    <w:rsid w:val="00C179E0"/>
    <w:rsid w:val="00C212C2"/>
    <w:rsid w:val="00C21812"/>
    <w:rsid w:val="00C21CBC"/>
    <w:rsid w:val="00C2225C"/>
    <w:rsid w:val="00C232F4"/>
    <w:rsid w:val="00C23688"/>
    <w:rsid w:val="00C25B45"/>
    <w:rsid w:val="00C27A1D"/>
    <w:rsid w:val="00C27AEE"/>
    <w:rsid w:val="00C30C12"/>
    <w:rsid w:val="00C323B1"/>
    <w:rsid w:val="00C34342"/>
    <w:rsid w:val="00C355D7"/>
    <w:rsid w:val="00C36001"/>
    <w:rsid w:val="00C40974"/>
    <w:rsid w:val="00C416BF"/>
    <w:rsid w:val="00C44F57"/>
    <w:rsid w:val="00C45E33"/>
    <w:rsid w:val="00C47BFF"/>
    <w:rsid w:val="00C52811"/>
    <w:rsid w:val="00C53003"/>
    <w:rsid w:val="00C572CC"/>
    <w:rsid w:val="00C579DA"/>
    <w:rsid w:val="00C61186"/>
    <w:rsid w:val="00C62855"/>
    <w:rsid w:val="00C639D2"/>
    <w:rsid w:val="00C64A81"/>
    <w:rsid w:val="00C64FBA"/>
    <w:rsid w:val="00C66CC7"/>
    <w:rsid w:val="00C67994"/>
    <w:rsid w:val="00C7195D"/>
    <w:rsid w:val="00C74299"/>
    <w:rsid w:val="00C75585"/>
    <w:rsid w:val="00C756B0"/>
    <w:rsid w:val="00C758EF"/>
    <w:rsid w:val="00C76B63"/>
    <w:rsid w:val="00C8058B"/>
    <w:rsid w:val="00C844DA"/>
    <w:rsid w:val="00C8570B"/>
    <w:rsid w:val="00C85724"/>
    <w:rsid w:val="00C85F5C"/>
    <w:rsid w:val="00C86E14"/>
    <w:rsid w:val="00C903FE"/>
    <w:rsid w:val="00C91931"/>
    <w:rsid w:val="00C95F3E"/>
    <w:rsid w:val="00CA3432"/>
    <w:rsid w:val="00CA5A0F"/>
    <w:rsid w:val="00CA5D2A"/>
    <w:rsid w:val="00CA6A20"/>
    <w:rsid w:val="00CB0222"/>
    <w:rsid w:val="00CB6D7E"/>
    <w:rsid w:val="00CC23D6"/>
    <w:rsid w:val="00CC2932"/>
    <w:rsid w:val="00CC426C"/>
    <w:rsid w:val="00CC5084"/>
    <w:rsid w:val="00CC5249"/>
    <w:rsid w:val="00CC5317"/>
    <w:rsid w:val="00CC670D"/>
    <w:rsid w:val="00CC730B"/>
    <w:rsid w:val="00CD16EC"/>
    <w:rsid w:val="00CD7AA8"/>
    <w:rsid w:val="00CE16DB"/>
    <w:rsid w:val="00CE5E8E"/>
    <w:rsid w:val="00CF2344"/>
    <w:rsid w:val="00CF2A26"/>
    <w:rsid w:val="00CF322D"/>
    <w:rsid w:val="00CF5647"/>
    <w:rsid w:val="00CF6978"/>
    <w:rsid w:val="00CF77A1"/>
    <w:rsid w:val="00D01D18"/>
    <w:rsid w:val="00D03D1D"/>
    <w:rsid w:val="00D06B85"/>
    <w:rsid w:val="00D13B60"/>
    <w:rsid w:val="00D14682"/>
    <w:rsid w:val="00D159F2"/>
    <w:rsid w:val="00D202A5"/>
    <w:rsid w:val="00D20C9A"/>
    <w:rsid w:val="00D249A1"/>
    <w:rsid w:val="00D250F5"/>
    <w:rsid w:val="00D269E0"/>
    <w:rsid w:val="00D26E15"/>
    <w:rsid w:val="00D279DC"/>
    <w:rsid w:val="00D31227"/>
    <w:rsid w:val="00D31298"/>
    <w:rsid w:val="00D316EB"/>
    <w:rsid w:val="00D3288E"/>
    <w:rsid w:val="00D35A9E"/>
    <w:rsid w:val="00D35D0E"/>
    <w:rsid w:val="00D4007F"/>
    <w:rsid w:val="00D4047B"/>
    <w:rsid w:val="00D4199F"/>
    <w:rsid w:val="00D43B9A"/>
    <w:rsid w:val="00D45C0A"/>
    <w:rsid w:val="00D50622"/>
    <w:rsid w:val="00D50EC2"/>
    <w:rsid w:val="00D50FE8"/>
    <w:rsid w:val="00D54289"/>
    <w:rsid w:val="00D5609C"/>
    <w:rsid w:val="00D569B7"/>
    <w:rsid w:val="00D62E1E"/>
    <w:rsid w:val="00D64B19"/>
    <w:rsid w:val="00D671AA"/>
    <w:rsid w:val="00D7221F"/>
    <w:rsid w:val="00D72533"/>
    <w:rsid w:val="00D751D7"/>
    <w:rsid w:val="00D81D90"/>
    <w:rsid w:val="00D86CA8"/>
    <w:rsid w:val="00D92B5A"/>
    <w:rsid w:val="00D94BAA"/>
    <w:rsid w:val="00D97FAA"/>
    <w:rsid w:val="00DA0CC5"/>
    <w:rsid w:val="00DA53E3"/>
    <w:rsid w:val="00DB4370"/>
    <w:rsid w:val="00DB44E6"/>
    <w:rsid w:val="00DB529E"/>
    <w:rsid w:val="00DB5BAF"/>
    <w:rsid w:val="00DC470D"/>
    <w:rsid w:val="00DC6C65"/>
    <w:rsid w:val="00DD0E20"/>
    <w:rsid w:val="00DD26BD"/>
    <w:rsid w:val="00DD34F6"/>
    <w:rsid w:val="00DD40E3"/>
    <w:rsid w:val="00DD42B7"/>
    <w:rsid w:val="00DE2B5C"/>
    <w:rsid w:val="00DE35E7"/>
    <w:rsid w:val="00DE3847"/>
    <w:rsid w:val="00DE45B2"/>
    <w:rsid w:val="00DE4FCD"/>
    <w:rsid w:val="00DE5F2D"/>
    <w:rsid w:val="00DE7297"/>
    <w:rsid w:val="00DF3079"/>
    <w:rsid w:val="00DF6034"/>
    <w:rsid w:val="00DF6042"/>
    <w:rsid w:val="00E007AF"/>
    <w:rsid w:val="00E007D0"/>
    <w:rsid w:val="00E02B09"/>
    <w:rsid w:val="00E04971"/>
    <w:rsid w:val="00E10228"/>
    <w:rsid w:val="00E10A76"/>
    <w:rsid w:val="00E12889"/>
    <w:rsid w:val="00E12A1D"/>
    <w:rsid w:val="00E21504"/>
    <w:rsid w:val="00E32E43"/>
    <w:rsid w:val="00E33DDC"/>
    <w:rsid w:val="00E34297"/>
    <w:rsid w:val="00E37C59"/>
    <w:rsid w:val="00E40304"/>
    <w:rsid w:val="00E43356"/>
    <w:rsid w:val="00E50770"/>
    <w:rsid w:val="00E519B8"/>
    <w:rsid w:val="00E5269F"/>
    <w:rsid w:val="00E6197F"/>
    <w:rsid w:val="00E645DE"/>
    <w:rsid w:val="00E666A3"/>
    <w:rsid w:val="00E66C33"/>
    <w:rsid w:val="00E77E32"/>
    <w:rsid w:val="00E86F1F"/>
    <w:rsid w:val="00E907A9"/>
    <w:rsid w:val="00E9139E"/>
    <w:rsid w:val="00E91D4F"/>
    <w:rsid w:val="00E91DDA"/>
    <w:rsid w:val="00E93103"/>
    <w:rsid w:val="00E95F33"/>
    <w:rsid w:val="00E96D17"/>
    <w:rsid w:val="00E975A7"/>
    <w:rsid w:val="00EA16EB"/>
    <w:rsid w:val="00EA3CE8"/>
    <w:rsid w:val="00EA6F7E"/>
    <w:rsid w:val="00EB227D"/>
    <w:rsid w:val="00EB2BE2"/>
    <w:rsid w:val="00EB53EC"/>
    <w:rsid w:val="00EB71C1"/>
    <w:rsid w:val="00EB77D3"/>
    <w:rsid w:val="00EC2528"/>
    <w:rsid w:val="00EC2B99"/>
    <w:rsid w:val="00EC2DBD"/>
    <w:rsid w:val="00EC3583"/>
    <w:rsid w:val="00EC66F9"/>
    <w:rsid w:val="00EC67C0"/>
    <w:rsid w:val="00EC7060"/>
    <w:rsid w:val="00ED0CF2"/>
    <w:rsid w:val="00ED304B"/>
    <w:rsid w:val="00ED3A15"/>
    <w:rsid w:val="00ED57AE"/>
    <w:rsid w:val="00ED5B53"/>
    <w:rsid w:val="00EE0E63"/>
    <w:rsid w:val="00EE15BA"/>
    <w:rsid w:val="00EE3493"/>
    <w:rsid w:val="00EE5031"/>
    <w:rsid w:val="00EE6567"/>
    <w:rsid w:val="00EF1558"/>
    <w:rsid w:val="00EF2777"/>
    <w:rsid w:val="00EF2C6A"/>
    <w:rsid w:val="00EF5F34"/>
    <w:rsid w:val="00F01450"/>
    <w:rsid w:val="00F04D8C"/>
    <w:rsid w:val="00F06159"/>
    <w:rsid w:val="00F10181"/>
    <w:rsid w:val="00F118B1"/>
    <w:rsid w:val="00F13734"/>
    <w:rsid w:val="00F143C1"/>
    <w:rsid w:val="00F14B3C"/>
    <w:rsid w:val="00F20E63"/>
    <w:rsid w:val="00F22BEA"/>
    <w:rsid w:val="00F2467F"/>
    <w:rsid w:val="00F25970"/>
    <w:rsid w:val="00F27CE1"/>
    <w:rsid w:val="00F3121B"/>
    <w:rsid w:val="00F34B13"/>
    <w:rsid w:val="00F356B3"/>
    <w:rsid w:val="00F36787"/>
    <w:rsid w:val="00F40D41"/>
    <w:rsid w:val="00F422B0"/>
    <w:rsid w:val="00F433F0"/>
    <w:rsid w:val="00F43654"/>
    <w:rsid w:val="00F44C4E"/>
    <w:rsid w:val="00F47349"/>
    <w:rsid w:val="00F5066D"/>
    <w:rsid w:val="00F51891"/>
    <w:rsid w:val="00F52A7A"/>
    <w:rsid w:val="00F5639E"/>
    <w:rsid w:val="00F57420"/>
    <w:rsid w:val="00F6020B"/>
    <w:rsid w:val="00F60873"/>
    <w:rsid w:val="00F609B7"/>
    <w:rsid w:val="00F61DB0"/>
    <w:rsid w:val="00F6259A"/>
    <w:rsid w:val="00F66833"/>
    <w:rsid w:val="00F6687A"/>
    <w:rsid w:val="00F6720C"/>
    <w:rsid w:val="00F73428"/>
    <w:rsid w:val="00F74754"/>
    <w:rsid w:val="00F75882"/>
    <w:rsid w:val="00F75903"/>
    <w:rsid w:val="00F77966"/>
    <w:rsid w:val="00F813ED"/>
    <w:rsid w:val="00F8320D"/>
    <w:rsid w:val="00F83354"/>
    <w:rsid w:val="00F84B06"/>
    <w:rsid w:val="00F85E58"/>
    <w:rsid w:val="00F85EB2"/>
    <w:rsid w:val="00F8677E"/>
    <w:rsid w:val="00F9003A"/>
    <w:rsid w:val="00F926EB"/>
    <w:rsid w:val="00F92C89"/>
    <w:rsid w:val="00F93D38"/>
    <w:rsid w:val="00F94212"/>
    <w:rsid w:val="00F943EE"/>
    <w:rsid w:val="00F94A7A"/>
    <w:rsid w:val="00F97AC8"/>
    <w:rsid w:val="00FA04DA"/>
    <w:rsid w:val="00FA0719"/>
    <w:rsid w:val="00FA13EE"/>
    <w:rsid w:val="00FA173D"/>
    <w:rsid w:val="00FA259E"/>
    <w:rsid w:val="00FA2D05"/>
    <w:rsid w:val="00FA3C83"/>
    <w:rsid w:val="00FA51C5"/>
    <w:rsid w:val="00FA55E0"/>
    <w:rsid w:val="00FA5CBD"/>
    <w:rsid w:val="00FA6D21"/>
    <w:rsid w:val="00FB1968"/>
    <w:rsid w:val="00FB306F"/>
    <w:rsid w:val="00FB406F"/>
    <w:rsid w:val="00FB6FF4"/>
    <w:rsid w:val="00FC09EE"/>
    <w:rsid w:val="00FC2471"/>
    <w:rsid w:val="00FC2668"/>
    <w:rsid w:val="00FC331E"/>
    <w:rsid w:val="00FC4E0F"/>
    <w:rsid w:val="00FD12D5"/>
    <w:rsid w:val="00FD1B92"/>
    <w:rsid w:val="00FD2983"/>
    <w:rsid w:val="00FD7E7F"/>
    <w:rsid w:val="00FE245E"/>
    <w:rsid w:val="00FE27E6"/>
    <w:rsid w:val="00FE6AFB"/>
    <w:rsid w:val="00FE795C"/>
    <w:rsid w:val="00FF1129"/>
    <w:rsid w:val="00FF2022"/>
    <w:rsid w:val="00FF2F0B"/>
    <w:rsid w:val="00FF4B1D"/>
    <w:rsid w:val="00FF4C8B"/>
    <w:rsid w:val="00FF5367"/>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51C31"/>
  <w15:docId w15:val="{03FCE754-DD39-494B-ACCE-52E9A4D5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690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customStyle="1" w:styleId="ref">
    <w:name w:val="ref"/>
    <w:basedOn w:val="Normal"/>
    <w:pPr>
      <w:spacing w:after="240"/>
      <w:ind w:left="720" w:hanging="7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374A7"/>
    <w:rPr>
      <w:sz w:val="24"/>
      <w:szCs w:val="24"/>
    </w:rPr>
  </w:style>
  <w:style w:type="paragraph" w:styleId="Revision">
    <w:name w:val="Revision"/>
    <w:hidden/>
    <w:uiPriority w:val="99"/>
    <w:semiHidden/>
    <w:rsid w:val="00446CA9"/>
    <w:rPr>
      <w:sz w:val="24"/>
      <w:szCs w:val="24"/>
      <w:lang w:eastAsia="en-US"/>
    </w:rPr>
  </w:style>
  <w:style w:type="paragraph" w:styleId="ListParagraph">
    <w:name w:val="List Paragraph"/>
    <w:basedOn w:val="Normal"/>
    <w:uiPriority w:val="34"/>
    <w:qFormat/>
    <w:rsid w:val="003C46CC"/>
    <w:pPr>
      <w:ind w:left="720"/>
    </w:pPr>
  </w:style>
  <w:style w:type="character" w:customStyle="1" w:styleId="BodyTextChar">
    <w:name w:val="Body Text Char"/>
    <w:basedOn w:val="DefaultParagraphFont"/>
    <w:link w:val="BodyText"/>
    <w:rsid w:val="00C76B63"/>
    <w:rPr>
      <w:sz w:val="24"/>
      <w:szCs w:val="24"/>
      <w:lang w:val="fr-CA" w:eastAsia="en-US"/>
    </w:rPr>
  </w:style>
  <w:style w:type="character" w:styleId="Hyperlink">
    <w:name w:val="Hyperlink"/>
    <w:basedOn w:val="DefaultParagraphFont"/>
    <w:uiPriority w:val="99"/>
    <w:unhideWhenUsed/>
    <w:rsid w:val="00B139DA"/>
    <w:rPr>
      <w:color w:val="0000FF" w:themeColor="hyperlink"/>
      <w:u w:val="single"/>
    </w:rPr>
  </w:style>
  <w:style w:type="character" w:styleId="FollowedHyperlink">
    <w:name w:val="FollowedHyperlink"/>
    <w:basedOn w:val="DefaultParagraphFont"/>
    <w:uiPriority w:val="99"/>
    <w:semiHidden/>
    <w:unhideWhenUsed/>
    <w:rsid w:val="00B139DA"/>
    <w:rPr>
      <w:color w:val="800080" w:themeColor="followedHyperlink"/>
      <w:u w:val="single"/>
    </w:rPr>
  </w:style>
  <w:style w:type="paragraph" w:styleId="PlainText">
    <w:name w:val="Plain Text"/>
    <w:basedOn w:val="Normal"/>
    <w:link w:val="PlainTextChar"/>
    <w:uiPriority w:val="99"/>
    <w:semiHidden/>
    <w:unhideWhenUsed/>
    <w:rsid w:val="0038295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82959"/>
    <w:rPr>
      <w:rFonts w:ascii="Calibri" w:eastAsiaTheme="minorHAnsi" w:hAnsi="Calibri" w:cstheme="minorBidi"/>
      <w:sz w:val="22"/>
      <w:szCs w:val="21"/>
      <w:lang w:eastAsia="en-US"/>
    </w:rPr>
  </w:style>
  <w:style w:type="character" w:customStyle="1" w:styleId="CommentTextChar">
    <w:name w:val="Comment Text Char"/>
    <w:basedOn w:val="DefaultParagraphFont"/>
    <w:link w:val="CommentText"/>
    <w:uiPriority w:val="99"/>
    <w:semiHidden/>
    <w:rsid w:val="00E96D17"/>
    <w:rPr>
      <w:lang w:val="fr-CA" w:eastAsia="en-US"/>
    </w:rPr>
  </w:style>
  <w:style w:type="character" w:customStyle="1" w:styleId="Heading1Char">
    <w:name w:val="Heading 1 Char"/>
    <w:basedOn w:val="DefaultParagraphFont"/>
    <w:link w:val="Heading1"/>
    <w:uiPriority w:val="9"/>
    <w:rsid w:val="00690E92"/>
    <w:rPr>
      <w:rFonts w:asciiTheme="majorHAnsi" w:eastAsiaTheme="majorEastAsia" w:hAnsiTheme="majorHAnsi" w:cstheme="majorBidi"/>
      <w:color w:val="365F91" w:themeColor="accent1" w:themeShade="BF"/>
      <w:sz w:val="32"/>
      <w:szCs w:val="32"/>
      <w:lang w:val="fr-CA" w:eastAsia="en-US"/>
    </w:rPr>
  </w:style>
  <w:style w:type="character" w:customStyle="1" w:styleId="gmail-m-899228257240709375msocommentreference">
    <w:name w:val="gmail-m_-899228257240709375msocommentreference"/>
    <w:basedOn w:val="DefaultParagraphFont"/>
    <w:rsid w:val="0095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1717">
      <w:bodyDiv w:val="1"/>
      <w:marLeft w:val="0"/>
      <w:marRight w:val="0"/>
      <w:marTop w:val="0"/>
      <w:marBottom w:val="0"/>
      <w:divBdr>
        <w:top w:val="none" w:sz="0" w:space="0" w:color="auto"/>
        <w:left w:val="none" w:sz="0" w:space="0" w:color="auto"/>
        <w:bottom w:val="none" w:sz="0" w:space="0" w:color="auto"/>
        <w:right w:val="none" w:sz="0" w:space="0" w:color="auto"/>
      </w:divBdr>
    </w:div>
    <w:div w:id="277228038">
      <w:bodyDiv w:val="1"/>
      <w:marLeft w:val="0"/>
      <w:marRight w:val="0"/>
      <w:marTop w:val="0"/>
      <w:marBottom w:val="0"/>
      <w:divBdr>
        <w:top w:val="none" w:sz="0" w:space="0" w:color="auto"/>
        <w:left w:val="none" w:sz="0" w:space="0" w:color="auto"/>
        <w:bottom w:val="none" w:sz="0" w:space="0" w:color="auto"/>
        <w:right w:val="none" w:sz="0" w:space="0" w:color="auto"/>
      </w:divBdr>
    </w:div>
    <w:div w:id="314257768">
      <w:bodyDiv w:val="1"/>
      <w:marLeft w:val="0"/>
      <w:marRight w:val="0"/>
      <w:marTop w:val="0"/>
      <w:marBottom w:val="0"/>
      <w:divBdr>
        <w:top w:val="none" w:sz="0" w:space="0" w:color="auto"/>
        <w:left w:val="none" w:sz="0" w:space="0" w:color="auto"/>
        <w:bottom w:val="none" w:sz="0" w:space="0" w:color="auto"/>
        <w:right w:val="none" w:sz="0" w:space="0" w:color="auto"/>
      </w:divBdr>
    </w:div>
    <w:div w:id="629475051">
      <w:bodyDiv w:val="1"/>
      <w:marLeft w:val="0"/>
      <w:marRight w:val="0"/>
      <w:marTop w:val="0"/>
      <w:marBottom w:val="0"/>
      <w:divBdr>
        <w:top w:val="none" w:sz="0" w:space="0" w:color="auto"/>
        <w:left w:val="none" w:sz="0" w:space="0" w:color="auto"/>
        <w:bottom w:val="none" w:sz="0" w:space="0" w:color="auto"/>
        <w:right w:val="none" w:sz="0" w:space="0" w:color="auto"/>
      </w:divBdr>
    </w:div>
    <w:div w:id="647828005">
      <w:bodyDiv w:val="1"/>
      <w:marLeft w:val="0"/>
      <w:marRight w:val="0"/>
      <w:marTop w:val="0"/>
      <w:marBottom w:val="0"/>
      <w:divBdr>
        <w:top w:val="none" w:sz="0" w:space="0" w:color="auto"/>
        <w:left w:val="none" w:sz="0" w:space="0" w:color="auto"/>
        <w:bottom w:val="none" w:sz="0" w:space="0" w:color="auto"/>
        <w:right w:val="none" w:sz="0" w:space="0" w:color="auto"/>
      </w:divBdr>
    </w:div>
    <w:div w:id="955133712">
      <w:bodyDiv w:val="1"/>
      <w:marLeft w:val="0"/>
      <w:marRight w:val="0"/>
      <w:marTop w:val="0"/>
      <w:marBottom w:val="0"/>
      <w:divBdr>
        <w:top w:val="none" w:sz="0" w:space="0" w:color="auto"/>
        <w:left w:val="none" w:sz="0" w:space="0" w:color="auto"/>
        <w:bottom w:val="none" w:sz="0" w:space="0" w:color="auto"/>
        <w:right w:val="none" w:sz="0" w:space="0" w:color="auto"/>
      </w:divBdr>
      <w:divsChild>
        <w:div w:id="214584407">
          <w:marLeft w:val="0"/>
          <w:marRight w:val="0"/>
          <w:marTop w:val="86"/>
          <w:marBottom w:val="0"/>
          <w:divBdr>
            <w:top w:val="none" w:sz="0" w:space="0" w:color="auto"/>
            <w:left w:val="none" w:sz="0" w:space="0" w:color="auto"/>
            <w:bottom w:val="none" w:sz="0" w:space="0" w:color="auto"/>
            <w:right w:val="none" w:sz="0" w:space="0" w:color="auto"/>
          </w:divBdr>
        </w:div>
      </w:divsChild>
    </w:div>
    <w:div w:id="1396703630">
      <w:bodyDiv w:val="1"/>
      <w:marLeft w:val="0"/>
      <w:marRight w:val="0"/>
      <w:marTop w:val="0"/>
      <w:marBottom w:val="0"/>
      <w:divBdr>
        <w:top w:val="none" w:sz="0" w:space="0" w:color="auto"/>
        <w:left w:val="none" w:sz="0" w:space="0" w:color="auto"/>
        <w:bottom w:val="none" w:sz="0" w:space="0" w:color="auto"/>
        <w:right w:val="none" w:sz="0" w:space="0" w:color="auto"/>
      </w:divBdr>
      <w:divsChild>
        <w:div w:id="1761638517">
          <w:marLeft w:val="0"/>
          <w:marRight w:val="0"/>
          <w:marTop w:val="0"/>
          <w:marBottom w:val="0"/>
          <w:divBdr>
            <w:top w:val="none" w:sz="0" w:space="0" w:color="auto"/>
            <w:left w:val="none" w:sz="0" w:space="0" w:color="auto"/>
            <w:bottom w:val="none" w:sz="0" w:space="0" w:color="auto"/>
            <w:right w:val="none" w:sz="0" w:space="0" w:color="auto"/>
          </w:divBdr>
        </w:div>
      </w:divsChild>
    </w:div>
    <w:div w:id="1516530251">
      <w:bodyDiv w:val="1"/>
      <w:marLeft w:val="0"/>
      <w:marRight w:val="0"/>
      <w:marTop w:val="0"/>
      <w:marBottom w:val="0"/>
      <w:divBdr>
        <w:top w:val="none" w:sz="0" w:space="0" w:color="auto"/>
        <w:left w:val="none" w:sz="0" w:space="0" w:color="auto"/>
        <w:bottom w:val="none" w:sz="0" w:space="0" w:color="auto"/>
        <w:right w:val="none" w:sz="0" w:space="0" w:color="auto"/>
      </w:divBdr>
    </w:div>
    <w:div w:id="1573195305">
      <w:bodyDiv w:val="1"/>
      <w:marLeft w:val="0"/>
      <w:marRight w:val="0"/>
      <w:marTop w:val="0"/>
      <w:marBottom w:val="0"/>
      <w:divBdr>
        <w:top w:val="none" w:sz="0" w:space="0" w:color="auto"/>
        <w:left w:val="none" w:sz="0" w:space="0" w:color="auto"/>
        <w:bottom w:val="none" w:sz="0" w:space="0" w:color="auto"/>
        <w:right w:val="none" w:sz="0" w:space="0" w:color="auto"/>
      </w:divBdr>
    </w:div>
    <w:div w:id="1812164792">
      <w:bodyDiv w:val="1"/>
      <w:marLeft w:val="0"/>
      <w:marRight w:val="0"/>
      <w:marTop w:val="0"/>
      <w:marBottom w:val="0"/>
      <w:divBdr>
        <w:top w:val="none" w:sz="0" w:space="0" w:color="auto"/>
        <w:left w:val="none" w:sz="0" w:space="0" w:color="auto"/>
        <w:bottom w:val="none" w:sz="0" w:space="0" w:color="auto"/>
        <w:right w:val="none" w:sz="0" w:space="0" w:color="auto"/>
      </w:divBdr>
    </w:div>
    <w:div w:id="1897933043">
      <w:bodyDiv w:val="1"/>
      <w:marLeft w:val="0"/>
      <w:marRight w:val="0"/>
      <w:marTop w:val="0"/>
      <w:marBottom w:val="0"/>
      <w:divBdr>
        <w:top w:val="none" w:sz="0" w:space="0" w:color="auto"/>
        <w:left w:val="none" w:sz="0" w:space="0" w:color="auto"/>
        <w:bottom w:val="none" w:sz="0" w:space="0" w:color="auto"/>
        <w:right w:val="none" w:sz="0" w:space="0" w:color="auto"/>
      </w:divBdr>
    </w:div>
    <w:div w:id="1993943223">
      <w:bodyDiv w:val="1"/>
      <w:marLeft w:val="0"/>
      <w:marRight w:val="0"/>
      <w:marTop w:val="0"/>
      <w:marBottom w:val="0"/>
      <w:divBdr>
        <w:top w:val="none" w:sz="0" w:space="0" w:color="auto"/>
        <w:left w:val="none" w:sz="0" w:space="0" w:color="auto"/>
        <w:bottom w:val="none" w:sz="0" w:space="0" w:color="auto"/>
        <w:right w:val="none" w:sz="0" w:space="0" w:color="auto"/>
      </w:divBdr>
    </w:div>
    <w:div w:id="21203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efsc.noaa.gov/saw/trac/trac-process-overview-2017.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bio.gc.ca/info/intercol/trac-cert/index-fra.php"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F872-8EB1-4ED8-8F03-F2EBC4CA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3734</Words>
  <Characters>18191</Characters>
  <Application>Microsoft Office Word</Application>
  <DocSecurity>0</DocSecurity>
  <Lines>151</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Aiglefin de l'est du banc de Georges</vt:lpstr>
      <vt:lpstr>Aiglefin de l'est du banc de Georges</vt:lpstr>
    </vt:vector>
  </TitlesOfParts>
  <Company>MPO</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Aiglefin de l'est du banc de Georges</dc:title>
  <dc:creator>Stratis Gavaris</dc:creator>
  <dc:description>Le tableau a été révisé avec les valeurs correctes. LVE, le 11 juin 2009</dc:description>
  <cp:lastModifiedBy>Maclean, Christina</cp:lastModifiedBy>
  <cp:revision>6</cp:revision>
  <cp:lastPrinted>2020-04-01T15:59:00Z</cp:lastPrinted>
  <dcterms:created xsi:type="dcterms:W3CDTF">2019-11-20T15:14:00Z</dcterms:created>
  <dcterms:modified xsi:type="dcterms:W3CDTF">2020-06-10T19:15:00Z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2020-06-10T19:06:14Z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b6a6c229-0e4a-48f1-bd90-0000f2bf41d6</vt:lpwstr>
  </property>
</Properties>
</file>