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B7E4" w14:textId="77777777" w:rsidR="001A2CB0" w:rsidRDefault="001A2CB0" w:rsidP="002F63B2"/>
    <w:p w14:paraId="22B407C0" w14:textId="77777777" w:rsidR="00B139DA" w:rsidRDefault="00B139DA" w:rsidP="00C75585">
      <w:pPr>
        <w:pStyle w:val="Heading4"/>
        <w:spacing w:before="0" w:after="0"/>
        <w:rPr>
          <w:sz w:val="36"/>
          <w:szCs w:val="36"/>
        </w:rPr>
      </w:pPr>
    </w:p>
    <w:p w14:paraId="6F9A1036" w14:textId="77777777" w:rsidR="004C0F17" w:rsidRDefault="004C0F17" w:rsidP="000364B9">
      <w:pPr>
        <w:pStyle w:val="Heading4"/>
        <w:spacing w:before="0" w:after="0"/>
        <w:jc w:val="center"/>
        <w:rPr>
          <w:sz w:val="36"/>
          <w:szCs w:val="36"/>
        </w:rPr>
      </w:pPr>
      <w:r w:rsidRPr="000364B9">
        <w:rPr>
          <w:sz w:val="36"/>
          <w:szCs w:val="36"/>
        </w:rPr>
        <w:t>EASTERN</w:t>
      </w:r>
    </w:p>
    <w:p w14:paraId="046CE20E" w14:textId="77777777" w:rsidR="000364B9" w:rsidRPr="000364B9" w:rsidRDefault="000364B9" w:rsidP="000364B9"/>
    <w:p w14:paraId="6028DF11" w14:textId="77777777" w:rsidR="004C0F17" w:rsidRDefault="004C0F17" w:rsidP="000364B9">
      <w:pPr>
        <w:pStyle w:val="Heading4"/>
        <w:spacing w:before="0" w:after="0"/>
        <w:jc w:val="center"/>
        <w:rPr>
          <w:sz w:val="36"/>
          <w:szCs w:val="36"/>
        </w:rPr>
      </w:pPr>
      <w:r w:rsidRPr="000364B9">
        <w:rPr>
          <w:sz w:val="36"/>
          <w:szCs w:val="36"/>
        </w:rPr>
        <w:t>GEORGES BANK</w:t>
      </w:r>
    </w:p>
    <w:p w14:paraId="1B0280EB" w14:textId="77777777" w:rsidR="000364B9" w:rsidRPr="000364B9" w:rsidRDefault="000364B9" w:rsidP="000364B9"/>
    <w:p w14:paraId="4A1886DF" w14:textId="77777777" w:rsidR="004C0F17" w:rsidRPr="000364B9" w:rsidRDefault="004C0F17" w:rsidP="000364B9">
      <w:pPr>
        <w:pStyle w:val="Heading4"/>
        <w:spacing w:before="0" w:after="0"/>
        <w:jc w:val="center"/>
        <w:rPr>
          <w:sz w:val="36"/>
          <w:szCs w:val="36"/>
        </w:rPr>
      </w:pPr>
      <w:r w:rsidRPr="000364B9">
        <w:rPr>
          <w:sz w:val="36"/>
          <w:szCs w:val="36"/>
        </w:rPr>
        <w:t>HADDOCK</w:t>
      </w:r>
    </w:p>
    <w:p w14:paraId="29FAE823" w14:textId="77777777" w:rsidR="004C0F17" w:rsidRPr="00673171" w:rsidRDefault="004C0F17" w:rsidP="008A5EC8">
      <w:pPr>
        <w:spacing w:before="240" w:after="60"/>
        <w:jc w:val="center"/>
        <w:rPr>
          <w:sz w:val="28"/>
          <w:szCs w:val="28"/>
        </w:rPr>
      </w:pPr>
      <w:r w:rsidRPr="00673171">
        <w:rPr>
          <w:sz w:val="28"/>
          <w:szCs w:val="28"/>
        </w:rPr>
        <w:t>[5Zjm; 551,552,561,562]</w:t>
      </w:r>
    </w:p>
    <w:p w14:paraId="19A8595D" w14:textId="1AF74062" w:rsidR="004C0F17" w:rsidRDefault="004C0F17" w:rsidP="008A5EC8">
      <w:pPr>
        <w:jc w:val="center"/>
      </w:pPr>
      <w:r>
        <w:rPr>
          <w:sz w:val="32"/>
          <w:szCs w:val="32"/>
        </w:rPr>
        <w:br w:type="column"/>
      </w:r>
      <w:r w:rsidR="004304CE">
        <w:rPr>
          <w:noProof/>
        </w:rPr>
        <w:drawing>
          <wp:inline distT="0" distB="0" distL="0" distR="0" wp14:anchorId="1A6DC15A" wp14:editId="7E43451B">
            <wp:extent cx="2743200" cy="2811145"/>
            <wp:effectExtent l="0" t="0" r="0" b="8255"/>
            <wp:docPr id="64" name="Picture 64" descr="Map of Eastern Georges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2811145"/>
                    </a:xfrm>
                    <a:prstGeom prst="rect">
                      <a:avLst/>
                    </a:prstGeom>
                  </pic:spPr>
                </pic:pic>
              </a:graphicData>
            </a:graphic>
          </wp:inline>
        </w:drawing>
      </w:r>
    </w:p>
    <w:p w14:paraId="6A7905AC" w14:textId="77777777" w:rsidR="004C0F17" w:rsidRDefault="004C0F17"/>
    <w:p w14:paraId="3FDB7CDD" w14:textId="77777777" w:rsidR="004C0F17" w:rsidRDefault="004C0F17">
      <w:pPr>
        <w:pStyle w:val="Heading4"/>
        <w:spacing w:before="0" w:after="0"/>
        <w:sectPr w:rsidR="004C0F17" w:rsidSect="00C36001">
          <w:headerReference w:type="default" r:id="rId9"/>
          <w:footerReference w:type="even" r:id="rId10"/>
          <w:footerReference w:type="default" r:id="rId11"/>
          <w:headerReference w:type="first" r:id="rId12"/>
          <w:footerReference w:type="first" r:id="rId13"/>
          <w:pgSz w:w="12240" w:h="15840" w:code="1"/>
          <w:pgMar w:top="1440" w:right="1440" w:bottom="1080" w:left="1440" w:header="720" w:footer="720" w:gutter="0"/>
          <w:cols w:num="2" w:space="720" w:equalWidth="0">
            <w:col w:w="4320" w:space="720"/>
            <w:col w:w="4320"/>
          </w:cols>
          <w:titlePg/>
          <w:docGrid w:linePitch="360"/>
        </w:sectPr>
      </w:pPr>
    </w:p>
    <w:p w14:paraId="6251FAE8" w14:textId="77777777" w:rsidR="004C0F17" w:rsidRDefault="004C0F17" w:rsidP="000364B9">
      <w:pPr>
        <w:pStyle w:val="Heading5"/>
        <w:spacing w:after="0"/>
      </w:pPr>
      <w:r>
        <w:t xml:space="preserve">Summary </w:t>
      </w:r>
    </w:p>
    <w:p w14:paraId="06AC6F81" w14:textId="77777777" w:rsidR="00A47E2E" w:rsidRPr="00C75585" w:rsidRDefault="00A47E2E" w:rsidP="00C75585"/>
    <w:p w14:paraId="30310368" w14:textId="4936B117" w:rsidR="00D86CA8" w:rsidRDefault="00D86CA8" w:rsidP="00D86CA8">
      <w:pPr>
        <w:pStyle w:val="ListParagraph"/>
        <w:numPr>
          <w:ilvl w:val="0"/>
          <w:numId w:val="23"/>
        </w:numPr>
      </w:pPr>
      <w:r w:rsidRPr="00D86CA8" w:rsidDel="00576A6E">
        <w:rPr>
          <w:b/>
        </w:rPr>
        <w:t>Combined Canada</w:t>
      </w:r>
      <w:r w:rsidRPr="00D86CA8">
        <w:rPr>
          <w:b/>
        </w:rPr>
        <w:t xml:space="preserve"> and </w:t>
      </w:r>
      <w:r w:rsidRPr="00D86CA8" w:rsidDel="00576A6E">
        <w:rPr>
          <w:b/>
        </w:rPr>
        <w:t xml:space="preserve">USA catches </w:t>
      </w:r>
      <w:r w:rsidRPr="00D86CA8" w:rsidDel="00576A6E">
        <w:t>for Eastern Georges Bank (EGB) Haddock</w:t>
      </w:r>
      <w:r w:rsidRPr="00D86CA8">
        <w:t xml:space="preserve"> were </w:t>
      </w:r>
      <w:r w:rsidRPr="00D86CA8" w:rsidDel="00576A6E">
        <w:t>12,4</w:t>
      </w:r>
      <w:r w:rsidRPr="00D86CA8">
        <w:t>95</w:t>
      </w:r>
      <w:r w:rsidRPr="00D86CA8" w:rsidDel="00576A6E">
        <w:t xml:space="preserve"> mt in 20</w:t>
      </w:r>
      <w:r w:rsidRPr="00D86CA8">
        <w:t>18</w:t>
      </w:r>
      <w:r w:rsidR="00F14B3C">
        <w:t>.</w:t>
      </w:r>
    </w:p>
    <w:p w14:paraId="42BCEAB7" w14:textId="5324F7B0" w:rsidR="00AC0595" w:rsidRPr="00AC0595" w:rsidRDefault="00AC0595" w:rsidP="00AC0595">
      <w:pPr>
        <w:pStyle w:val="ListParagraph"/>
        <w:numPr>
          <w:ilvl w:val="0"/>
          <w:numId w:val="23"/>
        </w:numPr>
        <w:rPr>
          <w:lang w:val="en-CA" w:eastAsia="en-CA"/>
        </w:rPr>
      </w:pPr>
      <w:r w:rsidRPr="00AC0595">
        <w:t>The 2018 and 2019 survey indices were above their respective means for the time series.</w:t>
      </w:r>
      <w:r w:rsidR="004304CE">
        <w:t xml:space="preserve"> </w:t>
      </w:r>
      <w:r w:rsidRPr="00AC0595">
        <w:t xml:space="preserve">In the most recent year, </w:t>
      </w:r>
      <w:r w:rsidR="00B05A72">
        <w:t>Fisheries and Oceans, Canada (</w:t>
      </w:r>
      <w:r w:rsidRPr="00AC0595">
        <w:t>DFO</w:t>
      </w:r>
      <w:r w:rsidR="00B05A72">
        <w:t>)</w:t>
      </w:r>
      <w:r w:rsidRPr="00AC0595">
        <w:t xml:space="preserve"> and N</w:t>
      </w:r>
      <w:r w:rsidR="00B05A72">
        <w:t xml:space="preserve">ational </w:t>
      </w:r>
      <w:r w:rsidRPr="00AC0595">
        <w:t>M</w:t>
      </w:r>
      <w:r w:rsidR="00B05A72">
        <w:t>arine Fisheries Service (NM</w:t>
      </w:r>
      <w:r w:rsidRPr="00AC0595">
        <w:t>FS</w:t>
      </w:r>
      <w:r w:rsidR="00B05A72">
        <w:t>)</w:t>
      </w:r>
      <w:r w:rsidRPr="00AC0595">
        <w:t xml:space="preserve"> fall indices decreased, while the NMFS spring index increased.</w:t>
      </w:r>
    </w:p>
    <w:p w14:paraId="4530DBDF" w14:textId="77777777" w:rsidR="009642ED" w:rsidRDefault="009642ED" w:rsidP="00D86CA8">
      <w:pPr>
        <w:pStyle w:val="ListParagraph"/>
        <w:numPr>
          <w:ilvl w:val="0"/>
          <w:numId w:val="23"/>
        </w:numPr>
      </w:pPr>
      <w:r w:rsidRPr="008732CB">
        <w:t xml:space="preserve">The </w:t>
      </w:r>
      <w:r w:rsidRPr="008732CB">
        <w:rPr>
          <w:b/>
        </w:rPr>
        <w:t>population age structure</w:t>
      </w:r>
      <w:r w:rsidRPr="008732CB">
        <w:t xml:space="preserve"> displays a broad representation of age groups, reflecting improving recruitment since 1995. The </w:t>
      </w:r>
      <w:r w:rsidRPr="008732CB">
        <w:rPr>
          <w:b/>
        </w:rPr>
        <w:t>spatial distribution</w:t>
      </w:r>
      <w:r w:rsidRPr="008732CB">
        <w:t xml:space="preserve"> patterns observed during the most recent bottom trawl surveys were similar to the average patterns over the previous ten years. </w:t>
      </w:r>
    </w:p>
    <w:p w14:paraId="33262CF1" w14:textId="6C1DB54B" w:rsidR="009642ED" w:rsidRDefault="009642ED" w:rsidP="00D86CA8">
      <w:pPr>
        <w:pStyle w:val="ListParagraph"/>
        <w:numPr>
          <w:ilvl w:val="0"/>
          <w:numId w:val="23"/>
        </w:numPr>
      </w:pPr>
      <w:r>
        <w:t>There are no indications of exceptional year classes coming into the population</w:t>
      </w:r>
      <w:r w:rsidR="00200C70">
        <w:t xml:space="preserve">. There are </w:t>
      </w:r>
      <w:r w:rsidR="00200C70" w:rsidRPr="00AB1C6D">
        <w:rPr>
          <w:lang w:val="en-CA" w:eastAsia="en-CA"/>
        </w:rPr>
        <w:t>preliminary</w:t>
      </w:r>
      <w:r w:rsidR="00F926EB" w:rsidRPr="00AB1C6D">
        <w:rPr>
          <w:lang w:val="en-CA" w:eastAsia="en-CA"/>
        </w:rPr>
        <w:t xml:space="preserve"> indication</w:t>
      </w:r>
      <w:r w:rsidR="00F926EB">
        <w:rPr>
          <w:lang w:val="en-CA" w:eastAsia="en-CA"/>
        </w:rPr>
        <w:t>s</w:t>
      </w:r>
      <w:r w:rsidR="00F926EB" w:rsidRPr="00AB1C6D">
        <w:rPr>
          <w:lang w:val="en-CA" w:eastAsia="en-CA"/>
        </w:rPr>
        <w:t xml:space="preserve"> of above average </w:t>
      </w:r>
      <w:r w:rsidR="00F926EB" w:rsidRPr="003C3C0E">
        <w:rPr>
          <w:b/>
          <w:lang w:val="en-CA" w:eastAsia="en-CA"/>
        </w:rPr>
        <w:t>recruitment</w:t>
      </w:r>
      <w:r w:rsidR="00F926EB" w:rsidRPr="00AB1C6D">
        <w:rPr>
          <w:lang w:val="en-CA" w:eastAsia="en-CA"/>
        </w:rPr>
        <w:t xml:space="preserve"> for 2016</w:t>
      </w:r>
      <w:r w:rsidR="00F926EB">
        <w:rPr>
          <w:lang w:val="en-CA" w:eastAsia="en-CA"/>
        </w:rPr>
        <w:t xml:space="preserve">, </w:t>
      </w:r>
      <w:r w:rsidR="00F926EB" w:rsidRPr="00AB1C6D">
        <w:rPr>
          <w:lang w:val="en-CA" w:eastAsia="en-CA"/>
        </w:rPr>
        <w:t>although that observation is uncertain</w:t>
      </w:r>
      <w:r w:rsidR="00F926EB">
        <w:rPr>
          <w:lang w:val="en-CA" w:eastAsia="en-CA"/>
        </w:rPr>
        <w:t>.</w:t>
      </w:r>
      <w:r>
        <w:t xml:space="preserve"> </w:t>
      </w:r>
    </w:p>
    <w:p w14:paraId="48EEEF96" w14:textId="75571F61" w:rsidR="00EE0E63" w:rsidRDefault="00EE0E63" w:rsidP="00D86CA8">
      <w:pPr>
        <w:pStyle w:val="ListParagraph"/>
        <w:numPr>
          <w:ilvl w:val="0"/>
          <w:numId w:val="23"/>
        </w:numPr>
      </w:pPr>
      <w:r w:rsidRPr="008732CB">
        <w:t xml:space="preserve">There has been a general decline in </w:t>
      </w:r>
      <w:r w:rsidRPr="003C3C0E">
        <w:rPr>
          <w:b/>
        </w:rPr>
        <w:t>weights at age</w:t>
      </w:r>
      <w:r w:rsidRPr="008732CB">
        <w:t xml:space="preserve"> since the late 1990s. As biomass has increased</w:t>
      </w:r>
      <w:r w:rsidR="003C3C0E">
        <w:t>,</w:t>
      </w:r>
      <w:r w:rsidRPr="008732CB">
        <w:t xml:space="preserve"> growth rates and asymptotic length have declined. This decline in size at age </w:t>
      </w:r>
      <w:r>
        <w:t xml:space="preserve">is </w:t>
      </w:r>
      <w:r w:rsidRPr="008732CB">
        <w:t>exacerbated for the 2013 year class</w:t>
      </w:r>
      <w:r>
        <w:t>.</w:t>
      </w:r>
    </w:p>
    <w:p w14:paraId="62DF7F7A" w14:textId="676C21F7" w:rsidR="009642ED" w:rsidRDefault="00DF6042" w:rsidP="00D86CA8">
      <w:pPr>
        <w:pStyle w:val="ListParagraph"/>
        <w:numPr>
          <w:ilvl w:val="0"/>
          <w:numId w:val="23"/>
        </w:numPr>
      </w:pPr>
      <w:r w:rsidRPr="00EE0E63">
        <w:t>The assessment model was rejected, so there are no analytical projections to characterize risk for catches in 2020 and 2021.</w:t>
      </w:r>
      <w:r w:rsidR="004304CE">
        <w:t xml:space="preserve"> </w:t>
      </w:r>
      <w:r w:rsidRPr="00DF6042">
        <w:t>S</w:t>
      </w:r>
      <w:r w:rsidRPr="00EE0E63">
        <w:t>urvey a</w:t>
      </w:r>
      <w:bookmarkStart w:id="0" w:name="_GoBack"/>
      <w:bookmarkEnd w:id="0"/>
      <w:r w:rsidRPr="00EE0E63">
        <w:t>nd relative F trends, comparisons with the 2003 year class in 2009 (which is akin to the 2013 year class in 2019)</w:t>
      </w:r>
      <w:r w:rsidRPr="00DF6042">
        <w:t xml:space="preserve">, and </w:t>
      </w:r>
      <w:r w:rsidRPr="00EE0E63">
        <w:t xml:space="preserve">results from the 2012 </w:t>
      </w:r>
      <w:r w:rsidR="007D2D4A">
        <w:t>virtual population analysis (</w:t>
      </w:r>
      <w:r w:rsidRPr="00EE0E63">
        <w:t>VPA</w:t>
      </w:r>
      <w:r w:rsidR="007D2D4A">
        <w:t>)</w:t>
      </w:r>
      <w:r w:rsidRPr="00EE0E63">
        <w:t xml:space="preserve"> are summarized in an attempt to relate current relative measures to analytical estimates from the last VPA with acceptable performance</w:t>
      </w:r>
      <w:r w:rsidR="00A43F5F">
        <w:t>.</w:t>
      </w:r>
    </w:p>
    <w:p w14:paraId="0ED0D033" w14:textId="1C158BF5" w:rsidR="00EE0E63" w:rsidRPr="003C3C0E" w:rsidRDefault="00EE0E63" w:rsidP="00EE0E63">
      <w:pPr>
        <w:pStyle w:val="ListParagraph"/>
        <w:numPr>
          <w:ilvl w:val="0"/>
          <w:numId w:val="23"/>
        </w:numPr>
      </w:pPr>
      <w:r w:rsidRPr="003C3C0E">
        <w:t>Relative F tended to be above the mean during the earlier years of the time series until 1997 and has remained low since 2012.</w:t>
      </w:r>
    </w:p>
    <w:p w14:paraId="01A6E91C" w14:textId="796BF21D" w:rsidR="00F926EB" w:rsidRPr="003C3C0E" w:rsidRDefault="00F926EB" w:rsidP="00EE0E63">
      <w:pPr>
        <w:pStyle w:val="ListParagraph"/>
        <w:numPr>
          <w:ilvl w:val="0"/>
          <w:numId w:val="23"/>
        </w:numPr>
      </w:pPr>
      <w:r w:rsidRPr="003C3C0E">
        <w:t xml:space="preserve">The population is expected to decline from 2019 to 2020 and 2021 even if </w:t>
      </w:r>
      <w:r w:rsidR="004304CE">
        <w:t xml:space="preserve">no catches are taken in 2020. </w:t>
      </w:r>
      <w:r w:rsidRPr="003C3C0E">
        <w:t>This is primarily due to the decline in numbers of the 2013 year class, which is expected to have very little gains in weight from age 6 to 8.</w:t>
      </w:r>
    </w:p>
    <w:p w14:paraId="2EFAE302" w14:textId="17A0867C" w:rsidR="00A43F5F" w:rsidRPr="003C3C0E" w:rsidRDefault="00A43F5F" w:rsidP="00D86CA8">
      <w:pPr>
        <w:pStyle w:val="ListParagraph"/>
        <w:numPr>
          <w:ilvl w:val="0"/>
          <w:numId w:val="23"/>
        </w:numPr>
      </w:pPr>
      <w:r w:rsidRPr="003C3C0E">
        <w:t>Although the population is still abundant, and well above the time series average survey biomass, maintaining a constant quota on a declining population (where catch is primarily coming from a single year class) would lead to an increasing trend in relative F.</w:t>
      </w:r>
      <w:r w:rsidR="004304CE">
        <w:t xml:space="preserve"> </w:t>
      </w:r>
      <w:r w:rsidRPr="003C3C0E">
        <w:t>The uncertain availability, combined with weights at age being the lowest observed for the 2013 year class, argue against the status quo quota.</w:t>
      </w:r>
    </w:p>
    <w:p w14:paraId="313B9796" w14:textId="3169FD6C" w:rsidR="00A43F5F" w:rsidRDefault="00F97AC8" w:rsidP="00A43F5F">
      <w:pPr>
        <w:pStyle w:val="ListParagraph"/>
        <w:numPr>
          <w:ilvl w:val="0"/>
          <w:numId w:val="23"/>
        </w:numPr>
      </w:pPr>
      <w:r w:rsidRPr="00A43F5F">
        <w:t>The T</w:t>
      </w:r>
      <w:r w:rsidR="007D2D4A">
        <w:t xml:space="preserve">ransboundary </w:t>
      </w:r>
      <w:r w:rsidRPr="00A43F5F">
        <w:t>R</w:t>
      </w:r>
      <w:r w:rsidR="007D2D4A">
        <w:t xml:space="preserve">esources </w:t>
      </w:r>
      <w:r w:rsidRPr="00A43F5F">
        <w:t>A</w:t>
      </w:r>
      <w:r w:rsidR="007D2D4A">
        <w:t xml:space="preserve">ssessment </w:t>
      </w:r>
      <w:r w:rsidRPr="00A43F5F">
        <w:t>C</w:t>
      </w:r>
      <w:r w:rsidR="007D2D4A">
        <w:t>ommittee (TRAC)</w:t>
      </w:r>
      <w:r w:rsidRPr="00A43F5F">
        <w:t xml:space="preserve"> recommends </w:t>
      </w:r>
      <w:r>
        <w:t>no</w:t>
      </w:r>
      <w:r w:rsidRPr="00A43F5F">
        <w:t xml:space="preserve"> increase </w:t>
      </w:r>
      <w:r>
        <w:t xml:space="preserve">in </w:t>
      </w:r>
      <w:r w:rsidRPr="00A43F5F">
        <w:t>quota in 2020 above the 2019 quota of 30,000</w:t>
      </w:r>
      <w:r>
        <w:t xml:space="preserve"> mt</w:t>
      </w:r>
      <w:r w:rsidRPr="00A43F5F">
        <w:t xml:space="preserve">, but </w:t>
      </w:r>
      <w:r>
        <w:t>recommends a</w:t>
      </w:r>
      <w:r w:rsidRPr="00A6425B">
        <w:t xml:space="preserve"> decrease </w:t>
      </w:r>
      <w:r>
        <w:t xml:space="preserve">in </w:t>
      </w:r>
      <w:r w:rsidRPr="00A6425B">
        <w:t>quota in 2021</w:t>
      </w:r>
      <w:r w:rsidR="004304CE">
        <w:t xml:space="preserve">. </w:t>
      </w:r>
      <w:r w:rsidR="00A43F5F">
        <w:t>There is no consensus on whether to decrease quota in 2020.</w:t>
      </w:r>
    </w:p>
    <w:p w14:paraId="1EF31AEF" w14:textId="0FD5AC21" w:rsidR="00DF6042" w:rsidRPr="00A43F5F" w:rsidRDefault="00A43F5F" w:rsidP="00D86CA8">
      <w:pPr>
        <w:pStyle w:val="ListParagraph"/>
        <w:numPr>
          <w:ilvl w:val="0"/>
          <w:numId w:val="23"/>
        </w:numPr>
      </w:pPr>
      <w:r w:rsidRPr="00EE0E63">
        <w:t>For guidance on a potentially reasonable range of quota advice, the T</w:t>
      </w:r>
      <w:r w:rsidR="007D2D4A">
        <w:t xml:space="preserve">ransboundary </w:t>
      </w:r>
      <w:r w:rsidRPr="00EE0E63">
        <w:t>M</w:t>
      </w:r>
      <w:r w:rsidR="007D2D4A">
        <w:t xml:space="preserve">anagement </w:t>
      </w:r>
      <w:r w:rsidRPr="00EE0E63">
        <w:t>G</w:t>
      </w:r>
      <w:r w:rsidR="007D2D4A">
        <w:t xml:space="preserve">uidance </w:t>
      </w:r>
      <w:r w:rsidRPr="00EE0E63">
        <w:t>C</w:t>
      </w:r>
      <w:r w:rsidR="007D2D4A">
        <w:t>ommittee (TMGC)</w:t>
      </w:r>
      <w:r w:rsidRPr="00EE0E63">
        <w:t xml:space="preserve"> could consider the quota advice for the 2003 year class in 2009</w:t>
      </w:r>
      <w:r w:rsidR="00032A8B">
        <w:t>–</w:t>
      </w:r>
      <w:r w:rsidRPr="00EE0E63">
        <w:t>2011, as a starting point.</w:t>
      </w:r>
    </w:p>
    <w:p w14:paraId="603CEF4A" w14:textId="77777777" w:rsidR="0072021F" w:rsidRDefault="0072021F" w:rsidP="00AE14C3">
      <w:pPr>
        <w:pStyle w:val="ListParagraph"/>
        <w:ind w:left="360"/>
        <w:jc w:val="both"/>
      </w:pPr>
    </w:p>
    <w:p w14:paraId="0629ADA0" w14:textId="77777777" w:rsidR="008732CB" w:rsidRPr="00191DAB" w:rsidRDefault="008732CB" w:rsidP="00AE14C3">
      <w:pPr>
        <w:jc w:val="both"/>
      </w:pPr>
    </w:p>
    <w:p w14:paraId="375BE376" w14:textId="77777777" w:rsidR="00F6687A" w:rsidRPr="00B303FE" w:rsidRDefault="00F6687A" w:rsidP="00F6687A">
      <w:pPr>
        <w:shd w:val="clear" w:color="auto" w:fill="FFFFFF"/>
        <w:spacing w:after="173"/>
        <w:rPr>
          <w:b/>
          <w:i/>
          <w:color w:val="000000" w:themeColor="text1"/>
          <w:lang w:eastAsia="en-CA"/>
        </w:rPr>
      </w:pPr>
      <w:r w:rsidRPr="00B303FE">
        <w:rPr>
          <w:b/>
          <w:i/>
          <w:color w:val="000000" w:themeColor="text1"/>
          <w:lang w:eastAsia="en-CA"/>
        </w:rPr>
        <w:t xml:space="preserve">TRAC Review Process </w:t>
      </w:r>
    </w:p>
    <w:p w14:paraId="354323F6" w14:textId="4CFA0E06" w:rsidR="00576A6E" w:rsidRDefault="00576A6E" w:rsidP="00CB6D7E">
      <w:pPr>
        <w:shd w:val="clear" w:color="auto" w:fill="FFFFFF"/>
        <w:spacing w:after="173"/>
        <w:jc w:val="both"/>
      </w:pPr>
      <w:r w:rsidRPr="0046217C">
        <w:rPr>
          <w:color w:val="000000" w:themeColor="text1"/>
          <w:lang w:eastAsia="en-CA"/>
        </w:rPr>
        <w:t xml:space="preserve">In </w:t>
      </w:r>
      <w:r>
        <w:rPr>
          <w:color w:val="000000" w:themeColor="text1"/>
          <w:lang w:eastAsia="en-CA"/>
        </w:rPr>
        <w:t xml:space="preserve">the interest of transparency and in order to avoid any perceived conflict of interest, in </w:t>
      </w:r>
      <w:r w:rsidRPr="0046217C">
        <w:rPr>
          <w:color w:val="000000" w:themeColor="text1"/>
          <w:lang w:eastAsia="en-CA"/>
        </w:rPr>
        <w:t xml:space="preserve">2017 </w:t>
      </w:r>
      <w:r w:rsidR="007D2D4A">
        <w:rPr>
          <w:color w:val="000000" w:themeColor="text1"/>
          <w:lang w:eastAsia="en-CA"/>
        </w:rPr>
        <w:t>the Transboundary Resources Assessment Committee (</w:t>
      </w:r>
      <w:r w:rsidRPr="0046217C">
        <w:rPr>
          <w:color w:val="000000" w:themeColor="text1"/>
          <w:lang w:eastAsia="en-CA"/>
        </w:rPr>
        <w:t>TRAC</w:t>
      </w:r>
      <w:r w:rsidR="007D2D4A">
        <w:rPr>
          <w:color w:val="000000" w:themeColor="text1"/>
          <w:lang w:eastAsia="en-CA"/>
        </w:rPr>
        <w:t>)</w:t>
      </w:r>
      <w:r w:rsidRPr="0046217C">
        <w:rPr>
          <w:color w:val="000000" w:themeColor="text1"/>
          <w:lang w:eastAsia="en-CA"/>
        </w:rPr>
        <w:t xml:space="preserve"> introduced a new process of review for Eastern Georges Bank Cod and Haddock and Georges Bank Yellowtail Flounder. An overview of the entire process is available </w:t>
      </w:r>
      <w:hyperlink r:id="rId14" w:history="1">
        <w:r w:rsidR="004304CE" w:rsidRPr="004304CE">
          <w:rPr>
            <w:rStyle w:val="Hyperlink"/>
            <w:lang w:eastAsia="en-CA"/>
          </w:rPr>
          <w:t>online</w:t>
        </w:r>
      </w:hyperlink>
      <w:r w:rsidR="004304CE">
        <w:rPr>
          <w:color w:val="000000" w:themeColor="text1"/>
          <w:lang w:eastAsia="en-CA"/>
        </w:rPr>
        <w:t>.</w:t>
      </w:r>
      <w:r w:rsidRPr="0046217C">
        <w:rPr>
          <w:color w:val="000000" w:themeColor="text1"/>
          <w:lang w:eastAsia="en-CA"/>
        </w:rPr>
        <w:t xml:space="preserve"> </w:t>
      </w:r>
    </w:p>
    <w:p w14:paraId="6BC76643" w14:textId="77777777" w:rsidR="00576A6E" w:rsidRDefault="00576A6E">
      <w:pPr>
        <w:jc w:val="both"/>
      </w:pPr>
    </w:p>
    <w:p w14:paraId="329B6DDD" w14:textId="3447F1D8" w:rsidR="00176380" w:rsidRPr="00C36001" w:rsidRDefault="00C40974" w:rsidP="000364B9">
      <w:pPr>
        <w:pStyle w:val="Heading5"/>
        <w:spacing w:after="0"/>
        <w:rPr>
          <w:rStyle w:val="CommentReference"/>
          <w:b w:val="0"/>
          <w:bCs w:val="0"/>
          <w:i w:val="0"/>
          <w:iCs w:val="0"/>
          <w:color w:val="FF0000"/>
          <w:sz w:val="22"/>
          <w:szCs w:val="22"/>
        </w:rPr>
      </w:pPr>
      <w:r w:rsidRPr="00C36001">
        <w:rPr>
          <w:bCs w:val="0"/>
          <w:i w:val="0"/>
          <w:sz w:val="22"/>
          <w:szCs w:val="22"/>
        </w:rPr>
        <w:t xml:space="preserve">Table 1. </w:t>
      </w:r>
      <w:r w:rsidR="003C46CC" w:rsidRPr="00C36001">
        <w:rPr>
          <w:bCs w:val="0"/>
          <w:i w:val="0"/>
          <w:sz w:val="22"/>
          <w:szCs w:val="22"/>
        </w:rPr>
        <w:t>Catches</w:t>
      </w:r>
      <w:r w:rsidR="00176380" w:rsidRPr="00C36001">
        <w:rPr>
          <w:bCs w:val="0"/>
          <w:i w:val="0"/>
          <w:sz w:val="22"/>
          <w:szCs w:val="22"/>
        </w:rPr>
        <w:t>,</w:t>
      </w:r>
      <w:r w:rsidR="003C46CC" w:rsidRPr="00C36001">
        <w:rPr>
          <w:bCs w:val="0"/>
          <w:i w:val="0"/>
          <w:sz w:val="22"/>
          <w:szCs w:val="22"/>
        </w:rPr>
        <w:t xml:space="preserve"> </w:t>
      </w:r>
      <w:r w:rsidR="00D72533" w:rsidRPr="00C36001">
        <w:rPr>
          <w:bCs w:val="0"/>
          <w:i w:val="0"/>
          <w:sz w:val="22"/>
          <w:szCs w:val="22"/>
        </w:rPr>
        <w:t xml:space="preserve">Survey </w:t>
      </w:r>
      <w:r w:rsidR="003C46CC" w:rsidRPr="00C36001">
        <w:rPr>
          <w:bCs w:val="0"/>
          <w:i w:val="0"/>
          <w:sz w:val="22"/>
          <w:szCs w:val="22"/>
        </w:rPr>
        <w:t>Biomass</w:t>
      </w:r>
      <w:r w:rsidR="00D72533" w:rsidRPr="00C36001">
        <w:rPr>
          <w:bCs w:val="0"/>
          <w:i w:val="0"/>
          <w:sz w:val="22"/>
          <w:szCs w:val="22"/>
        </w:rPr>
        <w:t xml:space="preserve"> Index</w:t>
      </w:r>
      <w:r w:rsidR="003C46CC" w:rsidRPr="00C36001">
        <w:rPr>
          <w:bCs w:val="0"/>
          <w:i w:val="0"/>
          <w:sz w:val="22"/>
          <w:szCs w:val="22"/>
        </w:rPr>
        <w:t xml:space="preserve"> </w:t>
      </w:r>
      <w:r w:rsidR="00176380" w:rsidRPr="00C36001">
        <w:rPr>
          <w:bCs w:val="0"/>
          <w:i w:val="0"/>
          <w:sz w:val="22"/>
          <w:szCs w:val="22"/>
        </w:rPr>
        <w:t>(thousands mt) and relative fishing mortality of haddock.</w:t>
      </w:r>
    </w:p>
    <w:tbl>
      <w:tblPr>
        <w:tblW w:w="10213" w:type="dxa"/>
        <w:tblLook w:val="04A0" w:firstRow="1" w:lastRow="0" w:firstColumn="1" w:lastColumn="0" w:noHBand="0" w:noVBand="1"/>
      </w:tblPr>
      <w:tblGrid>
        <w:gridCol w:w="1200"/>
        <w:gridCol w:w="780"/>
        <w:gridCol w:w="540"/>
        <w:gridCol w:w="540"/>
        <w:gridCol w:w="540"/>
        <w:gridCol w:w="540"/>
        <w:gridCol w:w="536"/>
        <w:gridCol w:w="536"/>
        <w:gridCol w:w="548"/>
        <w:gridCol w:w="576"/>
        <w:gridCol w:w="576"/>
        <w:gridCol w:w="576"/>
        <w:gridCol w:w="538"/>
        <w:gridCol w:w="536"/>
        <w:gridCol w:w="546"/>
        <w:gridCol w:w="533"/>
        <w:gridCol w:w="626"/>
      </w:tblGrid>
      <w:tr w:rsidR="00176380" w14:paraId="5CF7FDD3" w14:textId="77777777" w:rsidTr="00C36001">
        <w:trPr>
          <w:trHeight w:val="260"/>
        </w:trPr>
        <w:tc>
          <w:tcPr>
            <w:tcW w:w="1200" w:type="dxa"/>
            <w:tcBorders>
              <w:top w:val="single" w:sz="4" w:space="0" w:color="auto"/>
              <w:left w:val="nil"/>
              <w:bottom w:val="single" w:sz="8" w:space="0" w:color="000000"/>
              <w:right w:val="nil"/>
            </w:tcBorders>
            <w:shd w:val="clear" w:color="auto" w:fill="auto"/>
            <w:noWrap/>
            <w:vAlign w:val="center"/>
            <w:hideMark/>
          </w:tcPr>
          <w:p w14:paraId="0FD28331" w14:textId="299F17DC" w:rsidR="00176380" w:rsidRDefault="00176380" w:rsidP="00C36001">
            <w:pPr>
              <w:jc w:val="center"/>
              <w:rPr>
                <w:sz w:val="16"/>
                <w:szCs w:val="16"/>
              </w:rPr>
            </w:pPr>
          </w:p>
        </w:tc>
        <w:tc>
          <w:tcPr>
            <w:tcW w:w="780" w:type="dxa"/>
            <w:tcBorders>
              <w:top w:val="single" w:sz="4" w:space="0" w:color="auto"/>
              <w:left w:val="nil"/>
              <w:bottom w:val="single" w:sz="8" w:space="0" w:color="000000"/>
              <w:right w:val="nil"/>
            </w:tcBorders>
            <w:shd w:val="clear" w:color="auto" w:fill="auto"/>
            <w:vAlign w:val="center"/>
            <w:hideMark/>
          </w:tcPr>
          <w:p w14:paraId="19FFA25B" w14:textId="576318C1" w:rsidR="00176380" w:rsidRDefault="00176380" w:rsidP="00C36001">
            <w:pPr>
              <w:jc w:val="center"/>
              <w:rPr>
                <w:sz w:val="16"/>
                <w:szCs w:val="16"/>
              </w:rPr>
            </w:pPr>
          </w:p>
        </w:tc>
        <w:tc>
          <w:tcPr>
            <w:tcW w:w="540" w:type="dxa"/>
            <w:tcBorders>
              <w:top w:val="single" w:sz="4" w:space="0" w:color="auto"/>
              <w:left w:val="nil"/>
              <w:bottom w:val="single" w:sz="8" w:space="0" w:color="000000"/>
              <w:right w:val="nil"/>
            </w:tcBorders>
            <w:shd w:val="clear" w:color="auto" w:fill="auto"/>
            <w:vAlign w:val="center"/>
            <w:hideMark/>
          </w:tcPr>
          <w:p w14:paraId="7F042F55" w14:textId="77777777" w:rsidR="00176380" w:rsidRDefault="00176380" w:rsidP="00C36001">
            <w:pPr>
              <w:jc w:val="center"/>
              <w:rPr>
                <w:sz w:val="16"/>
                <w:szCs w:val="16"/>
              </w:rPr>
            </w:pPr>
            <w:r>
              <w:rPr>
                <w:sz w:val="16"/>
                <w:szCs w:val="16"/>
              </w:rPr>
              <w:t>2008</w:t>
            </w:r>
          </w:p>
        </w:tc>
        <w:tc>
          <w:tcPr>
            <w:tcW w:w="540" w:type="dxa"/>
            <w:tcBorders>
              <w:top w:val="single" w:sz="4" w:space="0" w:color="auto"/>
              <w:left w:val="nil"/>
              <w:bottom w:val="single" w:sz="8" w:space="0" w:color="000000"/>
              <w:right w:val="nil"/>
            </w:tcBorders>
            <w:shd w:val="clear" w:color="auto" w:fill="auto"/>
            <w:vAlign w:val="center"/>
            <w:hideMark/>
          </w:tcPr>
          <w:p w14:paraId="5E98CB82" w14:textId="77777777" w:rsidR="00176380" w:rsidRDefault="00176380" w:rsidP="00C36001">
            <w:pPr>
              <w:jc w:val="center"/>
              <w:rPr>
                <w:sz w:val="16"/>
                <w:szCs w:val="16"/>
              </w:rPr>
            </w:pPr>
            <w:r>
              <w:rPr>
                <w:sz w:val="16"/>
                <w:szCs w:val="16"/>
              </w:rPr>
              <w:t>2009</w:t>
            </w:r>
          </w:p>
        </w:tc>
        <w:tc>
          <w:tcPr>
            <w:tcW w:w="540" w:type="dxa"/>
            <w:tcBorders>
              <w:top w:val="single" w:sz="4" w:space="0" w:color="auto"/>
              <w:left w:val="nil"/>
              <w:bottom w:val="single" w:sz="8" w:space="0" w:color="000000"/>
              <w:right w:val="nil"/>
            </w:tcBorders>
            <w:shd w:val="clear" w:color="auto" w:fill="auto"/>
            <w:vAlign w:val="center"/>
            <w:hideMark/>
          </w:tcPr>
          <w:p w14:paraId="26C42F57" w14:textId="77777777" w:rsidR="00176380" w:rsidRDefault="00176380" w:rsidP="00C36001">
            <w:pPr>
              <w:jc w:val="center"/>
              <w:rPr>
                <w:sz w:val="16"/>
                <w:szCs w:val="16"/>
              </w:rPr>
            </w:pPr>
            <w:r>
              <w:rPr>
                <w:sz w:val="16"/>
                <w:szCs w:val="16"/>
              </w:rPr>
              <w:t>2010</w:t>
            </w:r>
          </w:p>
        </w:tc>
        <w:tc>
          <w:tcPr>
            <w:tcW w:w="540" w:type="dxa"/>
            <w:tcBorders>
              <w:top w:val="single" w:sz="4" w:space="0" w:color="auto"/>
              <w:left w:val="nil"/>
              <w:bottom w:val="single" w:sz="8" w:space="0" w:color="000000"/>
              <w:right w:val="nil"/>
            </w:tcBorders>
            <w:shd w:val="clear" w:color="auto" w:fill="auto"/>
            <w:vAlign w:val="center"/>
            <w:hideMark/>
          </w:tcPr>
          <w:p w14:paraId="4F58F2C6" w14:textId="77777777" w:rsidR="00176380" w:rsidRDefault="00176380" w:rsidP="00C36001">
            <w:pPr>
              <w:jc w:val="center"/>
              <w:rPr>
                <w:sz w:val="16"/>
                <w:szCs w:val="16"/>
              </w:rPr>
            </w:pPr>
            <w:r>
              <w:rPr>
                <w:sz w:val="16"/>
                <w:szCs w:val="16"/>
              </w:rPr>
              <w:t>2011</w:t>
            </w:r>
          </w:p>
        </w:tc>
        <w:tc>
          <w:tcPr>
            <w:tcW w:w="536" w:type="dxa"/>
            <w:tcBorders>
              <w:top w:val="single" w:sz="4" w:space="0" w:color="auto"/>
              <w:left w:val="nil"/>
              <w:bottom w:val="single" w:sz="8" w:space="0" w:color="000000"/>
              <w:right w:val="nil"/>
            </w:tcBorders>
            <w:shd w:val="clear" w:color="auto" w:fill="auto"/>
            <w:noWrap/>
            <w:vAlign w:val="center"/>
            <w:hideMark/>
          </w:tcPr>
          <w:p w14:paraId="22666B6D" w14:textId="77777777" w:rsidR="00176380" w:rsidRDefault="00176380" w:rsidP="00C36001">
            <w:pPr>
              <w:jc w:val="center"/>
              <w:rPr>
                <w:sz w:val="16"/>
                <w:szCs w:val="16"/>
              </w:rPr>
            </w:pPr>
            <w:r>
              <w:rPr>
                <w:sz w:val="16"/>
                <w:szCs w:val="16"/>
              </w:rPr>
              <w:t>2012</w:t>
            </w:r>
          </w:p>
        </w:tc>
        <w:tc>
          <w:tcPr>
            <w:tcW w:w="536" w:type="dxa"/>
            <w:tcBorders>
              <w:top w:val="single" w:sz="4" w:space="0" w:color="auto"/>
              <w:left w:val="nil"/>
              <w:bottom w:val="single" w:sz="8" w:space="0" w:color="000000"/>
              <w:right w:val="nil"/>
            </w:tcBorders>
            <w:shd w:val="clear" w:color="auto" w:fill="auto"/>
            <w:noWrap/>
            <w:vAlign w:val="center"/>
            <w:hideMark/>
          </w:tcPr>
          <w:p w14:paraId="4E33F1BD" w14:textId="77777777" w:rsidR="00176380" w:rsidRDefault="00176380" w:rsidP="00C36001">
            <w:pPr>
              <w:jc w:val="center"/>
              <w:rPr>
                <w:sz w:val="16"/>
                <w:szCs w:val="16"/>
              </w:rPr>
            </w:pPr>
            <w:r>
              <w:rPr>
                <w:sz w:val="16"/>
                <w:szCs w:val="16"/>
              </w:rPr>
              <w:t>2013</w:t>
            </w:r>
          </w:p>
        </w:tc>
        <w:tc>
          <w:tcPr>
            <w:tcW w:w="548" w:type="dxa"/>
            <w:tcBorders>
              <w:top w:val="single" w:sz="4" w:space="0" w:color="auto"/>
              <w:left w:val="nil"/>
              <w:bottom w:val="single" w:sz="8" w:space="0" w:color="000000"/>
              <w:right w:val="nil"/>
            </w:tcBorders>
            <w:shd w:val="clear" w:color="auto" w:fill="auto"/>
            <w:vAlign w:val="center"/>
            <w:hideMark/>
          </w:tcPr>
          <w:p w14:paraId="39CDC1E4" w14:textId="77777777" w:rsidR="00176380" w:rsidRDefault="00176380" w:rsidP="00C36001">
            <w:pPr>
              <w:jc w:val="center"/>
              <w:rPr>
                <w:sz w:val="16"/>
                <w:szCs w:val="16"/>
              </w:rPr>
            </w:pPr>
            <w:r>
              <w:rPr>
                <w:sz w:val="16"/>
                <w:szCs w:val="16"/>
              </w:rPr>
              <w:t>2014</w:t>
            </w:r>
          </w:p>
        </w:tc>
        <w:tc>
          <w:tcPr>
            <w:tcW w:w="576" w:type="dxa"/>
            <w:tcBorders>
              <w:top w:val="single" w:sz="4" w:space="0" w:color="auto"/>
              <w:left w:val="nil"/>
              <w:bottom w:val="single" w:sz="8" w:space="0" w:color="000000"/>
              <w:right w:val="nil"/>
            </w:tcBorders>
            <w:shd w:val="clear" w:color="auto" w:fill="auto"/>
            <w:vAlign w:val="center"/>
            <w:hideMark/>
          </w:tcPr>
          <w:p w14:paraId="259426B0" w14:textId="77777777" w:rsidR="00176380" w:rsidRDefault="00176380" w:rsidP="00C36001">
            <w:pPr>
              <w:jc w:val="center"/>
              <w:rPr>
                <w:sz w:val="16"/>
                <w:szCs w:val="16"/>
              </w:rPr>
            </w:pPr>
            <w:r>
              <w:rPr>
                <w:sz w:val="16"/>
                <w:szCs w:val="16"/>
              </w:rPr>
              <w:t>2015</w:t>
            </w:r>
          </w:p>
        </w:tc>
        <w:tc>
          <w:tcPr>
            <w:tcW w:w="576" w:type="dxa"/>
            <w:tcBorders>
              <w:top w:val="single" w:sz="4" w:space="0" w:color="auto"/>
              <w:left w:val="nil"/>
              <w:bottom w:val="single" w:sz="8" w:space="0" w:color="auto"/>
              <w:right w:val="nil"/>
            </w:tcBorders>
            <w:shd w:val="clear" w:color="auto" w:fill="auto"/>
            <w:vAlign w:val="center"/>
            <w:hideMark/>
          </w:tcPr>
          <w:p w14:paraId="3F9D0621" w14:textId="77777777" w:rsidR="00176380" w:rsidRDefault="00176380" w:rsidP="00C36001">
            <w:pPr>
              <w:jc w:val="center"/>
              <w:rPr>
                <w:sz w:val="16"/>
                <w:szCs w:val="16"/>
              </w:rPr>
            </w:pPr>
            <w:r>
              <w:rPr>
                <w:sz w:val="16"/>
                <w:szCs w:val="16"/>
              </w:rPr>
              <w:t>2016</w:t>
            </w:r>
          </w:p>
        </w:tc>
        <w:tc>
          <w:tcPr>
            <w:tcW w:w="576" w:type="dxa"/>
            <w:tcBorders>
              <w:top w:val="single" w:sz="4" w:space="0" w:color="auto"/>
              <w:left w:val="nil"/>
              <w:bottom w:val="single" w:sz="8" w:space="0" w:color="auto"/>
              <w:right w:val="nil"/>
            </w:tcBorders>
            <w:shd w:val="clear" w:color="auto" w:fill="auto"/>
            <w:vAlign w:val="center"/>
            <w:hideMark/>
          </w:tcPr>
          <w:p w14:paraId="0600F1D0" w14:textId="77777777" w:rsidR="00176380" w:rsidRDefault="00176380" w:rsidP="00C36001">
            <w:pPr>
              <w:jc w:val="center"/>
              <w:rPr>
                <w:sz w:val="16"/>
                <w:szCs w:val="16"/>
              </w:rPr>
            </w:pPr>
            <w:r>
              <w:rPr>
                <w:sz w:val="16"/>
                <w:szCs w:val="16"/>
              </w:rPr>
              <w:t>2017</w:t>
            </w:r>
          </w:p>
        </w:tc>
        <w:tc>
          <w:tcPr>
            <w:tcW w:w="538" w:type="dxa"/>
            <w:tcBorders>
              <w:top w:val="single" w:sz="4" w:space="0" w:color="auto"/>
              <w:left w:val="nil"/>
              <w:bottom w:val="single" w:sz="8" w:space="0" w:color="auto"/>
              <w:right w:val="nil"/>
            </w:tcBorders>
            <w:shd w:val="clear" w:color="auto" w:fill="auto"/>
            <w:vAlign w:val="center"/>
            <w:hideMark/>
          </w:tcPr>
          <w:p w14:paraId="6D497986" w14:textId="77777777" w:rsidR="00176380" w:rsidRDefault="00176380" w:rsidP="00C36001">
            <w:pPr>
              <w:jc w:val="center"/>
              <w:rPr>
                <w:sz w:val="16"/>
                <w:szCs w:val="16"/>
              </w:rPr>
            </w:pPr>
            <w:r>
              <w:rPr>
                <w:sz w:val="16"/>
                <w:szCs w:val="16"/>
              </w:rPr>
              <w:t>2018</w:t>
            </w:r>
          </w:p>
        </w:tc>
        <w:tc>
          <w:tcPr>
            <w:tcW w:w="536" w:type="dxa"/>
            <w:tcBorders>
              <w:top w:val="single" w:sz="4" w:space="0" w:color="auto"/>
              <w:left w:val="nil"/>
              <w:bottom w:val="single" w:sz="8" w:space="0" w:color="auto"/>
              <w:right w:val="nil"/>
            </w:tcBorders>
            <w:shd w:val="clear" w:color="auto" w:fill="auto"/>
            <w:vAlign w:val="center"/>
            <w:hideMark/>
          </w:tcPr>
          <w:p w14:paraId="36C7F607" w14:textId="77777777" w:rsidR="00176380" w:rsidRDefault="00176380" w:rsidP="00C36001">
            <w:pPr>
              <w:jc w:val="center"/>
              <w:rPr>
                <w:sz w:val="16"/>
                <w:szCs w:val="16"/>
              </w:rPr>
            </w:pPr>
            <w:r>
              <w:rPr>
                <w:sz w:val="16"/>
                <w:szCs w:val="16"/>
              </w:rPr>
              <w:t>2019</w:t>
            </w:r>
          </w:p>
        </w:tc>
        <w:tc>
          <w:tcPr>
            <w:tcW w:w="542" w:type="dxa"/>
            <w:tcBorders>
              <w:top w:val="single" w:sz="4" w:space="0" w:color="auto"/>
              <w:left w:val="nil"/>
              <w:bottom w:val="single" w:sz="8" w:space="0" w:color="auto"/>
              <w:right w:val="nil"/>
            </w:tcBorders>
            <w:shd w:val="clear" w:color="auto" w:fill="auto"/>
            <w:noWrap/>
            <w:vAlign w:val="center"/>
            <w:hideMark/>
          </w:tcPr>
          <w:p w14:paraId="30363732" w14:textId="0FB9890C" w:rsidR="00176380" w:rsidRDefault="00176380" w:rsidP="00C36001">
            <w:pPr>
              <w:jc w:val="center"/>
              <w:rPr>
                <w:sz w:val="16"/>
                <w:szCs w:val="16"/>
              </w:rPr>
            </w:pPr>
            <w:r>
              <w:rPr>
                <w:sz w:val="16"/>
                <w:szCs w:val="16"/>
              </w:rPr>
              <w:t>Avg</w:t>
            </w:r>
            <w:r w:rsidRPr="00C36001">
              <w:rPr>
                <w:sz w:val="16"/>
                <w:szCs w:val="16"/>
                <w:vertAlign w:val="superscript"/>
              </w:rPr>
              <w:t>1</w:t>
            </w:r>
          </w:p>
        </w:tc>
        <w:tc>
          <w:tcPr>
            <w:tcW w:w="533" w:type="dxa"/>
            <w:tcBorders>
              <w:top w:val="single" w:sz="4" w:space="0" w:color="auto"/>
              <w:left w:val="nil"/>
              <w:bottom w:val="single" w:sz="8" w:space="0" w:color="auto"/>
              <w:right w:val="nil"/>
            </w:tcBorders>
            <w:shd w:val="clear" w:color="auto" w:fill="auto"/>
            <w:noWrap/>
            <w:vAlign w:val="center"/>
            <w:hideMark/>
          </w:tcPr>
          <w:p w14:paraId="2AF04C09" w14:textId="5BCB382C" w:rsidR="00176380" w:rsidRDefault="00176380" w:rsidP="00C36001">
            <w:pPr>
              <w:jc w:val="center"/>
              <w:rPr>
                <w:sz w:val="16"/>
                <w:szCs w:val="16"/>
              </w:rPr>
            </w:pPr>
            <w:r>
              <w:rPr>
                <w:sz w:val="16"/>
                <w:szCs w:val="16"/>
              </w:rPr>
              <w:t>Min</w:t>
            </w:r>
            <w:r w:rsidRPr="005B57D8">
              <w:rPr>
                <w:sz w:val="16"/>
                <w:szCs w:val="16"/>
                <w:vertAlign w:val="superscript"/>
              </w:rPr>
              <w:t>1</w:t>
            </w:r>
          </w:p>
        </w:tc>
        <w:tc>
          <w:tcPr>
            <w:tcW w:w="576" w:type="dxa"/>
            <w:tcBorders>
              <w:top w:val="single" w:sz="4" w:space="0" w:color="auto"/>
              <w:left w:val="nil"/>
              <w:bottom w:val="single" w:sz="8" w:space="0" w:color="auto"/>
              <w:right w:val="nil"/>
            </w:tcBorders>
            <w:shd w:val="clear" w:color="auto" w:fill="auto"/>
            <w:noWrap/>
            <w:vAlign w:val="center"/>
            <w:hideMark/>
          </w:tcPr>
          <w:p w14:paraId="5FA1CB10" w14:textId="014D46E2" w:rsidR="00176380" w:rsidRDefault="00176380" w:rsidP="00C36001">
            <w:pPr>
              <w:jc w:val="center"/>
              <w:rPr>
                <w:sz w:val="16"/>
                <w:szCs w:val="16"/>
              </w:rPr>
            </w:pPr>
            <w:r>
              <w:rPr>
                <w:sz w:val="16"/>
                <w:szCs w:val="16"/>
              </w:rPr>
              <w:t>Max</w:t>
            </w:r>
            <w:r w:rsidRPr="005B57D8">
              <w:rPr>
                <w:sz w:val="16"/>
                <w:szCs w:val="16"/>
                <w:vertAlign w:val="superscript"/>
              </w:rPr>
              <w:t>1</w:t>
            </w:r>
          </w:p>
        </w:tc>
      </w:tr>
      <w:tr w:rsidR="00176380" w14:paraId="470B0D06" w14:textId="77777777" w:rsidTr="00C36001">
        <w:trPr>
          <w:trHeight w:val="250"/>
        </w:trPr>
        <w:tc>
          <w:tcPr>
            <w:tcW w:w="1200" w:type="dxa"/>
            <w:tcBorders>
              <w:top w:val="nil"/>
              <w:left w:val="nil"/>
              <w:bottom w:val="nil"/>
              <w:right w:val="nil"/>
            </w:tcBorders>
            <w:shd w:val="clear" w:color="auto" w:fill="auto"/>
            <w:noWrap/>
            <w:vAlign w:val="center"/>
            <w:hideMark/>
          </w:tcPr>
          <w:p w14:paraId="30D17FC3" w14:textId="77777777" w:rsidR="00176380" w:rsidRDefault="00176380">
            <w:pPr>
              <w:rPr>
                <w:b/>
                <w:bCs/>
                <w:sz w:val="16"/>
                <w:szCs w:val="16"/>
              </w:rPr>
            </w:pPr>
            <w:r>
              <w:rPr>
                <w:b/>
                <w:bCs/>
                <w:sz w:val="16"/>
                <w:szCs w:val="16"/>
              </w:rPr>
              <w:t>Canada</w:t>
            </w:r>
            <w:r>
              <w:rPr>
                <w:b/>
                <w:bCs/>
                <w:sz w:val="16"/>
                <w:szCs w:val="16"/>
                <w:vertAlign w:val="superscript"/>
              </w:rPr>
              <w:t>2</w:t>
            </w:r>
          </w:p>
        </w:tc>
        <w:tc>
          <w:tcPr>
            <w:tcW w:w="780" w:type="dxa"/>
            <w:tcBorders>
              <w:top w:val="nil"/>
              <w:left w:val="nil"/>
              <w:bottom w:val="nil"/>
              <w:right w:val="nil"/>
            </w:tcBorders>
            <w:shd w:val="clear" w:color="auto" w:fill="auto"/>
            <w:vAlign w:val="center"/>
            <w:hideMark/>
          </w:tcPr>
          <w:p w14:paraId="701F3C32" w14:textId="77777777" w:rsidR="00176380" w:rsidRDefault="00176380">
            <w:pPr>
              <w:rPr>
                <w:b/>
                <w:bCs/>
                <w:sz w:val="16"/>
                <w:szCs w:val="16"/>
              </w:rPr>
            </w:pPr>
            <w:r>
              <w:rPr>
                <w:b/>
                <w:bCs/>
                <w:sz w:val="16"/>
                <w:szCs w:val="16"/>
              </w:rPr>
              <w:t>Quota</w:t>
            </w:r>
          </w:p>
        </w:tc>
        <w:tc>
          <w:tcPr>
            <w:tcW w:w="540" w:type="dxa"/>
            <w:tcBorders>
              <w:top w:val="nil"/>
              <w:left w:val="nil"/>
              <w:bottom w:val="nil"/>
              <w:right w:val="nil"/>
            </w:tcBorders>
            <w:shd w:val="clear" w:color="auto" w:fill="auto"/>
            <w:vAlign w:val="center"/>
            <w:hideMark/>
          </w:tcPr>
          <w:p w14:paraId="79553AA1" w14:textId="77777777" w:rsidR="00176380" w:rsidRDefault="00176380">
            <w:pPr>
              <w:jc w:val="center"/>
              <w:rPr>
                <w:sz w:val="16"/>
                <w:szCs w:val="16"/>
              </w:rPr>
            </w:pPr>
            <w:r>
              <w:rPr>
                <w:sz w:val="16"/>
                <w:szCs w:val="16"/>
              </w:rPr>
              <w:t>15</w:t>
            </w:r>
          </w:p>
        </w:tc>
        <w:tc>
          <w:tcPr>
            <w:tcW w:w="540" w:type="dxa"/>
            <w:tcBorders>
              <w:top w:val="nil"/>
              <w:left w:val="nil"/>
              <w:bottom w:val="nil"/>
              <w:right w:val="nil"/>
            </w:tcBorders>
            <w:shd w:val="clear" w:color="auto" w:fill="auto"/>
            <w:vAlign w:val="center"/>
            <w:hideMark/>
          </w:tcPr>
          <w:p w14:paraId="55B7250D" w14:textId="77777777" w:rsidR="00176380" w:rsidRDefault="00176380">
            <w:pPr>
              <w:jc w:val="center"/>
              <w:rPr>
                <w:sz w:val="16"/>
                <w:szCs w:val="16"/>
              </w:rPr>
            </w:pPr>
            <w:r>
              <w:rPr>
                <w:sz w:val="16"/>
                <w:szCs w:val="16"/>
              </w:rPr>
              <w:t>18.9</w:t>
            </w:r>
          </w:p>
        </w:tc>
        <w:tc>
          <w:tcPr>
            <w:tcW w:w="540" w:type="dxa"/>
            <w:tcBorders>
              <w:top w:val="nil"/>
              <w:left w:val="nil"/>
              <w:bottom w:val="nil"/>
              <w:right w:val="nil"/>
            </w:tcBorders>
            <w:shd w:val="clear" w:color="auto" w:fill="auto"/>
            <w:vAlign w:val="center"/>
            <w:hideMark/>
          </w:tcPr>
          <w:p w14:paraId="6E155995" w14:textId="77777777" w:rsidR="00176380" w:rsidRDefault="00176380">
            <w:pPr>
              <w:jc w:val="center"/>
              <w:rPr>
                <w:sz w:val="16"/>
                <w:szCs w:val="16"/>
              </w:rPr>
            </w:pPr>
            <w:r>
              <w:rPr>
                <w:sz w:val="16"/>
                <w:szCs w:val="16"/>
              </w:rPr>
              <w:t>17.6</w:t>
            </w:r>
          </w:p>
        </w:tc>
        <w:tc>
          <w:tcPr>
            <w:tcW w:w="540" w:type="dxa"/>
            <w:tcBorders>
              <w:top w:val="nil"/>
              <w:left w:val="nil"/>
              <w:bottom w:val="nil"/>
              <w:right w:val="nil"/>
            </w:tcBorders>
            <w:shd w:val="clear" w:color="auto" w:fill="auto"/>
            <w:vAlign w:val="center"/>
            <w:hideMark/>
          </w:tcPr>
          <w:p w14:paraId="441A9E9E" w14:textId="77777777" w:rsidR="00176380" w:rsidRDefault="00176380">
            <w:pPr>
              <w:jc w:val="center"/>
              <w:rPr>
                <w:sz w:val="16"/>
                <w:szCs w:val="16"/>
              </w:rPr>
            </w:pPr>
            <w:r>
              <w:rPr>
                <w:sz w:val="16"/>
                <w:szCs w:val="16"/>
              </w:rPr>
              <w:t>12.5</w:t>
            </w:r>
          </w:p>
        </w:tc>
        <w:tc>
          <w:tcPr>
            <w:tcW w:w="536" w:type="dxa"/>
            <w:tcBorders>
              <w:top w:val="nil"/>
              <w:left w:val="nil"/>
              <w:bottom w:val="nil"/>
              <w:right w:val="nil"/>
            </w:tcBorders>
            <w:shd w:val="clear" w:color="auto" w:fill="auto"/>
            <w:noWrap/>
            <w:vAlign w:val="center"/>
            <w:hideMark/>
          </w:tcPr>
          <w:p w14:paraId="4C43E60B" w14:textId="77777777" w:rsidR="00176380" w:rsidRDefault="00176380">
            <w:pPr>
              <w:jc w:val="center"/>
              <w:rPr>
                <w:sz w:val="16"/>
                <w:szCs w:val="16"/>
              </w:rPr>
            </w:pPr>
            <w:r>
              <w:rPr>
                <w:sz w:val="16"/>
                <w:szCs w:val="16"/>
              </w:rPr>
              <w:t>9.1</w:t>
            </w:r>
          </w:p>
        </w:tc>
        <w:tc>
          <w:tcPr>
            <w:tcW w:w="536" w:type="dxa"/>
            <w:tcBorders>
              <w:top w:val="nil"/>
              <w:left w:val="nil"/>
              <w:bottom w:val="nil"/>
              <w:right w:val="nil"/>
            </w:tcBorders>
            <w:shd w:val="clear" w:color="auto" w:fill="auto"/>
            <w:noWrap/>
            <w:vAlign w:val="center"/>
            <w:hideMark/>
          </w:tcPr>
          <w:p w14:paraId="63DD1B3F" w14:textId="77777777" w:rsidR="00176380" w:rsidRDefault="00176380">
            <w:pPr>
              <w:jc w:val="center"/>
              <w:rPr>
                <w:sz w:val="16"/>
                <w:szCs w:val="16"/>
              </w:rPr>
            </w:pPr>
            <w:r>
              <w:rPr>
                <w:sz w:val="16"/>
                <w:szCs w:val="16"/>
              </w:rPr>
              <w:t>6.4</w:t>
            </w:r>
          </w:p>
        </w:tc>
        <w:tc>
          <w:tcPr>
            <w:tcW w:w="548" w:type="dxa"/>
            <w:tcBorders>
              <w:top w:val="nil"/>
              <w:left w:val="nil"/>
              <w:bottom w:val="nil"/>
              <w:right w:val="nil"/>
            </w:tcBorders>
            <w:shd w:val="clear" w:color="auto" w:fill="auto"/>
            <w:vAlign w:val="center"/>
            <w:hideMark/>
          </w:tcPr>
          <w:p w14:paraId="346B2544" w14:textId="77777777" w:rsidR="00176380" w:rsidRDefault="00176380">
            <w:pPr>
              <w:jc w:val="center"/>
              <w:rPr>
                <w:sz w:val="16"/>
                <w:szCs w:val="16"/>
              </w:rPr>
            </w:pPr>
            <w:r>
              <w:rPr>
                <w:sz w:val="16"/>
                <w:szCs w:val="16"/>
              </w:rPr>
              <w:t>16.5</w:t>
            </w:r>
          </w:p>
        </w:tc>
        <w:tc>
          <w:tcPr>
            <w:tcW w:w="576" w:type="dxa"/>
            <w:tcBorders>
              <w:top w:val="nil"/>
              <w:left w:val="nil"/>
              <w:bottom w:val="nil"/>
              <w:right w:val="nil"/>
            </w:tcBorders>
            <w:shd w:val="clear" w:color="auto" w:fill="auto"/>
            <w:vAlign w:val="center"/>
            <w:hideMark/>
          </w:tcPr>
          <w:p w14:paraId="0D817254" w14:textId="77777777" w:rsidR="00176380" w:rsidRDefault="00176380">
            <w:pPr>
              <w:jc w:val="center"/>
              <w:rPr>
                <w:sz w:val="16"/>
                <w:szCs w:val="16"/>
              </w:rPr>
            </w:pPr>
            <w:r>
              <w:rPr>
                <w:sz w:val="16"/>
                <w:szCs w:val="16"/>
              </w:rPr>
              <w:t>19.2</w:t>
            </w:r>
          </w:p>
        </w:tc>
        <w:tc>
          <w:tcPr>
            <w:tcW w:w="576" w:type="dxa"/>
            <w:tcBorders>
              <w:top w:val="nil"/>
              <w:left w:val="nil"/>
              <w:bottom w:val="nil"/>
              <w:right w:val="nil"/>
            </w:tcBorders>
            <w:shd w:val="clear" w:color="auto" w:fill="auto"/>
            <w:vAlign w:val="center"/>
            <w:hideMark/>
          </w:tcPr>
          <w:p w14:paraId="3A0BC513" w14:textId="77777777" w:rsidR="00176380" w:rsidRDefault="00176380">
            <w:pPr>
              <w:jc w:val="center"/>
              <w:rPr>
                <w:sz w:val="16"/>
                <w:szCs w:val="16"/>
              </w:rPr>
            </w:pPr>
            <w:r>
              <w:rPr>
                <w:sz w:val="16"/>
                <w:szCs w:val="16"/>
              </w:rPr>
              <w:t>21.8</w:t>
            </w:r>
          </w:p>
        </w:tc>
        <w:tc>
          <w:tcPr>
            <w:tcW w:w="576" w:type="dxa"/>
            <w:tcBorders>
              <w:top w:val="nil"/>
              <w:left w:val="nil"/>
              <w:bottom w:val="nil"/>
              <w:right w:val="nil"/>
            </w:tcBorders>
            <w:shd w:val="clear" w:color="auto" w:fill="auto"/>
            <w:vAlign w:val="center"/>
            <w:hideMark/>
          </w:tcPr>
          <w:p w14:paraId="70944B75" w14:textId="77777777" w:rsidR="00176380" w:rsidRDefault="00176380">
            <w:pPr>
              <w:jc w:val="center"/>
              <w:rPr>
                <w:sz w:val="16"/>
                <w:szCs w:val="16"/>
              </w:rPr>
            </w:pPr>
            <w:r>
              <w:rPr>
                <w:sz w:val="16"/>
                <w:szCs w:val="16"/>
              </w:rPr>
              <w:t>20.5</w:t>
            </w:r>
          </w:p>
        </w:tc>
        <w:tc>
          <w:tcPr>
            <w:tcW w:w="538" w:type="dxa"/>
            <w:tcBorders>
              <w:top w:val="nil"/>
              <w:left w:val="nil"/>
              <w:bottom w:val="nil"/>
              <w:right w:val="nil"/>
            </w:tcBorders>
            <w:shd w:val="clear" w:color="auto" w:fill="auto"/>
            <w:vAlign w:val="center"/>
            <w:hideMark/>
          </w:tcPr>
          <w:p w14:paraId="041FB461" w14:textId="77777777" w:rsidR="00176380" w:rsidRDefault="00176380">
            <w:pPr>
              <w:jc w:val="center"/>
              <w:rPr>
                <w:sz w:val="16"/>
                <w:szCs w:val="16"/>
              </w:rPr>
            </w:pPr>
            <w:r>
              <w:rPr>
                <w:sz w:val="16"/>
                <w:szCs w:val="16"/>
              </w:rPr>
              <w:t>24.0</w:t>
            </w:r>
          </w:p>
        </w:tc>
        <w:tc>
          <w:tcPr>
            <w:tcW w:w="536" w:type="dxa"/>
            <w:tcBorders>
              <w:top w:val="nil"/>
              <w:left w:val="nil"/>
              <w:bottom w:val="nil"/>
              <w:right w:val="nil"/>
            </w:tcBorders>
            <w:shd w:val="clear" w:color="auto" w:fill="auto"/>
            <w:vAlign w:val="center"/>
            <w:hideMark/>
          </w:tcPr>
          <w:p w14:paraId="4F579DDE"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6F502310" w14:textId="77777777" w:rsidR="00176380" w:rsidRDefault="00176380">
            <w:pPr>
              <w:jc w:val="center"/>
              <w:rPr>
                <w:sz w:val="20"/>
                <w:szCs w:val="20"/>
              </w:rPr>
            </w:pPr>
          </w:p>
        </w:tc>
        <w:tc>
          <w:tcPr>
            <w:tcW w:w="533" w:type="dxa"/>
            <w:tcBorders>
              <w:top w:val="nil"/>
              <w:left w:val="nil"/>
              <w:bottom w:val="nil"/>
              <w:right w:val="nil"/>
            </w:tcBorders>
            <w:shd w:val="clear" w:color="auto" w:fill="auto"/>
            <w:noWrap/>
            <w:vAlign w:val="bottom"/>
            <w:hideMark/>
          </w:tcPr>
          <w:p w14:paraId="705E1FB6" w14:textId="77777777" w:rsidR="00176380" w:rsidRDefault="00176380">
            <w:pPr>
              <w:rPr>
                <w:sz w:val="20"/>
                <w:szCs w:val="20"/>
              </w:rPr>
            </w:pPr>
          </w:p>
        </w:tc>
        <w:tc>
          <w:tcPr>
            <w:tcW w:w="576" w:type="dxa"/>
            <w:tcBorders>
              <w:top w:val="nil"/>
              <w:left w:val="nil"/>
              <w:bottom w:val="nil"/>
              <w:right w:val="nil"/>
            </w:tcBorders>
            <w:shd w:val="clear" w:color="auto" w:fill="auto"/>
            <w:noWrap/>
            <w:vAlign w:val="bottom"/>
            <w:hideMark/>
          </w:tcPr>
          <w:p w14:paraId="65F36F8B" w14:textId="77777777" w:rsidR="00176380" w:rsidRDefault="00176380">
            <w:pPr>
              <w:rPr>
                <w:sz w:val="20"/>
                <w:szCs w:val="20"/>
              </w:rPr>
            </w:pPr>
          </w:p>
        </w:tc>
      </w:tr>
      <w:tr w:rsidR="00176380" w14:paraId="5E1240BD" w14:textId="77777777" w:rsidTr="00C36001">
        <w:trPr>
          <w:trHeight w:val="250"/>
        </w:trPr>
        <w:tc>
          <w:tcPr>
            <w:tcW w:w="1200" w:type="dxa"/>
            <w:tcBorders>
              <w:top w:val="nil"/>
              <w:left w:val="nil"/>
              <w:bottom w:val="nil"/>
              <w:right w:val="nil"/>
            </w:tcBorders>
            <w:shd w:val="clear" w:color="auto" w:fill="auto"/>
            <w:noWrap/>
            <w:vAlign w:val="center"/>
            <w:hideMark/>
          </w:tcPr>
          <w:p w14:paraId="0DFF7DBE" w14:textId="77777777" w:rsidR="00176380" w:rsidRDefault="00176380">
            <w:pPr>
              <w:rPr>
                <w:sz w:val="20"/>
                <w:szCs w:val="20"/>
              </w:rPr>
            </w:pPr>
          </w:p>
        </w:tc>
        <w:tc>
          <w:tcPr>
            <w:tcW w:w="780" w:type="dxa"/>
            <w:tcBorders>
              <w:top w:val="nil"/>
              <w:left w:val="nil"/>
              <w:bottom w:val="nil"/>
              <w:right w:val="nil"/>
            </w:tcBorders>
            <w:shd w:val="clear" w:color="auto" w:fill="auto"/>
            <w:vAlign w:val="center"/>
            <w:hideMark/>
          </w:tcPr>
          <w:p w14:paraId="1D879E58" w14:textId="77777777" w:rsidR="00176380" w:rsidRDefault="00176380">
            <w:pPr>
              <w:rPr>
                <w:b/>
                <w:bCs/>
                <w:sz w:val="16"/>
                <w:szCs w:val="16"/>
              </w:rPr>
            </w:pPr>
            <w:r>
              <w:rPr>
                <w:b/>
                <w:bCs/>
                <w:sz w:val="16"/>
                <w:szCs w:val="16"/>
              </w:rPr>
              <w:t>Landed</w:t>
            </w:r>
          </w:p>
        </w:tc>
        <w:tc>
          <w:tcPr>
            <w:tcW w:w="540" w:type="dxa"/>
            <w:tcBorders>
              <w:top w:val="nil"/>
              <w:left w:val="nil"/>
              <w:bottom w:val="nil"/>
              <w:right w:val="nil"/>
            </w:tcBorders>
            <w:shd w:val="clear" w:color="auto" w:fill="auto"/>
            <w:vAlign w:val="center"/>
            <w:hideMark/>
          </w:tcPr>
          <w:p w14:paraId="76D251E9" w14:textId="77777777" w:rsidR="00176380" w:rsidRDefault="00176380">
            <w:pPr>
              <w:jc w:val="center"/>
              <w:rPr>
                <w:sz w:val="16"/>
                <w:szCs w:val="16"/>
              </w:rPr>
            </w:pPr>
            <w:r>
              <w:rPr>
                <w:sz w:val="16"/>
                <w:szCs w:val="16"/>
              </w:rPr>
              <w:t>14.8</w:t>
            </w:r>
          </w:p>
        </w:tc>
        <w:tc>
          <w:tcPr>
            <w:tcW w:w="540" w:type="dxa"/>
            <w:tcBorders>
              <w:top w:val="nil"/>
              <w:left w:val="nil"/>
              <w:bottom w:val="nil"/>
              <w:right w:val="nil"/>
            </w:tcBorders>
            <w:shd w:val="clear" w:color="auto" w:fill="auto"/>
            <w:vAlign w:val="center"/>
            <w:hideMark/>
          </w:tcPr>
          <w:p w14:paraId="7D9D3D78" w14:textId="77777777" w:rsidR="00176380" w:rsidRDefault="00176380">
            <w:pPr>
              <w:jc w:val="center"/>
              <w:rPr>
                <w:sz w:val="16"/>
                <w:szCs w:val="16"/>
              </w:rPr>
            </w:pPr>
            <w:r>
              <w:rPr>
                <w:sz w:val="16"/>
                <w:szCs w:val="16"/>
              </w:rPr>
              <w:t>17.6</w:t>
            </w:r>
          </w:p>
        </w:tc>
        <w:tc>
          <w:tcPr>
            <w:tcW w:w="540" w:type="dxa"/>
            <w:tcBorders>
              <w:top w:val="nil"/>
              <w:left w:val="nil"/>
              <w:bottom w:val="nil"/>
              <w:right w:val="nil"/>
            </w:tcBorders>
            <w:shd w:val="clear" w:color="auto" w:fill="auto"/>
            <w:vAlign w:val="center"/>
            <w:hideMark/>
          </w:tcPr>
          <w:p w14:paraId="144C1F1B" w14:textId="77777777" w:rsidR="00176380" w:rsidRDefault="00176380">
            <w:pPr>
              <w:jc w:val="center"/>
              <w:rPr>
                <w:sz w:val="16"/>
                <w:szCs w:val="16"/>
              </w:rPr>
            </w:pPr>
            <w:r>
              <w:rPr>
                <w:sz w:val="16"/>
                <w:szCs w:val="16"/>
              </w:rPr>
              <w:t>16.6</w:t>
            </w:r>
          </w:p>
        </w:tc>
        <w:tc>
          <w:tcPr>
            <w:tcW w:w="540" w:type="dxa"/>
            <w:tcBorders>
              <w:top w:val="nil"/>
              <w:left w:val="nil"/>
              <w:bottom w:val="nil"/>
              <w:right w:val="nil"/>
            </w:tcBorders>
            <w:shd w:val="clear" w:color="auto" w:fill="auto"/>
            <w:vAlign w:val="center"/>
            <w:hideMark/>
          </w:tcPr>
          <w:p w14:paraId="475201AF" w14:textId="77777777" w:rsidR="00176380" w:rsidRDefault="00176380">
            <w:pPr>
              <w:jc w:val="center"/>
              <w:rPr>
                <w:sz w:val="16"/>
                <w:szCs w:val="16"/>
              </w:rPr>
            </w:pPr>
            <w:r>
              <w:rPr>
                <w:sz w:val="16"/>
                <w:szCs w:val="16"/>
              </w:rPr>
              <w:t>11.2</w:t>
            </w:r>
          </w:p>
        </w:tc>
        <w:tc>
          <w:tcPr>
            <w:tcW w:w="536" w:type="dxa"/>
            <w:tcBorders>
              <w:top w:val="nil"/>
              <w:left w:val="nil"/>
              <w:bottom w:val="nil"/>
              <w:right w:val="nil"/>
            </w:tcBorders>
            <w:shd w:val="clear" w:color="auto" w:fill="auto"/>
            <w:noWrap/>
            <w:vAlign w:val="center"/>
            <w:hideMark/>
          </w:tcPr>
          <w:p w14:paraId="30177D3A" w14:textId="77777777" w:rsidR="00176380" w:rsidRDefault="00176380">
            <w:pPr>
              <w:jc w:val="center"/>
              <w:rPr>
                <w:sz w:val="16"/>
                <w:szCs w:val="16"/>
              </w:rPr>
            </w:pPr>
            <w:r>
              <w:rPr>
                <w:sz w:val="16"/>
                <w:szCs w:val="16"/>
              </w:rPr>
              <w:t>5</w:t>
            </w:r>
          </w:p>
        </w:tc>
        <w:tc>
          <w:tcPr>
            <w:tcW w:w="536" w:type="dxa"/>
            <w:tcBorders>
              <w:top w:val="nil"/>
              <w:left w:val="nil"/>
              <w:bottom w:val="nil"/>
              <w:right w:val="nil"/>
            </w:tcBorders>
            <w:shd w:val="clear" w:color="auto" w:fill="auto"/>
            <w:noWrap/>
            <w:vAlign w:val="center"/>
            <w:hideMark/>
          </w:tcPr>
          <w:p w14:paraId="102BEE11" w14:textId="77777777" w:rsidR="00176380" w:rsidRDefault="00176380">
            <w:pPr>
              <w:jc w:val="center"/>
              <w:rPr>
                <w:sz w:val="16"/>
                <w:szCs w:val="16"/>
              </w:rPr>
            </w:pPr>
            <w:r>
              <w:rPr>
                <w:sz w:val="16"/>
                <w:szCs w:val="16"/>
              </w:rPr>
              <w:t>4.6</w:t>
            </w:r>
          </w:p>
        </w:tc>
        <w:tc>
          <w:tcPr>
            <w:tcW w:w="548" w:type="dxa"/>
            <w:tcBorders>
              <w:top w:val="nil"/>
              <w:left w:val="nil"/>
              <w:bottom w:val="nil"/>
              <w:right w:val="nil"/>
            </w:tcBorders>
            <w:shd w:val="clear" w:color="auto" w:fill="auto"/>
            <w:vAlign w:val="center"/>
            <w:hideMark/>
          </w:tcPr>
          <w:p w14:paraId="0058CD68" w14:textId="77777777" w:rsidR="00176380" w:rsidRDefault="00176380">
            <w:pPr>
              <w:jc w:val="center"/>
              <w:rPr>
                <w:sz w:val="16"/>
                <w:szCs w:val="16"/>
              </w:rPr>
            </w:pPr>
            <w:r>
              <w:rPr>
                <w:sz w:val="16"/>
                <w:szCs w:val="16"/>
              </w:rPr>
              <w:t>13</w:t>
            </w:r>
          </w:p>
        </w:tc>
        <w:tc>
          <w:tcPr>
            <w:tcW w:w="576" w:type="dxa"/>
            <w:tcBorders>
              <w:top w:val="nil"/>
              <w:left w:val="nil"/>
              <w:bottom w:val="nil"/>
              <w:right w:val="nil"/>
            </w:tcBorders>
            <w:shd w:val="clear" w:color="auto" w:fill="auto"/>
            <w:vAlign w:val="center"/>
            <w:hideMark/>
          </w:tcPr>
          <w:p w14:paraId="69CCD057" w14:textId="77777777" w:rsidR="00176380" w:rsidRDefault="00176380">
            <w:pPr>
              <w:jc w:val="center"/>
              <w:rPr>
                <w:sz w:val="16"/>
                <w:szCs w:val="16"/>
              </w:rPr>
            </w:pPr>
            <w:r>
              <w:rPr>
                <w:sz w:val="16"/>
                <w:szCs w:val="16"/>
              </w:rPr>
              <w:t>14.6</w:t>
            </w:r>
          </w:p>
        </w:tc>
        <w:tc>
          <w:tcPr>
            <w:tcW w:w="576" w:type="dxa"/>
            <w:tcBorders>
              <w:top w:val="nil"/>
              <w:left w:val="nil"/>
              <w:bottom w:val="nil"/>
              <w:right w:val="nil"/>
            </w:tcBorders>
            <w:shd w:val="clear" w:color="auto" w:fill="auto"/>
            <w:vAlign w:val="center"/>
            <w:hideMark/>
          </w:tcPr>
          <w:p w14:paraId="71619755" w14:textId="77777777" w:rsidR="00176380" w:rsidRDefault="00176380">
            <w:pPr>
              <w:jc w:val="center"/>
              <w:rPr>
                <w:sz w:val="16"/>
                <w:szCs w:val="16"/>
              </w:rPr>
            </w:pPr>
            <w:r>
              <w:rPr>
                <w:sz w:val="16"/>
                <w:szCs w:val="16"/>
              </w:rPr>
              <w:t>11.9</w:t>
            </w:r>
          </w:p>
        </w:tc>
        <w:tc>
          <w:tcPr>
            <w:tcW w:w="576" w:type="dxa"/>
            <w:tcBorders>
              <w:top w:val="nil"/>
              <w:left w:val="nil"/>
              <w:bottom w:val="nil"/>
              <w:right w:val="nil"/>
            </w:tcBorders>
            <w:shd w:val="clear" w:color="auto" w:fill="auto"/>
            <w:vAlign w:val="center"/>
            <w:hideMark/>
          </w:tcPr>
          <w:p w14:paraId="47F79E86" w14:textId="77777777" w:rsidR="00176380" w:rsidRDefault="00176380">
            <w:pPr>
              <w:jc w:val="center"/>
              <w:rPr>
                <w:sz w:val="16"/>
                <w:szCs w:val="16"/>
              </w:rPr>
            </w:pPr>
            <w:r>
              <w:rPr>
                <w:sz w:val="16"/>
                <w:szCs w:val="16"/>
              </w:rPr>
              <w:t>13.4</w:t>
            </w:r>
          </w:p>
        </w:tc>
        <w:tc>
          <w:tcPr>
            <w:tcW w:w="538" w:type="dxa"/>
            <w:tcBorders>
              <w:top w:val="nil"/>
              <w:left w:val="nil"/>
              <w:bottom w:val="nil"/>
              <w:right w:val="nil"/>
            </w:tcBorders>
            <w:shd w:val="clear" w:color="auto" w:fill="auto"/>
            <w:vAlign w:val="center"/>
            <w:hideMark/>
          </w:tcPr>
          <w:p w14:paraId="01896442" w14:textId="77777777" w:rsidR="00176380" w:rsidRDefault="00176380">
            <w:pPr>
              <w:jc w:val="center"/>
              <w:rPr>
                <w:sz w:val="16"/>
                <w:szCs w:val="16"/>
              </w:rPr>
            </w:pPr>
            <w:r>
              <w:rPr>
                <w:sz w:val="16"/>
                <w:szCs w:val="16"/>
              </w:rPr>
              <w:t>12.2</w:t>
            </w:r>
          </w:p>
        </w:tc>
        <w:tc>
          <w:tcPr>
            <w:tcW w:w="536" w:type="dxa"/>
            <w:tcBorders>
              <w:top w:val="nil"/>
              <w:left w:val="nil"/>
              <w:bottom w:val="nil"/>
              <w:right w:val="nil"/>
            </w:tcBorders>
            <w:shd w:val="clear" w:color="auto" w:fill="auto"/>
            <w:vAlign w:val="center"/>
            <w:hideMark/>
          </w:tcPr>
          <w:p w14:paraId="0ED7E8D5"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0C0BF758" w14:textId="77777777" w:rsidR="00176380" w:rsidRDefault="00176380">
            <w:pPr>
              <w:jc w:val="center"/>
              <w:rPr>
                <w:sz w:val="16"/>
                <w:szCs w:val="16"/>
              </w:rPr>
            </w:pPr>
            <w:r>
              <w:rPr>
                <w:sz w:val="16"/>
                <w:szCs w:val="16"/>
              </w:rPr>
              <w:t>6.4</w:t>
            </w:r>
          </w:p>
        </w:tc>
        <w:tc>
          <w:tcPr>
            <w:tcW w:w="533" w:type="dxa"/>
            <w:tcBorders>
              <w:top w:val="nil"/>
              <w:left w:val="nil"/>
              <w:bottom w:val="nil"/>
              <w:right w:val="nil"/>
            </w:tcBorders>
            <w:shd w:val="clear" w:color="auto" w:fill="auto"/>
            <w:noWrap/>
            <w:vAlign w:val="bottom"/>
            <w:hideMark/>
          </w:tcPr>
          <w:p w14:paraId="421CA048" w14:textId="77777777" w:rsidR="00176380" w:rsidRDefault="00176380">
            <w:pPr>
              <w:jc w:val="center"/>
              <w:rPr>
                <w:sz w:val="16"/>
                <w:szCs w:val="16"/>
              </w:rPr>
            </w:pPr>
            <w:r>
              <w:rPr>
                <w:sz w:val="16"/>
                <w:szCs w:val="16"/>
              </w:rPr>
              <w:t>0.5</w:t>
            </w:r>
          </w:p>
        </w:tc>
        <w:tc>
          <w:tcPr>
            <w:tcW w:w="576" w:type="dxa"/>
            <w:tcBorders>
              <w:top w:val="nil"/>
              <w:left w:val="nil"/>
              <w:bottom w:val="nil"/>
              <w:right w:val="nil"/>
            </w:tcBorders>
            <w:shd w:val="clear" w:color="auto" w:fill="auto"/>
            <w:noWrap/>
            <w:vAlign w:val="bottom"/>
            <w:hideMark/>
          </w:tcPr>
          <w:p w14:paraId="5F3DB9EA" w14:textId="77777777" w:rsidR="00176380" w:rsidRDefault="00176380">
            <w:pPr>
              <w:jc w:val="center"/>
              <w:rPr>
                <w:sz w:val="16"/>
                <w:szCs w:val="16"/>
              </w:rPr>
            </w:pPr>
            <w:r>
              <w:rPr>
                <w:sz w:val="16"/>
                <w:szCs w:val="16"/>
              </w:rPr>
              <w:t>17.6</w:t>
            </w:r>
          </w:p>
        </w:tc>
      </w:tr>
      <w:tr w:rsidR="00176380" w14:paraId="0BDF67C2" w14:textId="77777777" w:rsidTr="00C36001">
        <w:trPr>
          <w:trHeight w:val="250"/>
        </w:trPr>
        <w:tc>
          <w:tcPr>
            <w:tcW w:w="1200" w:type="dxa"/>
            <w:tcBorders>
              <w:top w:val="nil"/>
              <w:left w:val="nil"/>
              <w:bottom w:val="nil"/>
              <w:right w:val="nil"/>
            </w:tcBorders>
            <w:shd w:val="clear" w:color="auto" w:fill="auto"/>
            <w:noWrap/>
            <w:vAlign w:val="center"/>
            <w:hideMark/>
          </w:tcPr>
          <w:p w14:paraId="7D4A80BA" w14:textId="77777777" w:rsidR="00176380" w:rsidRDefault="00176380">
            <w:pPr>
              <w:jc w:val="center"/>
              <w:rPr>
                <w:sz w:val="16"/>
                <w:szCs w:val="16"/>
              </w:rPr>
            </w:pPr>
          </w:p>
        </w:tc>
        <w:tc>
          <w:tcPr>
            <w:tcW w:w="780" w:type="dxa"/>
            <w:tcBorders>
              <w:top w:val="nil"/>
              <w:left w:val="nil"/>
              <w:bottom w:val="nil"/>
              <w:right w:val="nil"/>
            </w:tcBorders>
            <w:shd w:val="clear" w:color="auto" w:fill="auto"/>
            <w:vAlign w:val="center"/>
            <w:hideMark/>
          </w:tcPr>
          <w:p w14:paraId="2E395941" w14:textId="77777777" w:rsidR="00176380" w:rsidRDefault="00176380">
            <w:pPr>
              <w:rPr>
                <w:b/>
                <w:bCs/>
                <w:sz w:val="16"/>
                <w:szCs w:val="16"/>
              </w:rPr>
            </w:pPr>
            <w:r>
              <w:rPr>
                <w:b/>
                <w:bCs/>
                <w:sz w:val="16"/>
                <w:szCs w:val="16"/>
              </w:rPr>
              <w:t>Discard</w:t>
            </w:r>
          </w:p>
        </w:tc>
        <w:tc>
          <w:tcPr>
            <w:tcW w:w="540" w:type="dxa"/>
            <w:tcBorders>
              <w:top w:val="nil"/>
              <w:left w:val="nil"/>
              <w:bottom w:val="nil"/>
              <w:right w:val="nil"/>
            </w:tcBorders>
            <w:shd w:val="clear" w:color="auto" w:fill="auto"/>
            <w:vAlign w:val="center"/>
            <w:hideMark/>
          </w:tcPr>
          <w:p w14:paraId="6921EBDA" w14:textId="77777777" w:rsidR="00176380" w:rsidRDefault="00176380">
            <w:pPr>
              <w:jc w:val="center"/>
              <w:rPr>
                <w:sz w:val="16"/>
                <w:szCs w:val="16"/>
              </w:rPr>
            </w:pPr>
            <w:r>
              <w:rPr>
                <w:sz w:val="16"/>
                <w:szCs w:val="16"/>
              </w:rPr>
              <w:t>&lt;0.1</w:t>
            </w:r>
          </w:p>
        </w:tc>
        <w:tc>
          <w:tcPr>
            <w:tcW w:w="540" w:type="dxa"/>
            <w:tcBorders>
              <w:top w:val="nil"/>
              <w:left w:val="nil"/>
              <w:bottom w:val="nil"/>
              <w:right w:val="nil"/>
            </w:tcBorders>
            <w:shd w:val="clear" w:color="auto" w:fill="auto"/>
            <w:vAlign w:val="center"/>
            <w:hideMark/>
          </w:tcPr>
          <w:p w14:paraId="5561F0D9" w14:textId="77777777" w:rsidR="00176380" w:rsidRDefault="00176380">
            <w:pPr>
              <w:jc w:val="center"/>
              <w:rPr>
                <w:sz w:val="16"/>
                <w:szCs w:val="16"/>
              </w:rPr>
            </w:pPr>
            <w:r>
              <w:rPr>
                <w:sz w:val="16"/>
                <w:szCs w:val="16"/>
              </w:rPr>
              <w:t>0.1</w:t>
            </w:r>
          </w:p>
        </w:tc>
        <w:tc>
          <w:tcPr>
            <w:tcW w:w="540" w:type="dxa"/>
            <w:tcBorders>
              <w:top w:val="nil"/>
              <w:left w:val="nil"/>
              <w:bottom w:val="nil"/>
              <w:right w:val="nil"/>
            </w:tcBorders>
            <w:shd w:val="clear" w:color="auto" w:fill="auto"/>
            <w:vAlign w:val="center"/>
            <w:hideMark/>
          </w:tcPr>
          <w:p w14:paraId="296188D4" w14:textId="77777777" w:rsidR="00176380" w:rsidRDefault="00176380">
            <w:pPr>
              <w:jc w:val="center"/>
              <w:rPr>
                <w:sz w:val="16"/>
                <w:szCs w:val="16"/>
              </w:rPr>
            </w:pPr>
            <w:r>
              <w:rPr>
                <w:sz w:val="16"/>
                <w:szCs w:val="16"/>
              </w:rPr>
              <w:t>&lt;0.1</w:t>
            </w:r>
          </w:p>
        </w:tc>
        <w:tc>
          <w:tcPr>
            <w:tcW w:w="540" w:type="dxa"/>
            <w:tcBorders>
              <w:top w:val="nil"/>
              <w:left w:val="nil"/>
              <w:bottom w:val="nil"/>
              <w:right w:val="nil"/>
            </w:tcBorders>
            <w:shd w:val="clear" w:color="auto" w:fill="auto"/>
            <w:vAlign w:val="center"/>
            <w:hideMark/>
          </w:tcPr>
          <w:p w14:paraId="1DCAF83F" w14:textId="77777777" w:rsidR="00176380" w:rsidRDefault="00176380">
            <w:pPr>
              <w:jc w:val="center"/>
              <w:rPr>
                <w:sz w:val="16"/>
                <w:szCs w:val="16"/>
              </w:rPr>
            </w:pPr>
            <w:r>
              <w:rPr>
                <w:sz w:val="16"/>
                <w:szCs w:val="16"/>
              </w:rPr>
              <w:t>&lt;0.1</w:t>
            </w:r>
          </w:p>
        </w:tc>
        <w:tc>
          <w:tcPr>
            <w:tcW w:w="536" w:type="dxa"/>
            <w:tcBorders>
              <w:top w:val="nil"/>
              <w:left w:val="nil"/>
              <w:bottom w:val="nil"/>
              <w:right w:val="nil"/>
            </w:tcBorders>
            <w:shd w:val="clear" w:color="auto" w:fill="auto"/>
            <w:noWrap/>
            <w:vAlign w:val="center"/>
            <w:hideMark/>
          </w:tcPr>
          <w:p w14:paraId="0EA24A74" w14:textId="77777777" w:rsidR="00176380" w:rsidRDefault="00176380">
            <w:pPr>
              <w:jc w:val="center"/>
              <w:rPr>
                <w:sz w:val="16"/>
                <w:szCs w:val="16"/>
              </w:rPr>
            </w:pPr>
            <w:r>
              <w:rPr>
                <w:sz w:val="16"/>
                <w:szCs w:val="16"/>
              </w:rPr>
              <w:t>&lt;0.1</w:t>
            </w:r>
          </w:p>
        </w:tc>
        <w:tc>
          <w:tcPr>
            <w:tcW w:w="536" w:type="dxa"/>
            <w:tcBorders>
              <w:top w:val="nil"/>
              <w:left w:val="nil"/>
              <w:bottom w:val="nil"/>
              <w:right w:val="nil"/>
            </w:tcBorders>
            <w:shd w:val="clear" w:color="auto" w:fill="auto"/>
            <w:noWrap/>
            <w:vAlign w:val="center"/>
            <w:hideMark/>
          </w:tcPr>
          <w:p w14:paraId="030EF526" w14:textId="77777777" w:rsidR="00176380" w:rsidRDefault="00176380">
            <w:pPr>
              <w:jc w:val="center"/>
              <w:rPr>
                <w:sz w:val="16"/>
                <w:szCs w:val="16"/>
              </w:rPr>
            </w:pPr>
            <w:r>
              <w:rPr>
                <w:sz w:val="16"/>
                <w:szCs w:val="16"/>
              </w:rPr>
              <w:t>&lt;0.1</w:t>
            </w:r>
          </w:p>
        </w:tc>
        <w:tc>
          <w:tcPr>
            <w:tcW w:w="548" w:type="dxa"/>
            <w:tcBorders>
              <w:top w:val="nil"/>
              <w:left w:val="nil"/>
              <w:bottom w:val="nil"/>
              <w:right w:val="nil"/>
            </w:tcBorders>
            <w:shd w:val="clear" w:color="auto" w:fill="auto"/>
            <w:vAlign w:val="center"/>
            <w:hideMark/>
          </w:tcPr>
          <w:p w14:paraId="6FDF5E56" w14:textId="77777777" w:rsidR="00176380" w:rsidRDefault="00176380">
            <w:pPr>
              <w:jc w:val="center"/>
              <w:rPr>
                <w:sz w:val="16"/>
                <w:szCs w:val="16"/>
              </w:rPr>
            </w:pPr>
            <w:r>
              <w:rPr>
                <w:sz w:val="16"/>
                <w:szCs w:val="16"/>
              </w:rPr>
              <w:t>&lt;0.1</w:t>
            </w:r>
          </w:p>
        </w:tc>
        <w:tc>
          <w:tcPr>
            <w:tcW w:w="576" w:type="dxa"/>
            <w:tcBorders>
              <w:top w:val="nil"/>
              <w:left w:val="nil"/>
              <w:bottom w:val="nil"/>
              <w:right w:val="nil"/>
            </w:tcBorders>
            <w:shd w:val="clear" w:color="auto" w:fill="auto"/>
            <w:vAlign w:val="center"/>
            <w:hideMark/>
          </w:tcPr>
          <w:p w14:paraId="6732F789" w14:textId="77777777" w:rsidR="00176380" w:rsidRDefault="00176380">
            <w:pPr>
              <w:jc w:val="center"/>
              <w:rPr>
                <w:sz w:val="16"/>
                <w:szCs w:val="16"/>
              </w:rPr>
            </w:pPr>
            <w:r>
              <w:rPr>
                <w:sz w:val="16"/>
                <w:szCs w:val="16"/>
              </w:rPr>
              <w:t>&lt;0.1</w:t>
            </w:r>
          </w:p>
        </w:tc>
        <w:tc>
          <w:tcPr>
            <w:tcW w:w="576" w:type="dxa"/>
            <w:tcBorders>
              <w:top w:val="nil"/>
              <w:left w:val="nil"/>
              <w:bottom w:val="nil"/>
              <w:right w:val="nil"/>
            </w:tcBorders>
            <w:shd w:val="clear" w:color="auto" w:fill="auto"/>
            <w:vAlign w:val="center"/>
            <w:hideMark/>
          </w:tcPr>
          <w:p w14:paraId="294F4213" w14:textId="77777777" w:rsidR="00176380" w:rsidRDefault="00176380">
            <w:pPr>
              <w:jc w:val="center"/>
              <w:rPr>
                <w:sz w:val="16"/>
                <w:szCs w:val="16"/>
              </w:rPr>
            </w:pPr>
            <w:r>
              <w:rPr>
                <w:sz w:val="16"/>
                <w:szCs w:val="16"/>
              </w:rPr>
              <w:t>&lt;0.1</w:t>
            </w:r>
          </w:p>
        </w:tc>
        <w:tc>
          <w:tcPr>
            <w:tcW w:w="576" w:type="dxa"/>
            <w:tcBorders>
              <w:top w:val="nil"/>
              <w:left w:val="nil"/>
              <w:bottom w:val="nil"/>
              <w:right w:val="nil"/>
            </w:tcBorders>
            <w:shd w:val="clear" w:color="auto" w:fill="auto"/>
            <w:vAlign w:val="center"/>
            <w:hideMark/>
          </w:tcPr>
          <w:p w14:paraId="60A69DAE" w14:textId="77777777" w:rsidR="00176380" w:rsidRDefault="00176380">
            <w:pPr>
              <w:jc w:val="center"/>
              <w:rPr>
                <w:sz w:val="16"/>
                <w:szCs w:val="16"/>
              </w:rPr>
            </w:pPr>
            <w:r>
              <w:rPr>
                <w:sz w:val="16"/>
                <w:szCs w:val="16"/>
              </w:rPr>
              <w:t>&lt;0.1</w:t>
            </w:r>
          </w:p>
        </w:tc>
        <w:tc>
          <w:tcPr>
            <w:tcW w:w="538" w:type="dxa"/>
            <w:tcBorders>
              <w:top w:val="nil"/>
              <w:left w:val="nil"/>
              <w:bottom w:val="nil"/>
              <w:right w:val="nil"/>
            </w:tcBorders>
            <w:shd w:val="clear" w:color="auto" w:fill="auto"/>
            <w:vAlign w:val="center"/>
            <w:hideMark/>
          </w:tcPr>
          <w:p w14:paraId="72FC00B0" w14:textId="77777777" w:rsidR="00176380" w:rsidRDefault="00176380">
            <w:pPr>
              <w:jc w:val="center"/>
              <w:rPr>
                <w:sz w:val="16"/>
                <w:szCs w:val="16"/>
              </w:rPr>
            </w:pPr>
            <w:r>
              <w:rPr>
                <w:sz w:val="16"/>
                <w:szCs w:val="16"/>
              </w:rPr>
              <w:t>&lt;0.1</w:t>
            </w:r>
          </w:p>
        </w:tc>
        <w:tc>
          <w:tcPr>
            <w:tcW w:w="536" w:type="dxa"/>
            <w:tcBorders>
              <w:top w:val="nil"/>
              <w:left w:val="nil"/>
              <w:bottom w:val="nil"/>
              <w:right w:val="nil"/>
            </w:tcBorders>
            <w:shd w:val="clear" w:color="auto" w:fill="auto"/>
            <w:vAlign w:val="center"/>
            <w:hideMark/>
          </w:tcPr>
          <w:p w14:paraId="48B35008"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2212128F" w14:textId="77777777" w:rsidR="00176380" w:rsidRDefault="00176380">
            <w:pPr>
              <w:jc w:val="center"/>
              <w:rPr>
                <w:sz w:val="16"/>
                <w:szCs w:val="16"/>
              </w:rPr>
            </w:pPr>
            <w:r>
              <w:rPr>
                <w:sz w:val="16"/>
                <w:szCs w:val="16"/>
              </w:rPr>
              <w:t>0.1</w:t>
            </w:r>
          </w:p>
        </w:tc>
        <w:tc>
          <w:tcPr>
            <w:tcW w:w="533" w:type="dxa"/>
            <w:tcBorders>
              <w:top w:val="nil"/>
              <w:left w:val="nil"/>
              <w:bottom w:val="nil"/>
              <w:right w:val="nil"/>
            </w:tcBorders>
            <w:shd w:val="clear" w:color="auto" w:fill="auto"/>
            <w:vAlign w:val="center"/>
            <w:hideMark/>
          </w:tcPr>
          <w:p w14:paraId="2A5EAEA6" w14:textId="77777777" w:rsidR="00176380" w:rsidRDefault="00176380">
            <w:pPr>
              <w:jc w:val="center"/>
              <w:rPr>
                <w:sz w:val="16"/>
                <w:szCs w:val="16"/>
              </w:rPr>
            </w:pPr>
            <w:r>
              <w:rPr>
                <w:sz w:val="16"/>
                <w:szCs w:val="16"/>
              </w:rPr>
              <w:t>&lt;0.1</w:t>
            </w:r>
          </w:p>
        </w:tc>
        <w:tc>
          <w:tcPr>
            <w:tcW w:w="576" w:type="dxa"/>
            <w:tcBorders>
              <w:top w:val="nil"/>
              <w:left w:val="nil"/>
              <w:bottom w:val="nil"/>
              <w:right w:val="nil"/>
            </w:tcBorders>
            <w:shd w:val="clear" w:color="auto" w:fill="auto"/>
            <w:noWrap/>
            <w:vAlign w:val="bottom"/>
            <w:hideMark/>
          </w:tcPr>
          <w:p w14:paraId="0D5EE0B6" w14:textId="77777777" w:rsidR="00176380" w:rsidRDefault="00176380">
            <w:pPr>
              <w:jc w:val="center"/>
              <w:rPr>
                <w:sz w:val="16"/>
                <w:szCs w:val="16"/>
              </w:rPr>
            </w:pPr>
            <w:r>
              <w:rPr>
                <w:sz w:val="16"/>
                <w:szCs w:val="16"/>
              </w:rPr>
              <w:t>0.2</w:t>
            </w:r>
          </w:p>
        </w:tc>
      </w:tr>
      <w:tr w:rsidR="00176380" w14:paraId="1C241F75" w14:textId="77777777" w:rsidTr="00C36001">
        <w:trPr>
          <w:trHeight w:val="250"/>
        </w:trPr>
        <w:tc>
          <w:tcPr>
            <w:tcW w:w="1200" w:type="dxa"/>
            <w:tcBorders>
              <w:top w:val="nil"/>
              <w:left w:val="nil"/>
              <w:bottom w:val="nil"/>
              <w:right w:val="nil"/>
            </w:tcBorders>
            <w:shd w:val="clear" w:color="auto" w:fill="auto"/>
            <w:noWrap/>
            <w:vAlign w:val="center"/>
            <w:hideMark/>
          </w:tcPr>
          <w:p w14:paraId="149C3573" w14:textId="77777777" w:rsidR="00176380" w:rsidRDefault="00176380">
            <w:pPr>
              <w:rPr>
                <w:b/>
                <w:bCs/>
                <w:sz w:val="16"/>
                <w:szCs w:val="16"/>
              </w:rPr>
            </w:pPr>
            <w:r>
              <w:rPr>
                <w:b/>
                <w:bCs/>
                <w:sz w:val="16"/>
                <w:szCs w:val="16"/>
              </w:rPr>
              <w:t>USA</w:t>
            </w:r>
            <w:r>
              <w:rPr>
                <w:b/>
                <w:bCs/>
                <w:sz w:val="16"/>
                <w:szCs w:val="16"/>
                <w:vertAlign w:val="superscript"/>
              </w:rPr>
              <w:t>2</w:t>
            </w:r>
          </w:p>
        </w:tc>
        <w:tc>
          <w:tcPr>
            <w:tcW w:w="780" w:type="dxa"/>
            <w:tcBorders>
              <w:top w:val="nil"/>
              <w:left w:val="nil"/>
              <w:bottom w:val="nil"/>
              <w:right w:val="nil"/>
            </w:tcBorders>
            <w:shd w:val="clear" w:color="auto" w:fill="auto"/>
            <w:vAlign w:val="center"/>
            <w:hideMark/>
          </w:tcPr>
          <w:p w14:paraId="47BB4A8E" w14:textId="77777777" w:rsidR="00176380" w:rsidRDefault="00176380">
            <w:pPr>
              <w:rPr>
                <w:b/>
                <w:bCs/>
                <w:sz w:val="16"/>
                <w:szCs w:val="16"/>
              </w:rPr>
            </w:pPr>
            <w:r>
              <w:rPr>
                <w:b/>
                <w:bCs/>
                <w:sz w:val="16"/>
                <w:szCs w:val="16"/>
              </w:rPr>
              <w:t>Quota</w:t>
            </w:r>
            <w:r>
              <w:rPr>
                <w:sz w:val="16"/>
                <w:szCs w:val="16"/>
                <w:vertAlign w:val="superscript"/>
              </w:rPr>
              <w:t>3</w:t>
            </w:r>
          </w:p>
        </w:tc>
        <w:tc>
          <w:tcPr>
            <w:tcW w:w="540" w:type="dxa"/>
            <w:tcBorders>
              <w:top w:val="nil"/>
              <w:left w:val="nil"/>
              <w:bottom w:val="nil"/>
              <w:right w:val="nil"/>
            </w:tcBorders>
            <w:shd w:val="clear" w:color="auto" w:fill="auto"/>
            <w:vAlign w:val="center"/>
            <w:hideMark/>
          </w:tcPr>
          <w:p w14:paraId="7727F1E4" w14:textId="77777777" w:rsidR="00176380" w:rsidRDefault="00176380">
            <w:pPr>
              <w:jc w:val="center"/>
              <w:rPr>
                <w:sz w:val="16"/>
                <w:szCs w:val="16"/>
              </w:rPr>
            </w:pPr>
            <w:r>
              <w:rPr>
                <w:sz w:val="16"/>
                <w:szCs w:val="16"/>
              </w:rPr>
              <w:t>8.1</w:t>
            </w:r>
          </w:p>
        </w:tc>
        <w:tc>
          <w:tcPr>
            <w:tcW w:w="540" w:type="dxa"/>
            <w:tcBorders>
              <w:top w:val="nil"/>
              <w:left w:val="nil"/>
              <w:bottom w:val="nil"/>
              <w:right w:val="nil"/>
            </w:tcBorders>
            <w:shd w:val="clear" w:color="auto" w:fill="auto"/>
            <w:vAlign w:val="center"/>
            <w:hideMark/>
          </w:tcPr>
          <w:p w14:paraId="52779C88" w14:textId="77777777" w:rsidR="00176380" w:rsidRDefault="00176380">
            <w:pPr>
              <w:jc w:val="center"/>
              <w:rPr>
                <w:sz w:val="16"/>
                <w:szCs w:val="16"/>
              </w:rPr>
            </w:pPr>
            <w:r>
              <w:rPr>
                <w:sz w:val="16"/>
                <w:szCs w:val="16"/>
              </w:rPr>
              <w:t>11.1</w:t>
            </w:r>
          </w:p>
        </w:tc>
        <w:tc>
          <w:tcPr>
            <w:tcW w:w="540" w:type="dxa"/>
            <w:tcBorders>
              <w:top w:val="nil"/>
              <w:left w:val="nil"/>
              <w:bottom w:val="nil"/>
              <w:right w:val="nil"/>
            </w:tcBorders>
            <w:shd w:val="clear" w:color="auto" w:fill="auto"/>
            <w:vAlign w:val="center"/>
            <w:hideMark/>
          </w:tcPr>
          <w:p w14:paraId="51BCEC0A" w14:textId="77777777" w:rsidR="00176380" w:rsidRDefault="00176380">
            <w:pPr>
              <w:jc w:val="center"/>
              <w:rPr>
                <w:sz w:val="16"/>
                <w:szCs w:val="16"/>
              </w:rPr>
            </w:pPr>
            <w:r>
              <w:rPr>
                <w:sz w:val="16"/>
                <w:szCs w:val="16"/>
              </w:rPr>
              <w:t>12</w:t>
            </w:r>
          </w:p>
        </w:tc>
        <w:tc>
          <w:tcPr>
            <w:tcW w:w="540" w:type="dxa"/>
            <w:tcBorders>
              <w:top w:val="nil"/>
              <w:left w:val="nil"/>
              <w:bottom w:val="nil"/>
              <w:right w:val="nil"/>
            </w:tcBorders>
            <w:shd w:val="clear" w:color="auto" w:fill="auto"/>
            <w:vAlign w:val="center"/>
            <w:hideMark/>
          </w:tcPr>
          <w:p w14:paraId="57B82548" w14:textId="77777777" w:rsidR="00176380" w:rsidRDefault="00176380">
            <w:pPr>
              <w:jc w:val="center"/>
              <w:rPr>
                <w:sz w:val="16"/>
                <w:szCs w:val="16"/>
              </w:rPr>
            </w:pPr>
            <w:r>
              <w:rPr>
                <w:sz w:val="16"/>
                <w:szCs w:val="16"/>
              </w:rPr>
              <w:t>9.5</w:t>
            </w:r>
          </w:p>
        </w:tc>
        <w:tc>
          <w:tcPr>
            <w:tcW w:w="536" w:type="dxa"/>
            <w:tcBorders>
              <w:top w:val="nil"/>
              <w:left w:val="nil"/>
              <w:bottom w:val="nil"/>
              <w:right w:val="nil"/>
            </w:tcBorders>
            <w:shd w:val="clear" w:color="auto" w:fill="auto"/>
            <w:noWrap/>
            <w:vAlign w:val="center"/>
            <w:hideMark/>
          </w:tcPr>
          <w:p w14:paraId="4E7B1957" w14:textId="77777777" w:rsidR="00176380" w:rsidRDefault="00176380">
            <w:pPr>
              <w:jc w:val="center"/>
              <w:rPr>
                <w:sz w:val="16"/>
                <w:szCs w:val="16"/>
              </w:rPr>
            </w:pPr>
            <w:r>
              <w:rPr>
                <w:sz w:val="16"/>
                <w:szCs w:val="16"/>
              </w:rPr>
              <w:t>6.9</w:t>
            </w:r>
          </w:p>
        </w:tc>
        <w:tc>
          <w:tcPr>
            <w:tcW w:w="536" w:type="dxa"/>
            <w:tcBorders>
              <w:top w:val="nil"/>
              <w:left w:val="nil"/>
              <w:bottom w:val="nil"/>
              <w:right w:val="nil"/>
            </w:tcBorders>
            <w:shd w:val="clear" w:color="auto" w:fill="auto"/>
            <w:noWrap/>
            <w:vAlign w:val="center"/>
            <w:hideMark/>
          </w:tcPr>
          <w:p w14:paraId="638804CE" w14:textId="77777777" w:rsidR="00176380" w:rsidRDefault="00176380">
            <w:pPr>
              <w:jc w:val="center"/>
              <w:rPr>
                <w:sz w:val="16"/>
                <w:szCs w:val="16"/>
              </w:rPr>
            </w:pPr>
            <w:r>
              <w:rPr>
                <w:sz w:val="16"/>
                <w:szCs w:val="16"/>
              </w:rPr>
              <w:t>4</w:t>
            </w:r>
          </w:p>
        </w:tc>
        <w:tc>
          <w:tcPr>
            <w:tcW w:w="548" w:type="dxa"/>
            <w:tcBorders>
              <w:top w:val="nil"/>
              <w:left w:val="nil"/>
              <w:bottom w:val="nil"/>
              <w:right w:val="nil"/>
            </w:tcBorders>
            <w:shd w:val="clear" w:color="auto" w:fill="auto"/>
            <w:vAlign w:val="center"/>
            <w:hideMark/>
          </w:tcPr>
          <w:p w14:paraId="742D49BF" w14:textId="77777777" w:rsidR="00176380" w:rsidRDefault="00176380">
            <w:pPr>
              <w:jc w:val="center"/>
              <w:rPr>
                <w:sz w:val="16"/>
                <w:szCs w:val="16"/>
              </w:rPr>
            </w:pPr>
            <w:r>
              <w:rPr>
                <w:sz w:val="16"/>
                <w:szCs w:val="16"/>
              </w:rPr>
              <w:t>10.5</w:t>
            </w:r>
          </w:p>
        </w:tc>
        <w:tc>
          <w:tcPr>
            <w:tcW w:w="576" w:type="dxa"/>
            <w:tcBorders>
              <w:top w:val="nil"/>
              <w:left w:val="nil"/>
              <w:bottom w:val="nil"/>
              <w:right w:val="nil"/>
            </w:tcBorders>
            <w:shd w:val="clear" w:color="auto" w:fill="auto"/>
            <w:vAlign w:val="center"/>
            <w:hideMark/>
          </w:tcPr>
          <w:p w14:paraId="08730858" w14:textId="77777777" w:rsidR="00176380" w:rsidRDefault="00176380">
            <w:pPr>
              <w:jc w:val="center"/>
              <w:rPr>
                <w:sz w:val="16"/>
                <w:szCs w:val="16"/>
              </w:rPr>
            </w:pPr>
            <w:r>
              <w:rPr>
                <w:sz w:val="16"/>
                <w:szCs w:val="16"/>
              </w:rPr>
              <w:t>17.8</w:t>
            </w:r>
          </w:p>
        </w:tc>
        <w:tc>
          <w:tcPr>
            <w:tcW w:w="576" w:type="dxa"/>
            <w:tcBorders>
              <w:top w:val="nil"/>
              <w:left w:val="nil"/>
              <w:bottom w:val="nil"/>
              <w:right w:val="nil"/>
            </w:tcBorders>
            <w:shd w:val="clear" w:color="auto" w:fill="auto"/>
            <w:vAlign w:val="center"/>
            <w:hideMark/>
          </w:tcPr>
          <w:p w14:paraId="4013D76F" w14:textId="77777777" w:rsidR="00176380" w:rsidRDefault="00176380">
            <w:pPr>
              <w:jc w:val="center"/>
              <w:rPr>
                <w:sz w:val="16"/>
                <w:szCs w:val="16"/>
              </w:rPr>
            </w:pPr>
            <w:r>
              <w:rPr>
                <w:sz w:val="16"/>
                <w:szCs w:val="16"/>
              </w:rPr>
              <w:t>15.2</w:t>
            </w:r>
          </w:p>
        </w:tc>
        <w:tc>
          <w:tcPr>
            <w:tcW w:w="576" w:type="dxa"/>
            <w:tcBorders>
              <w:top w:val="nil"/>
              <w:left w:val="nil"/>
              <w:bottom w:val="nil"/>
              <w:right w:val="nil"/>
            </w:tcBorders>
            <w:shd w:val="clear" w:color="auto" w:fill="auto"/>
            <w:vAlign w:val="center"/>
            <w:hideMark/>
          </w:tcPr>
          <w:p w14:paraId="543C9165" w14:textId="77777777" w:rsidR="00176380" w:rsidRDefault="00176380">
            <w:pPr>
              <w:jc w:val="center"/>
              <w:rPr>
                <w:sz w:val="16"/>
                <w:szCs w:val="16"/>
              </w:rPr>
            </w:pPr>
            <w:r>
              <w:rPr>
                <w:sz w:val="16"/>
                <w:szCs w:val="16"/>
              </w:rPr>
              <w:t>29.5</w:t>
            </w:r>
          </w:p>
        </w:tc>
        <w:tc>
          <w:tcPr>
            <w:tcW w:w="538" w:type="dxa"/>
            <w:tcBorders>
              <w:top w:val="nil"/>
              <w:left w:val="nil"/>
              <w:bottom w:val="nil"/>
              <w:right w:val="nil"/>
            </w:tcBorders>
            <w:shd w:val="clear" w:color="auto" w:fill="auto"/>
            <w:vAlign w:val="center"/>
            <w:hideMark/>
          </w:tcPr>
          <w:p w14:paraId="32A2A1E4" w14:textId="77777777" w:rsidR="00176380" w:rsidRDefault="00176380">
            <w:pPr>
              <w:jc w:val="center"/>
              <w:rPr>
                <w:sz w:val="16"/>
                <w:szCs w:val="16"/>
              </w:rPr>
            </w:pPr>
            <w:r>
              <w:rPr>
                <w:sz w:val="16"/>
                <w:szCs w:val="16"/>
              </w:rPr>
              <w:t>16.0</w:t>
            </w:r>
          </w:p>
        </w:tc>
        <w:tc>
          <w:tcPr>
            <w:tcW w:w="536" w:type="dxa"/>
            <w:tcBorders>
              <w:top w:val="nil"/>
              <w:left w:val="nil"/>
              <w:bottom w:val="nil"/>
              <w:right w:val="nil"/>
            </w:tcBorders>
            <w:shd w:val="clear" w:color="auto" w:fill="auto"/>
            <w:vAlign w:val="center"/>
            <w:hideMark/>
          </w:tcPr>
          <w:p w14:paraId="24296545"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631EDFCE" w14:textId="77777777" w:rsidR="00176380" w:rsidRDefault="00176380">
            <w:pPr>
              <w:jc w:val="center"/>
              <w:rPr>
                <w:sz w:val="20"/>
                <w:szCs w:val="20"/>
              </w:rPr>
            </w:pPr>
          </w:p>
        </w:tc>
        <w:tc>
          <w:tcPr>
            <w:tcW w:w="533" w:type="dxa"/>
            <w:tcBorders>
              <w:top w:val="nil"/>
              <w:left w:val="nil"/>
              <w:bottom w:val="nil"/>
              <w:right w:val="nil"/>
            </w:tcBorders>
            <w:shd w:val="clear" w:color="auto" w:fill="auto"/>
            <w:noWrap/>
            <w:vAlign w:val="bottom"/>
            <w:hideMark/>
          </w:tcPr>
          <w:p w14:paraId="327CD693" w14:textId="77777777" w:rsidR="00176380" w:rsidRDefault="00176380">
            <w:pPr>
              <w:jc w:val="center"/>
              <w:rPr>
                <w:sz w:val="20"/>
                <w:szCs w:val="20"/>
              </w:rPr>
            </w:pPr>
          </w:p>
        </w:tc>
        <w:tc>
          <w:tcPr>
            <w:tcW w:w="576" w:type="dxa"/>
            <w:tcBorders>
              <w:top w:val="nil"/>
              <w:left w:val="nil"/>
              <w:bottom w:val="nil"/>
              <w:right w:val="nil"/>
            </w:tcBorders>
            <w:shd w:val="clear" w:color="auto" w:fill="auto"/>
            <w:noWrap/>
            <w:vAlign w:val="bottom"/>
            <w:hideMark/>
          </w:tcPr>
          <w:p w14:paraId="7A409F17" w14:textId="77777777" w:rsidR="00176380" w:rsidRDefault="00176380">
            <w:pPr>
              <w:jc w:val="center"/>
              <w:rPr>
                <w:sz w:val="20"/>
                <w:szCs w:val="20"/>
              </w:rPr>
            </w:pPr>
          </w:p>
        </w:tc>
      </w:tr>
      <w:tr w:rsidR="00176380" w14:paraId="30FCCCC6" w14:textId="77777777" w:rsidTr="00C36001">
        <w:trPr>
          <w:trHeight w:val="250"/>
        </w:trPr>
        <w:tc>
          <w:tcPr>
            <w:tcW w:w="1200" w:type="dxa"/>
            <w:tcBorders>
              <w:top w:val="nil"/>
              <w:left w:val="nil"/>
              <w:bottom w:val="nil"/>
              <w:right w:val="nil"/>
            </w:tcBorders>
            <w:shd w:val="clear" w:color="auto" w:fill="auto"/>
            <w:noWrap/>
            <w:vAlign w:val="center"/>
            <w:hideMark/>
          </w:tcPr>
          <w:p w14:paraId="30D786C6" w14:textId="77777777" w:rsidR="00176380" w:rsidRDefault="00176380">
            <w:pPr>
              <w:jc w:val="center"/>
              <w:rPr>
                <w:sz w:val="20"/>
                <w:szCs w:val="20"/>
              </w:rPr>
            </w:pPr>
          </w:p>
        </w:tc>
        <w:tc>
          <w:tcPr>
            <w:tcW w:w="780" w:type="dxa"/>
            <w:tcBorders>
              <w:top w:val="nil"/>
              <w:left w:val="nil"/>
              <w:bottom w:val="nil"/>
              <w:right w:val="nil"/>
            </w:tcBorders>
            <w:shd w:val="clear" w:color="auto" w:fill="auto"/>
            <w:vAlign w:val="center"/>
            <w:hideMark/>
          </w:tcPr>
          <w:p w14:paraId="575A2768" w14:textId="77777777" w:rsidR="00176380" w:rsidRDefault="00176380">
            <w:pPr>
              <w:rPr>
                <w:b/>
                <w:bCs/>
                <w:sz w:val="16"/>
                <w:szCs w:val="16"/>
              </w:rPr>
            </w:pPr>
            <w:r>
              <w:rPr>
                <w:b/>
                <w:bCs/>
                <w:sz w:val="16"/>
                <w:szCs w:val="16"/>
              </w:rPr>
              <w:t>Catch</w:t>
            </w:r>
            <w:r>
              <w:rPr>
                <w:sz w:val="16"/>
                <w:szCs w:val="16"/>
                <w:vertAlign w:val="superscript"/>
              </w:rPr>
              <w:t>3</w:t>
            </w:r>
          </w:p>
        </w:tc>
        <w:tc>
          <w:tcPr>
            <w:tcW w:w="540" w:type="dxa"/>
            <w:tcBorders>
              <w:top w:val="nil"/>
              <w:left w:val="nil"/>
              <w:bottom w:val="nil"/>
              <w:right w:val="nil"/>
            </w:tcBorders>
            <w:shd w:val="clear" w:color="auto" w:fill="auto"/>
            <w:vAlign w:val="center"/>
            <w:hideMark/>
          </w:tcPr>
          <w:p w14:paraId="38A69394" w14:textId="77777777" w:rsidR="00176380" w:rsidRDefault="00176380">
            <w:pPr>
              <w:jc w:val="center"/>
              <w:rPr>
                <w:sz w:val="16"/>
                <w:szCs w:val="16"/>
              </w:rPr>
            </w:pPr>
            <w:r>
              <w:rPr>
                <w:sz w:val="16"/>
                <w:szCs w:val="16"/>
              </w:rPr>
              <w:t>1.6</w:t>
            </w:r>
          </w:p>
        </w:tc>
        <w:tc>
          <w:tcPr>
            <w:tcW w:w="540" w:type="dxa"/>
            <w:tcBorders>
              <w:top w:val="nil"/>
              <w:left w:val="nil"/>
              <w:bottom w:val="nil"/>
              <w:right w:val="nil"/>
            </w:tcBorders>
            <w:shd w:val="clear" w:color="auto" w:fill="auto"/>
            <w:vAlign w:val="center"/>
            <w:hideMark/>
          </w:tcPr>
          <w:p w14:paraId="69786397" w14:textId="77777777" w:rsidR="00176380" w:rsidRDefault="00176380">
            <w:pPr>
              <w:jc w:val="center"/>
              <w:rPr>
                <w:sz w:val="16"/>
                <w:szCs w:val="16"/>
              </w:rPr>
            </w:pPr>
            <w:r>
              <w:rPr>
                <w:sz w:val="16"/>
                <w:szCs w:val="16"/>
              </w:rPr>
              <w:t>1.6</w:t>
            </w:r>
          </w:p>
        </w:tc>
        <w:tc>
          <w:tcPr>
            <w:tcW w:w="540" w:type="dxa"/>
            <w:tcBorders>
              <w:top w:val="nil"/>
              <w:left w:val="nil"/>
              <w:bottom w:val="nil"/>
              <w:right w:val="nil"/>
            </w:tcBorders>
            <w:shd w:val="clear" w:color="auto" w:fill="auto"/>
            <w:vAlign w:val="center"/>
            <w:hideMark/>
          </w:tcPr>
          <w:p w14:paraId="4A9174FE" w14:textId="77777777" w:rsidR="00176380" w:rsidRDefault="00176380">
            <w:pPr>
              <w:jc w:val="center"/>
              <w:rPr>
                <w:sz w:val="16"/>
                <w:szCs w:val="16"/>
              </w:rPr>
            </w:pPr>
            <w:r>
              <w:rPr>
                <w:sz w:val="16"/>
                <w:szCs w:val="16"/>
              </w:rPr>
              <w:t>1.8</w:t>
            </w:r>
          </w:p>
        </w:tc>
        <w:tc>
          <w:tcPr>
            <w:tcW w:w="540" w:type="dxa"/>
            <w:tcBorders>
              <w:top w:val="nil"/>
              <w:left w:val="nil"/>
              <w:bottom w:val="nil"/>
              <w:right w:val="nil"/>
            </w:tcBorders>
            <w:shd w:val="clear" w:color="auto" w:fill="auto"/>
            <w:vAlign w:val="center"/>
            <w:hideMark/>
          </w:tcPr>
          <w:p w14:paraId="494205A5" w14:textId="77777777" w:rsidR="00176380" w:rsidRDefault="00176380">
            <w:pPr>
              <w:jc w:val="center"/>
              <w:rPr>
                <w:sz w:val="16"/>
                <w:szCs w:val="16"/>
              </w:rPr>
            </w:pPr>
            <w:r>
              <w:rPr>
                <w:sz w:val="16"/>
                <w:szCs w:val="16"/>
              </w:rPr>
              <w:t>1.1</w:t>
            </w:r>
          </w:p>
        </w:tc>
        <w:tc>
          <w:tcPr>
            <w:tcW w:w="536" w:type="dxa"/>
            <w:tcBorders>
              <w:top w:val="nil"/>
              <w:left w:val="nil"/>
              <w:bottom w:val="nil"/>
              <w:right w:val="nil"/>
            </w:tcBorders>
            <w:shd w:val="clear" w:color="auto" w:fill="auto"/>
            <w:noWrap/>
            <w:vAlign w:val="center"/>
            <w:hideMark/>
          </w:tcPr>
          <w:p w14:paraId="04DF6ED3" w14:textId="77777777" w:rsidR="00176380" w:rsidRDefault="00176380">
            <w:pPr>
              <w:jc w:val="center"/>
              <w:rPr>
                <w:sz w:val="16"/>
                <w:szCs w:val="16"/>
              </w:rPr>
            </w:pPr>
            <w:r>
              <w:rPr>
                <w:sz w:val="16"/>
                <w:szCs w:val="16"/>
              </w:rPr>
              <w:t>0.4</w:t>
            </w:r>
          </w:p>
        </w:tc>
        <w:tc>
          <w:tcPr>
            <w:tcW w:w="536" w:type="dxa"/>
            <w:tcBorders>
              <w:top w:val="nil"/>
              <w:left w:val="nil"/>
              <w:bottom w:val="nil"/>
              <w:right w:val="nil"/>
            </w:tcBorders>
            <w:shd w:val="clear" w:color="auto" w:fill="auto"/>
            <w:noWrap/>
            <w:vAlign w:val="center"/>
            <w:hideMark/>
          </w:tcPr>
          <w:p w14:paraId="0AAB4D01" w14:textId="77777777" w:rsidR="00176380" w:rsidRDefault="00176380">
            <w:pPr>
              <w:jc w:val="center"/>
              <w:rPr>
                <w:sz w:val="16"/>
                <w:szCs w:val="16"/>
              </w:rPr>
            </w:pPr>
            <w:r>
              <w:rPr>
                <w:sz w:val="16"/>
                <w:szCs w:val="16"/>
              </w:rPr>
              <w:t>0.64</w:t>
            </w:r>
          </w:p>
        </w:tc>
        <w:tc>
          <w:tcPr>
            <w:tcW w:w="548" w:type="dxa"/>
            <w:tcBorders>
              <w:top w:val="nil"/>
              <w:left w:val="nil"/>
              <w:bottom w:val="nil"/>
              <w:right w:val="nil"/>
            </w:tcBorders>
            <w:shd w:val="clear" w:color="auto" w:fill="auto"/>
            <w:vAlign w:val="center"/>
            <w:hideMark/>
          </w:tcPr>
          <w:p w14:paraId="68B5C340" w14:textId="77777777" w:rsidR="00176380" w:rsidRDefault="00176380">
            <w:pPr>
              <w:jc w:val="center"/>
              <w:rPr>
                <w:sz w:val="16"/>
                <w:szCs w:val="16"/>
              </w:rPr>
            </w:pPr>
            <w:r>
              <w:rPr>
                <w:sz w:val="16"/>
                <w:szCs w:val="16"/>
              </w:rPr>
              <w:t>1.3</w:t>
            </w:r>
          </w:p>
        </w:tc>
        <w:tc>
          <w:tcPr>
            <w:tcW w:w="576" w:type="dxa"/>
            <w:tcBorders>
              <w:top w:val="nil"/>
              <w:left w:val="nil"/>
              <w:bottom w:val="nil"/>
              <w:right w:val="nil"/>
            </w:tcBorders>
            <w:shd w:val="clear" w:color="auto" w:fill="auto"/>
            <w:vAlign w:val="center"/>
            <w:hideMark/>
          </w:tcPr>
          <w:p w14:paraId="20106EAE" w14:textId="77777777" w:rsidR="00176380" w:rsidRDefault="00176380">
            <w:pPr>
              <w:jc w:val="center"/>
              <w:rPr>
                <w:sz w:val="16"/>
                <w:szCs w:val="16"/>
              </w:rPr>
            </w:pPr>
            <w:r>
              <w:rPr>
                <w:sz w:val="16"/>
                <w:szCs w:val="16"/>
              </w:rPr>
              <w:t>1.9</w:t>
            </w:r>
          </w:p>
        </w:tc>
        <w:tc>
          <w:tcPr>
            <w:tcW w:w="576" w:type="dxa"/>
            <w:tcBorders>
              <w:top w:val="nil"/>
              <w:left w:val="nil"/>
              <w:bottom w:val="nil"/>
              <w:right w:val="nil"/>
            </w:tcBorders>
            <w:shd w:val="clear" w:color="auto" w:fill="auto"/>
            <w:vAlign w:val="center"/>
            <w:hideMark/>
          </w:tcPr>
          <w:p w14:paraId="3172C96D" w14:textId="77777777" w:rsidR="00176380" w:rsidRDefault="00176380">
            <w:pPr>
              <w:jc w:val="center"/>
              <w:rPr>
                <w:sz w:val="16"/>
                <w:szCs w:val="16"/>
              </w:rPr>
            </w:pPr>
            <w:r>
              <w:rPr>
                <w:sz w:val="16"/>
                <w:szCs w:val="16"/>
              </w:rPr>
              <w:t>0.5</w:t>
            </w:r>
          </w:p>
        </w:tc>
        <w:tc>
          <w:tcPr>
            <w:tcW w:w="576" w:type="dxa"/>
            <w:tcBorders>
              <w:top w:val="nil"/>
              <w:left w:val="nil"/>
              <w:bottom w:val="nil"/>
              <w:right w:val="nil"/>
            </w:tcBorders>
            <w:shd w:val="clear" w:color="auto" w:fill="auto"/>
            <w:vAlign w:val="center"/>
            <w:hideMark/>
          </w:tcPr>
          <w:p w14:paraId="1BA627A0" w14:textId="77777777" w:rsidR="00176380" w:rsidRDefault="00176380">
            <w:pPr>
              <w:jc w:val="center"/>
              <w:rPr>
                <w:sz w:val="16"/>
                <w:szCs w:val="16"/>
              </w:rPr>
            </w:pPr>
            <w:r>
              <w:rPr>
                <w:sz w:val="16"/>
                <w:szCs w:val="16"/>
              </w:rPr>
              <w:t>0.4</w:t>
            </w:r>
          </w:p>
        </w:tc>
        <w:tc>
          <w:tcPr>
            <w:tcW w:w="538" w:type="dxa"/>
            <w:tcBorders>
              <w:top w:val="nil"/>
              <w:left w:val="nil"/>
              <w:bottom w:val="nil"/>
              <w:right w:val="nil"/>
            </w:tcBorders>
            <w:shd w:val="clear" w:color="auto" w:fill="auto"/>
            <w:vAlign w:val="center"/>
            <w:hideMark/>
          </w:tcPr>
          <w:p w14:paraId="504AF479" w14:textId="77777777" w:rsidR="00176380" w:rsidRDefault="00176380">
            <w:pPr>
              <w:jc w:val="center"/>
              <w:rPr>
                <w:sz w:val="16"/>
                <w:szCs w:val="16"/>
              </w:rPr>
            </w:pPr>
            <w:r>
              <w:rPr>
                <w:sz w:val="16"/>
                <w:szCs w:val="16"/>
              </w:rPr>
              <w:t>0.6</w:t>
            </w:r>
          </w:p>
        </w:tc>
        <w:tc>
          <w:tcPr>
            <w:tcW w:w="536" w:type="dxa"/>
            <w:tcBorders>
              <w:top w:val="nil"/>
              <w:left w:val="nil"/>
              <w:bottom w:val="nil"/>
              <w:right w:val="nil"/>
            </w:tcBorders>
            <w:shd w:val="clear" w:color="auto" w:fill="auto"/>
            <w:vAlign w:val="center"/>
            <w:hideMark/>
          </w:tcPr>
          <w:p w14:paraId="6691AD82"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7DBA2F1C" w14:textId="77777777" w:rsidR="00176380" w:rsidRDefault="00176380">
            <w:pPr>
              <w:jc w:val="center"/>
              <w:rPr>
                <w:sz w:val="20"/>
                <w:szCs w:val="20"/>
              </w:rPr>
            </w:pPr>
          </w:p>
        </w:tc>
        <w:tc>
          <w:tcPr>
            <w:tcW w:w="533" w:type="dxa"/>
            <w:tcBorders>
              <w:top w:val="nil"/>
              <w:left w:val="nil"/>
              <w:bottom w:val="nil"/>
              <w:right w:val="nil"/>
            </w:tcBorders>
            <w:shd w:val="clear" w:color="auto" w:fill="auto"/>
            <w:noWrap/>
            <w:vAlign w:val="bottom"/>
            <w:hideMark/>
          </w:tcPr>
          <w:p w14:paraId="6AAE5209" w14:textId="77777777" w:rsidR="00176380" w:rsidRDefault="00176380">
            <w:pPr>
              <w:jc w:val="center"/>
              <w:rPr>
                <w:sz w:val="20"/>
                <w:szCs w:val="20"/>
              </w:rPr>
            </w:pPr>
          </w:p>
        </w:tc>
        <w:tc>
          <w:tcPr>
            <w:tcW w:w="576" w:type="dxa"/>
            <w:tcBorders>
              <w:top w:val="nil"/>
              <w:left w:val="nil"/>
              <w:bottom w:val="nil"/>
              <w:right w:val="nil"/>
            </w:tcBorders>
            <w:shd w:val="clear" w:color="auto" w:fill="auto"/>
            <w:noWrap/>
            <w:vAlign w:val="bottom"/>
            <w:hideMark/>
          </w:tcPr>
          <w:p w14:paraId="3C8E0FB1" w14:textId="77777777" w:rsidR="00176380" w:rsidRDefault="00176380">
            <w:pPr>
              <w:jc w:val="center"/>
              <w:rPr>
                <w:sz w:val="20"/>
                <w:szCs w:val="20"/>
              </w:rPr>
            </w:pPr>
          </w:p>
        </w:tc>
      </w:tr>
      <w:tr w:rsidR="00176380" w14:paraId="3BEB2CCE" w14:textId="77777777" w:rsidTr="00C36001">
        <w:trPr>
          <w:trHeight w:val="250"/>
        </w:trPr>
        <w:tc>
          <w:tcPr>
            <w:tcW w:w="1200" w:type="dxa"/>
            <w:tcBorders>
              <w:top w:val="nil"/>
              <w:left w:val="nil"/>
              <w:bottom w:val="nil"/>
              <w:right w:val="nil"/>
            </w:tcBorders>
            <w:shd w:val="clear" w:color="auto" w:fill="auto"/>
            <w:noWrap/>
            <w:vAlign w:val="center"/>
            <w:hideMark/>
          </w:tcPr>
          <w:p w14:paraId="6D4888BD" w14:textId="77777777" w:rsidR="00176380" w:rsidRDefault="00176380">
            <w:pPr>
              <w:jc w:val="center"/>
              <w:rPr>
                <w:sz w:val="20"/>
                <w:szCs w:val="20"/>
              </w:rPr>
            </w:pPr>
          </w:p>
        </w:tc>
        <w:tc>
          <w:tcPr>
            <w:tcW w:w="780" w:type="dxa"/>
            <w:tcBorders>
              <w:top w:val="nil"/>
              <w:left w:val="nil"/>
              <w:bottom w:val="nil"/>
              <w:right w:val="nil"/>
            </w:tcBorders>
            <w:shd w:val="clear" w:color="auto" w:fill="auto"/>
            <w:vAlign w:val="center"/>
            <w:hideMark/>
          </w:tcPr>
          <w:p w14:paraId="12B2BF70" w14:textId="77777777" w:rsidR="00176380" w:rsidRDefault="00176380">
            <w:pPr>
              <w:rPr>
                <w:b/>
                <w:bCs/>
                <w:sz w:val="16"/>
                <w:szCs w:val="16"/>
              </w:rPr>
            </w:pPr>
            <w:r>
              <w:rPr>
                <w:b/>
                <w:bCs/>
                <w:sz w:val="16"/>
                <w:szCs w:val="16"/>
              </w:rPr>
              <w:t>Landed</w:t>
            </w:r>
          </w:p>
        </w:tc>
        <w:tc>
          <w:tcPr>
            <w:tcW w:w="540" w:type="dxa"/>
            <w:tcBorders>
              <w:top w:val="nil"/>
              <w:left w:val="nil"/>
              <w:bottom w:val="nil"/>
              <w:right w:val="nil"/>
            </w:tcBorders>
            <w:shd w:val="clear" w:color="auto" w:fill="auto"/>
            <w:vAlign w:val="center"/>
            <w:hideMark/>
          </w:tcPr>
          <w:p w14:paraId="6E66DA11" w14:textId="77777777" w:rsidR="00176380" w:rsidRDefault="00176380">
            <w:pPr>
              <w:jc w:val="center"/>
              <w:rPr>
                <w:sz w:val="16"/>
                <w:szCs w:val="16"/>
              </w:rPr>
            </w:pPr>
            <w:r>
              <w:rPr>
                <w:sz w:val="16"/>
                <w:szCs w:val="16"/>
              </w:rPr>
              <w:t>1.1</w:t>
            </w:r>
          </w:p>
        </w:tc>
        <w:tc>
          <w:tcPr>
            <w:tcW w:w="540" w:type="dxa"/>
            <w:tcBorders>
              <w:top w:val="nil"/>
              <w:left w:val="nil"/>
              <w:bottom w:val="nil"/>
              <w:right w:val="nil"/>
            </w:tcBorders>
            <w:shd w:val="clear" w:color="auto" w:fill="auto"/>
            <w:vAlign w:val="center"/>
            <w:hideMark/>
          </w:tcPr>
          <w:p w14:paraId="7AC8A8B8" w14:textId="77777777" w:rsidR="00176380" w:rsidRDefault="00176380">
            <w:pPr>
              <w:jc w:val="center"/>
              <w:rPr>
                <w:sz w:val="16"/>
                <w:szCs w:val="16"/>
              </w:rPr>
            </w:pPr>
            <w:r>
              <w:rPr>
                <w:sz w:val="16"/>
                <w:szCs w:val="16"/>
              </w:rPr>
              <w:t>2.2</w:t>
            </w:r>
          </w:p>
        </w:tc>
        <w:tc>
          <w:tcPr>
            <w:tcW w:w="540" w:type="dxa"/>
            <w:tcBorders>
              <w:top w:val="nil"/>
              <w:left w:val="nil"/>
              <w:bottom w:val="nil"/>
              <w:right w:val="nil"/>
            </w:tcBorders>
            <w:shd w:val="clear" w:color="auto" w:fill="auto"/>
            <w:vAlign w:val="center"/>
            <w:hideMark/>
          </w:tcPr>
          <w:p w14:paraId="7EFDA66F" w14:textId="77777777" w:rsidR="00176380" w:rsidRDefault="00176380">
            <w:pPr>
              <w:jc w:val="center"/>
              <w:rPr>
                <w:sz w:val="16"/>
                <w:szCs w:val="16"/>
              </w:rPr>
            </w:pPr>
            <w:r>
              <w:rPr>
                <w:sz w:val="16"/>
                <w:szCs w:val="16"/>
              </w:rPr>
              <w:t>2.2</w:t>
            </w:r>
          </w:p>
        </w:tc>
        <w:tc>
          <w:tcPr>
            <w:tcW w:w="540" w:type="dxa"/>
            <w:tcBorders>
              <w:top w:val="nil"/>
              <w:left w:val="nil"/>
              <w:bottom w:val="nil"/>
              <w:right w:val="nil"/>
            </w:tcBorders>
            <w:shd w:val="clear" w:color="auto" w:fill="auto"/>
            <w:vAlign w:val="center"/>
            <w:hideMark/>
          </w:tcPr>
          <w:p w14:paraId="63E6D972" w14:textId="77777777" w:rsidR="00176380" w:rsidRDefault="00176380">
            <w:pPr>
              <w:jc w:val="center"/>
              <w:rPr>
                <w:sz w:val="16"/>
                <w:szCs w:val="16"/>
              </w:rPr>
            </w:pPr>
            <w:r>
              <w:rPr>
                <w:sz w:val="16"/>
                <w:szCs w:val="16"/>
              </w:rPr>
              <w:t>1.3</w:t>
            </w:r>
          </w:p>
        </w:tc>
        <w:tc>
          <w:tcPr>
            <w:tcW w:w="536" w:type="dxa"/>
            <w:tcBorders>
              <w:top w:val="nil"/>
              <w:left w:val="nil"/>
              <w:bottom w:val="nil"/>
              <w:right w:val="nil"/>
            </w:tcBorders>
            <w:shd w:val="clear" w:color="auto" w:fill="auto"/>
            <w:noWrap/>
            <w:vAlign w:val="center"/>
            <w:hideMark/>
          </w:tcPr>
          <w:p w14:paraId="2A30E4A0" w14:textId="77777777" w:rsidR="00176380" w:rsidRDefault="00176380">
            <w:pPr>
              <w:jc w:val="center"/>
              <w:rPr>
                <w:sz w:val="16"/>
                <w:szCs w:val="16"/>
              </w:rPr>
            </w:pPr>
            <w:r>
              <w:rPr>
                <w:sz w:val="16"/>
                <w:szCs w:val="16"/>
              </w:rPr>
              <w:t>0.4</w:t>
            </w:r>
          </w:p>
        </w:tc>
        <w:tc>
          <w:tcPr>
            <w:tcW w:w="536" w:type="dxa"/>
            <w:tcBorders>
              <w:top w:val="nil"/>
              <w:left w:val="nil"/>
              <w:bottom w:val="nil"/>
              <w:right w:val="nil"/>
            </w:tcBorders>
            <w:shd w:val="clear" w:color="auto" w:fill="auto"/>
            <w:noWrap/>
            <w:vAlign w:val="center"/>
            <w:hideMark/>
          </w:tcPr>
          <w:p w14:paraId="30BF8B6B" w14:textId="77777777" w:rsidR="00176380" w:rsidRDefault="00176380">
            <w:pPr>
              <w:jc w:val="center"/>
              <w:rPr>
                <w:sz w:val="16"/>
                <w:szCs w:val="16"/>
              </w:rPr>
            </w:pPr>
            <w:r>
              <w:rPr>
                <w:sz w:val="16"/>
                <w:szCs w:val="16"/>
              </w:rPr>
              <w:t>0.3</w:t>
            </w:r>
          </w:p>
        </w:tc>
        <w:tc>
          <w:tcPr>
            <w:tcW w:w="548" w:type="dxa"/>
            <w:tcBorders>
              <w:top w:val="nil"/>
              <w:left w:val="nil"/>
              <w:bottom w:val="nil"/>
              <w:right w:val="nil"/>
            </w:tcBorders>
            <w:shd w:val="clear" w:color="auto" w:fill="auto"/>
            <w:vAlign w:val="center"/>
            <w:hideMark/>
          </w:tcPr>
          <w:p w14:paraId="3F5451AD" w14:textId="77777777" w:rsidR="00176380" w:rsidRDefault="00176380">
            <w:pPr>
              <w:jc w:val="center"/>
              <w:rPr>
                <w:sz w:val="16"/>
                <w:szCs w:val="16"/>
              </w:rPr>
            </w:pPr>
            <w:r>
              <w:rPr>
                <w:sz w:val="16"/>
                <w:szCs w:val="16"/>
              </w:rPr>
              <w:t>1.2</w:t>
            </w:r>
          </w:p>
        </w:tc>
        <w:tc>
          <w:tcPr>
            <w:tcW w:w="576" w:type="dxa"/>
            <w:tcBorders>
              <w:top w:val="nil"/>
              <w:left w:val="nil"/>
              <w:bottom w:val="nil"/>
              <w:right w:val="nil"/>
            </w:tcBorders>
            <w:shd w:val="clear" w:color="auto" w:fill="auto"/>
            <w:vAlign w:val="center"/>
            <w:hideMark/>
          </w:tcPr>
          <w:p w14:paraId="20CE3078" w14:textId="77777777" w:rsidR="00176380" w:rsidRDefault="00176380">
            <w:pPr>
              <w:jc w:val="center"/>
              <w:rPr>
                <w:sz w:val="16"/>
                <w:szCs w:val="16"/>
              </w:rPr>
            </w:pPr>
            <w:r>
              <w:rPr>
                <w:sz w:val="16"/>
                <w:szCs w:val="16"/>
              </w:rPr>
              <w:t>1.5</w:t>
            </w:r>
          </w:p>
        </w:tc>
        <w:tc>
          <w:tcPr>
            <w:tcW w:w="576" w:type="dxa"/>
            <w:tcBorders>
              <w:top w:val="nil"/>
              <w:left w:val="nil"/>
              <w:bottom w:val="nil"/>
              <w:right w:val="nil"/>
            </w:tcBorders>
            <w:shd w:val="clear" w:color="auto" w:fill="auto"/>
            <w:vAlign w:val="center"/>
            <w:hideMark/>
          </w:tcPr>
          <w:p w14:paraId="21261E2C" w14:textId="77777777" w:rsidR="00176380" w:rsidRDefault="00176380">
            <w:pPr>
              <w:jc w:val="center"/>
              <w:rPr>
                <w:sz w:val="16"/>
                <w:szCs w:val="16"/>
              </w:rPr>
            </w:pPr>
            <w:r>
              <w:rPr>
                <w:sz w:val="16"/>
                <w:szCs w:val="16"/>
              </w:rPr>
              <w:t>0.3</w:t>
            </w:r>
          </w:p>
        </w:tc>
        <w:tc>
          <w:tcPr>
            <w:tcW w:w="576" w:type="dxa"/>
            <w:tcBorders>
              <w:top w:val="nil"/>
              <w:left w:val="nil"/>
              <w:bottom w:val="nil"/>
              <w:right w:val="nil"/>
            </w:tcBorders>
            <w:shd w:val="clear" w:color="auto" w:fill="auto"/>
            <w:vAlign w:val="center"/>
            <w:hideMark/>
          </w:tcPr>
          <w:p w14:paraId="4E6048C3" w14:textId="77777777" w:rsidR="00176380" w:rsidRDefault="00176380">
            <w:pPr>
              <w:jc w:val="center"/>
              <w:rPr>
                <w:sz w:val="16"/>
                <w:szCs w:val="16"/>
              </w:rPr>
            </w:pPr>
            <w:r>
              <w:rPr>
                <w:sz w:val="16"/>
                <w:szCs w:val="16"/>
              </w:rPr>
              <w:t>0.2</w:t>
            </w:r>
          </w:p>
        </w:tc>
        <w:tc>
          <w:tcPr>
            <w:tcW w:w="538" w:type="dxa"/>
            <w:tcBorders>
              <w:top w:val="nil"/>
              <w:left w:val="nil"/>
              <w:bottom w:val="nil"/>
              <w:right w:val="nil"/>
            </w:tcBorders>
            <w:shd w:val="clear" w:color="auto" w:fill="auto"/>
            <w:vAlign w:val="center"/>
            <w:hideMark/>
          </w:tcPr>
          <w:p w14:paraId="5ED44551" w14:textId="77777777" w:rsidR="00176380" w:rsidRDefault="00176380">
            <w:pPr>
              <w:jc w:val="center"/>
              <w:rPr>
                <w:sz w:val="16"/>
                <w:szCs w:val="16"/>
              </w:rPr>
            </w:pPr>
            <w:r>
              <w:rPr>
                <w:sz w:val="16"/>
                <w:szCs w:val="16"/>
              </w:rPr>
              <w:t>0.3</w:t>
            </w:r>
          </w:p>
        </w:tc>
        <w:tc>
          <w:tcPr>
            <w:tcW w:w="536" w:type="dxa"/>
            <w:tcBorders>
              <w:top w:val="nil"/>
              <w:left w:val="nil"/>
              <w:bottom w:val="nil"/>
              <w:right w:val="nil"/>
            </w:tcBorders>
            <w:shd w:val="clear" w:color="auto" w:fill="auto"/>
            <w:vAlign w:val="center"/>
            <w:hideMark/>
          </w:tcPr>
          <w:p w14:paraId="10742486"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52A9D1F7" w14:textId="77777777" w:rsidR="00176380" w:rsidRDefault="00176380">
            <w:pPr>
              <w:jc w:val="center"/>
              <w:rPr>
                <w:sz w:val="16"/>
                <w:szCs w:val="16"/>
              </w:rPr>
            </w:pPr>
            <w:r>
              <w:rPr>
                <w:sz w:val="16"/>
                <w:szCs w:val="16"/>
              </w:rPr>
              <w:t>1.9</w:t>
            </w:r>
          </w:p>
        </w:tc>
        <w:tc>
          <w:tcPr>
            <w:tcW w:w="533" w:type="dxa"/>
            <w:tcBorders>
              <w:top w:val="nil"/>
              <w:left w:val="nil"/>
              <w:bottom w:val="nil"/>
              <w:right w:val="nil"/>
            </w:tcBorders>
            <w:shd w:val="clear" w:color="auto" w:fill="auto"/>
            <w:vAlign w:val="center"/>
            <w:hideMark/>
          </w:tcPr>
          <w:p w14:paraId="57E8CDCA" w14:textId="77777777" w:rsidR="00176380" w:rsidRDefault="00176380">
            <w:pPr>
              <w:jc w:val="center"/>
              <w:rPr>
                <w:sz w:val="16"/>
                <w:szCs w:val="16"/>
              </w:rPr>
            </w:pPr>
            <w:r>
              <w:rPr>
                <w:sz w:val="16"/>
                <w:szCs w:val="16"/>
              </w:rPr>
              <w:t>&lt;0.1</w:t>
            </w:r>
          </w:p>
        </w:tc>
        <w:tc>
          <w:tcPr>
            <w:tcW w:w="576" w:type="dxa"/>
            <w:tcBorders>
              <w:top w:val="nil"/>
              <w:left w:val="nil"/>
              <w:bottom w:val="nil"/>
              <w:right w:val="nil"/>
            </w:tcBorders>
            <w:shd w:val="clear" w:color="auto" w:fill="auto"/>
            <w:noWrap/>
            <w:vAlign w:val="bottom"/>
            <w:hideMark/>
          </w:tcPr>
          <w:p w14:paraId="192BAF27" w14:textId="77777777" w:rsidR="00176380" w:rsidRDefault="00176380">
            <w:pPr>
              <w:jc w:val="center"/>
              <w:rPr>
                <w:sz w:val="16"/>
                <w:szCs w:val="16"/>
              </w:rPr>
            </w:pPr>
            <w:r>
              <w:rPr>
                <w:sz w:val="16"/>
                <w:szCs w:val="16"/>
              </w:rPr>
              <w:t>9.1</w:t>
            </w:r>
          </w:p>
        </w:tc>
      </w:tr>
      <w:tr w:rsidR="00176380" w14:paraId="1F40B780" w14:textId="77777777" w:rsidTr="00C36001">
        <w:trPr>
          <w:trHeight w:val="250"/>
        </w:trPr>
        <w:tc>
          <w:tcPr>
            <w:tcW w:w="1200" w:type="dxa"/>
            <w:tcBorders>
              <w:top w:val="nil"/>
              <w:left w:val="nil"/>
              <w:bottom w:val="nil"/>
              <w:right w:val="nil"/>
            </w:tcBorders>
            <w:shd w:val="clear" w:color="auto" w:fill="auto"/>
            <w:noWrap/>
            <w:vAlign w:val="center"/>
            <w:hideMark/>
          </w:tcPr>
          <w:p w14:paraId="4822B92C" w14:textId="77777777" w:rsidR="00176380" w:rsidRDefault="00176380">
            <w:pPr>
              <w:jc w:val="center"/>
              <w:rPr>
                <w:sz w:val="16"/>
                <w:szCs w:val="16"/>
              </w:rPr>
            </w:pPr>
          </w:p>
        </w:tc>
        <w:tc>
          <w:tcPr>
            <w:tcW w:w="780" w:type="dxa"/>
            <w:tcBorders>
              <w:top w:val="nil"/>
              <w:left w:val="nil"/>
              <w:bottom w:val="nil"/>
              <w:right w:val="nil"/>
            </w:tcBorders>
            <w:shd w:val="clear" w:color="auto" w:fill="auto"/>
            <w:vAlign w:val="center"/>
            <w:hideMark/>
          </w:tcPr>
          <w:p w14:paraId="77269AC2" w14:textId="77777777" w:rsidR="00176380" w:rsidRDefault="00176380">
            <w:pPr>
              <w:rPr>
                <w:b/>
                <w:bCs/>
                <w:sz w:val="16"/>
                <w:szCs w:val="16"/>
              </w:rPr>
            </w:pPr>
            <w:r>
              <w:rPr>
                <w:b/>
                <w:bCs/>
                <w:sz w:val="16"/>
                <w:szCs w:val="16"/>
              </w:rPr>
              <w:t>Discard</w:t>
            </w:r>
          </w:p>
        </w:tc>
        <w:tc>
          <w:tcPr>
            <w:tcW w:w="540" w:type="dxa"/>
            <w:tcBorders>
              <w:top w:val="nil"/>
              <w:left w:val="nil"/>
              <w:bottom w:val="nil"/>
              <w:right w:val="nil"/>
            </w:tcBorders>
            <w:shd w:val="clear" w:color="auto" w:fill="auto"/>
            <w:vAlign w:val="center"/>
            <w:hideMark/>
          </w:tcPr>
          <w:p w14:paraId="1F0BF326" w14:textId="77777777" w:rsidR="00176380" w:rsidRDefault="00176380">
            <w:pPr>
              <w:jc w:val="center"/>
              <w:rPr>
                <w:sz w:val="16"/>
                <w:szCs w:val="16"/>
              </w:rPr>
            </w:pPr>
            <w:r>
              <w:rPr>
                <w:sz w:val="16"/>
                <w:szCs w:val="16"/>
              </w:rPr>
              <w:t>0.1</w:t>
            </w:r>
          </w:p>
        </w:tc>
        <w:tc>
          <w:tcPr>
            <w:tcW w:w="540" w:type="dxa"/>
            <w:tcBorders>
              <w:top w:val="nil"/>
              <w:left w:val="nil"/>
              <w:bottom w:val="nil"/>
              <w:right w:val="nil"/>
            </w:tcBorders>
            <w:shd w:val="clear" w:color="auto" w:fill="auto"/>
            <w:vAlign w:val="center"/>
            <w:hideMark/>
          </w:tcPr>
          <w:p w14:paraId="287BB739" w14:textId="77777777" w:rsidR="00176380" w:rsidRDefault="00176380">
            <w:pPr>
              <w:jc w:val="center"/>
              <w:rPr>
                <w:sz w:val="16"/>
                <w:szCs w:val="16"/>
              </w:rPr>
            </w:pPr>
            <w:r>
              <w:rPr>
                <w:sz w:val="16"/>
                <w:szCs w:val="16"/>
              </w:rPr>
              <w:t>0.1</w:t>
            </w:r>
          </w:p>
        </w:tc>
        <w:tc>
          <w:tcPr>
            <w:tcW w:w="540" w:type="dxa"/>
            <w:tcBorders>
              <w:top w:val="nil"/>
              <w:left w:val="nil"/>
              <w:bottom w:val="nil"/>
              <w:right w:val="nil"/>
            </w:tcBorders>
            <w:shd w:val="clear" w:color="auto" w:fill="auto"/>
            <w:vAlign w:val="center"/>
            <w:hideMark/>
          </w:tcPr>
          <w:p w14:paraId="2D30C4F3" w14:textId="77777777" w:rsidR="00176380" w:rsidRDefault="00176380">
            <w:pPr>
              <w:jc w:val="center"/>
              <w:rPr>
                <w:sz w:val="16"/>
                <w:szCs w:val="16"/>
              </w:rPr>
            </w:pPr>
            <w:r>
              <w:rPr>
                <w:sz w:val="16"/>
                <w:szCs w:val="16"/>
              </w:rPr>
              <w:t>&lt;0.1</w:t>
            </w:r>
          </w:p>
        </w:tc>
        <w:tc>
          <w:tcPr>
            <w:tcW w:w="540" w:type="dxa"/>
            <w:tcBorders>
              <w:top w:val="nil"/>
              <w:left w:val="nil"/>
              <w:bottom w:val="nil"/>
              <w:right w:val="nil"/>
            </w:tcBorders>
            <w:shd w:val="clear" w:color="auto" w:fill="auto"/>
            <w:vAlign w:val="center"/>
            <w:hideMark/>
          </w:tcPr>
          <w:p w14:paraId="43005D71" w14:textId="77777777" w:rsidR="00176380" w:rsidRDefault="00176380">
            <w:pPr>
              <w:jc w:val="center"/>
              <w:rPr>
                <w:sz w:val="16"/>
                <w:szCs w:val="16"/>
              </w:rPr>
            </w:pPr>
            <w:r>
              <w:rPr>
                <w:sz w:val="16"/>
                <w:szCs w:val="16"/>
              </w:rPr>
              <w:t>0.1</w:t>
            </w:r>
          </w:p>
        </w:tc>
        <w:tc>
          <w:tcPr>
            <w:tcW w:w="536" w:type="dxa"/>
            <w:tcBorders>
              <w:top w:val="nil"/>
              <w:left w:val="nil"/>
              <w:bottom w:val="nil"/>
              <w:right w:val="nil"/>
            </w:tcBorders>
            <w:shd w:val="clear" w:color="auto" w:fill="auto"/>
            <w:noWrap/>
            <w:vAlign w:val="center"/>
            <w:hideMark/>
          </w:tcPr>
          <w:p w14:paraId="000D969D" w14:textId="77777777" w:rsidR="00176380" w:rsidRDefault="00176380">
            <w:pPr>
              <w:jc w:val="center"/>
              <w:rPr>
                <w:sz w:val="16"/>
                <w:szCs w:val="16"/>
              </w:rPr>
            </w:pPr>
            <w:r>
              <w:rPr>
                <w:sz w:val="16"/>
                <w:szCs w:val="16"/>
              </w:rPr>
              <w:t>0.1</w:t>
            </w:r>
          </w:p>
        </w:tc>
        <w:tc>
          <w:tcPr>
            <w:tcW w:w="536" w:type="dxa"/>
            <w:tcBorders>
              <w:top w:val="nil"/>
              <w:left w:val="nil"/>
              <w:bottom w:val="nil"/>
              <w:right w:val="nil"/>
            </w:tcBorders>
            <w:shd w:val="clear" w:color="auto" w:fill="auto"/>
            <w:noWrap/>
            <w:vAlign w:val="center"/>
            <w:hideMark/>
          </w:tcPr>
          <w:p w14:paraId="2457C15B" w14:textId="77777777" w:rsidR="00176380" w:rsidRDefault="00176380">
            <w:pPr>
              <w:jc w:val="center"/>
              <w:rPr>
                <w:sz w:val="16"/>
                <w:szCs w:val="16"/>
              </w:rPr>
            </w:pPr>
            <w:r>
              <w:rPr>
                <w:sz w:val="16"/>
                <w:szCs w:val="16"/>
              </w:rPr>
              <w:t>0.1</w:t>
            </w:r>
          </w:p>
        </w:tc>
        <w:tc>
          <w:tcPr>
            <w:tcW w:w="548" w:type="dxa"/>
            <w:tcBorders>
              <w:top w:val="nil"/>
              <w:left w:val="nil"/>
              <w:bottom w:val="nil"/>
              <w:right w:val="nil"/>
            </w:tcBorders>
            <w:shd w:val="clear" w:color="auto" w:fill="auto"/>
            <w:vAlign w:val="center"/>
            <w:hideMark/>
          </w:tcPr>
          <w:p w14:paraId="55A17C00" w14:textId="77777777" w:rsidR="00176380" w:rsidRDefault="00176380">
            <w:pPr>
              <w:jc w:val="center"/>
              <w:rPr>
                <w:sz w:val="16"/>
                <w:szCs w:val="16"/>
              </w:rPr>
            </w:pPr>
            <w:r>
              <w:rPr>
                <w:sz w:val="16"/>
                <w:szCs w:val="16"/>
              </w:rPr>
              <w:t>0.1</w:t>
            </w:r>
          </w:p>
        </w:tc>
        <w:tc>
          <w:tcPr>
            <w:tcW w:w="576" w:type="dxa"/>
            <w:tcBorders>
              <w:top w:val="nil"/>
              <w:left w:val="nil"/>
              <w:bottom w:val="nil"/>
              <w:right w:val="nil"/>
            </w:tcBorders>
            <w:shd w:val="clear" w:color="auto" w:fill="auto"/>
            <w:vAlign w:val="center"/>
            <w:hideMark/>
          </w:tcPr>
          <w:p w14:paraId="2F1EFF77" w14:textId="77777777" w:rsidR="00176380" w:rsidRDefault="00176380">
            <w:pPr>
              <w:jc w:val="center"/>
              <w:rPr>
                <w:sz w:val="16"/>
                <w:szCs w:val="16"/>
              </w:rPr>
            </w:pPr>
            <w:r>
              <w:rPr>
                <w:sz w:val="16"/>
                <w:szCs w:val="16"/>
              </w:rPr>
              <w:t>0.4</w:t>
            </w:r>
          </w:p>
        </w:tc>
        <w:tc>
          <w:tcPr>
            <w:tcW w:w="576" w:type="dxa"/>
            <w:tcBorders>
              <w:top w:val="nil"/>
              <w:left w:val="nil"/>
              <w:bottom w:val="nil"/>
              <w:right w:val="nil"/>
            </w:tcBorders>
            <w:shd w:val="clear" w:color="auto" w:fill="auto"/>
            <w:vAlign w:val="center"/>
            <w:hideMark/>
          </w:tcPr>
          <w:p w14:paraId="533B4E8C" w14:textId="77777777" w:rsidR="00176380" w:rsidRDefault="00176380">
            <w:pPr>
              <w:jc w:val="center"/>
              <w:rPr>
                <w:sz w:val="16"/>
                <w:szCs w:val="16"/>
              </w:rPr>
            </w:pPr>
            <w:r>
              <w:rPr>
                <w:sz w:val="16"/>
                <w:szCs w:val="16"/>
              </w:rPr>
              <w:t>0.1</w:t>
            </w:r>
          </w:p>
        </w:tc>
        <w:tc>
          <w:tcPr>
            <w:tcW w:w="576" w:type="dxa"/>
            <w:tcBorders>
              <w:top w:val="nil"/>
              <w:left w:val="nil"/>
              <w:bottom w:val="nil"/>
              <w:right w:val="nil"/>
            </w:tcBorders>
            <w:shd w:val="clear" w:color="auto" w:fill="auto"/>
            <w:vAlign w:val="center"/>
            <w:hideMark/>
          </w:tcPr>
          <w:p w14:paraId="2541344B" w14:textId="77777777" w:rsidR="00176380" w:rsidRDefault="00176380">
            <w:pPr>
              <w:jc w:val="center"/>
              <w:rPr>
                <w:sz w:val="16"/>
                <w:szCs w:val="16"/>
              </w:rPr>
            </w:pPr>
            <w:r>
              <w:rPr>
                <w:sz w:val="16"/>
                <w:szCs w:val="16"/>
              </w:rPr>
              <w:t>&lt;0.1</w:t>
            </w:r>
          </w:p>
        </w:tc>
        <w:tc>
          <w:tcPr>
            <w:tcW w:w="538" w:type="dxa"/>
            <w:tcBorders>
              <w:top w:val="nil"/>
              <w:left w:val="nil"/>
              <w:bottom w:val="nil"/>
              <w:right w:val="nil"/>
            </w:tcBorders>
            <w:shd w:val="clear" w:color="auto" w:fill="auto"/>
            <w:vAlign w:val="center"/>
            <w:hideMark/>
          </w:tcPr>
          <w:p w14:paraId="517FD625" w14:textId="77777777" w:rsidR="00176380" w:rsidRDefault="00176380">
            <w:pPr>
              <w:jc w:val="center"/>
              <w:rPr>
                <w:sz w:val="16"/>
                <w:szCs w:val="16"/>
              </w:rPr>
            </w:pPr>
            <w:r>
              <w:rPr>
                <w:sz w:val="16"/>
                <w:szCs w:val="16"/>
              </w:rPr>
              <w:t>&lt;0.1</w:t>
            </w:r>
          </w:p>
        </w:tc>
        <w:tc>
          <w:tcPr>
            <w:tcW w:w="536" w:type="dxa"/>
            <w:tcBorders>
              <w:top w:val="nil"/>
              <w:left w:val="nil"/>
              <w:bottom w:val="nil"/>
              <w:right w:val="nil"/>
            </w:tcBorders>
            <w:shd w:val="clear" w:color="auto" w:fill="auto"/>
            <w:vAlign w:val="center"/>
            <w:hideMark/>
          </w:tcPr>
          <w:p w14:paraId="30472C6C"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3580030D" w14:textId="77777777" w:rsidR="00176380" w:rsidRDefault="00176380">
            <w:pPr>
              <w:jc w:val="center"/>
              <w:rPr>
                <w:sz w:val="16"/>
                <w:szCs w:val="16"/>
              </w:rPr>
            </w:pPr>
            <w:r>
              <w:rPr>
                <w:sz w:val="16"/>
                <w:szCs w:val="16"/>
              </w:rPr>
              <w:t>0.5</w:t>
            </w:r>
          </w:p>
        </w:tc>
        <w:tc>
          <w:tcPr>
            <w:tcW w:w="533" w:type="dxa"/>
            <w:tcBorders>
              <w:top w:val="nil"/>
              <w:left w:val="nil"/>
              <w:bottom w:val="nil"/>
              <w:right w:val="nil"/>
            </w:tcBorders>
            <w:shd w:val="clear" w:color="auto" w:fill="auto"/>
            <w:noWrap/>
            <w:vAlign w:val="bottom"/>
            <w:hideMark/>
          </w:tcPr>
          <w:p w14:paraId="0B01DF12" w14:textId="77777777" w:rsidR="00176380" w:rsidRDefault="00176380">
            <w:pPr>
              <w:jc w:val="center"/>
              <w:rPr>
                <w:sz w:val="16"/>
                <w:szCs w:val="16"/>
              </w:rPr>
            </w:pPr>
            <w:r>
              <w:rPr>
                <w:sz w:val="16"/>
                <w:szCs w:val="16"/>
              </w:rPr>
              <w:t>0.0</w:t>
            </w:r>
          </w:p>
        </w:tc>
        <w:tc>
          <w:tcPr>
            <w:tcW w:w="576" w:type="dxa"/>
            <w:tcBorders>
              <w:top w:val="nil"/>
              <w:left w:val="nil"/>
              <w:bottom w:val="nil"/>
              <w:right w:val="nil"/>
            </w:tcBorders>
            <w:shd w:val="clear" w:color="auto" w:fill="auto"/>
            <w:noWrap/>
            <w:vAlign w:val="bottom"/>
            <w:hideMark/>
          </w:tcPr>
          <w:p w14:paraId="61D764BE" w14:textId="77777777" w:rsidR="00176380" w:rsidRDefault="00176380">
            <w:pPr>
              <w:jc w:val="center"/>
              <w:rPr>
                <w:sz w:val="16"/>
                <w:szCs w:val="16"/>
              </w:rPr>
            </w:pPr>
            <w:r>
              <w:rPr>
                <w:sz w:val="16"/>
                <w:szCs w:val="16"/>
              </w:rPr>
              <w:t>7.6</w:t>
            </w:r>
          </w:p>
        </w:tc>
      </w:tr>
      <w:tr w:rsidR="00176380" w14:paraId="0E3D743E" w14:textId="77777777" w:rsidTr="00C36001">
        <w:trPr>
          <w:trHeight w:val="250"/>
        </w:trPr>
        <w:tc>
          <w:tcPr>
            <w:tcW w:w="1200" w:type="dxa"/>
            <w:tcBorders>
              <w:top w:val="nil"/>
              <w:left w:val="nil"/>
              <w:bottom w:val="nil"/>
              <w:right w:val="nil"/>
            </w:tcBorders>
            <w:shd w:val="clear" w:color="auto" w:fill="auto"/>
            <w:noWrap/>
            <w:vAlign w:val="center"/>
            <w:hideMark/>
          </w:tcPr>
          <w:p w14:paraId="10CC6140" w14:textId="77777777" w:rsidR="00176380" w:rsidRDefault="00176380">
            <w:pPr>
              <w:rPr>
                <w:b/>
                <w:bCs/>
                <w:sz w:val="16"/>
                <w:szCs w:val="16"/>
              </w:rPr>
            </w:pPr>
            <w:r>
              <w:rPr>
                <w:b/>
                <w:bCs/>
                <w:sz w:val="16"/>
                <w:szCs w:val="16"/>
              </w:rPr>
              <w:t>Total</w:t>
            </w:r>
            <w:r>
              <w:rPr>
                <w:b/>
                <w:bCs/>
                <w:sz w:val="16"/>
                <w:szCs w:val="16"/>
                <w:vertAlign w:val="superscript"/>
              </w:rPr>
              <w:t>2</w:t>
            </w:r>
          </w:p>
        </w:tc>
        <w:tc>
          <w:tcPr>
            <w:tcW w:w="780" w:type="dxa"/>
            <w:tcBorders>
              <w:top w:val="nil"/>
              <w:left w:val="nil"/>
              <w:bottom w:val="nil"/>
              <w:right w:val="nil"/>
            </w:tcBorders>
            <w:shd w:val="clear" w:color="auto" w:fill="auto"/>
            <w:vAlign w:val="center"/>
            <w:hideMark/>
          </w:tcPr>
          <w:p w14:paraId="0BBB8D20" w14:textId="77777777" w:rsidR="00176380" w:rsidRDefault="00176380">
            <w:pPr>
              <w:rPr>
                <w:b/>
                <w:bCs/>
                <w:sz w:val="16"/>
                <w:szCs w:val="16"/>
              </w:rPr>
            </w:pPr>
            <w:r>
              <w:rPr>
                <w:b/>
                <w:bCs/>
                <w:sz w:val="16"/>
                <w:szCs w:val="16"/>
              </w:rPr>
              <w:t>Quota</w:t>
            </w:r>
            <w:r>
              <w:rPr>
                <w:sz w:val="16"/>
                <w:szCs w:val="16"/>
                <w:vertAlign w:val="superscript"/>
              </w:rPr>
              <w:t>3</w:t>
            </w:r>
          </w:p>
        </w:tc>
        <w:tc>
          <w:tcPr>
            <w:tcW w:w="540" w:type="dxa"/>
            <w:tcBorders>
              <w:top w:val="nil"/>
              <w:left w:val="nil"/>
              <w:bottom w:val="nil"/>
              <w:right w:val="nil"/>
            </w:tcBorders>
            <w:shd w:val="clear" w:color="auto" w:fill="auto"/>
            <w:vAlign w:val="center"/>
            <w:hideMark/>
          </w:tcPr>
          <w:p w14:paraId="3521B2EF" w14:textId="77777777" w:rsidR="00176380" w:rsidRDefault="00176380">
            <w:pPr>
              <w:jc w:val="center"/>
              <w:rPr>
                <w:sz w:val="16"/>
                <w:szCs w:val="16"/>
              </w:rPr>
            </w:pPr>
            <w:r>
              <w:rPr>
                <w:sz w:val="16"/>
                <w:szCs w:val="16"/>
              </w:rPr>
              <w:t>23</w:t>
            </w:r>
          </w:p>
        </w:tc>
        <w:tc>
          <w:tcPr>
            <w:tcW w:w="540" w:type="dxa"/>
            <w:tcBorders>
              <w:top w:val="nil"/>
              <w:left w:val="nil"/>
              <w:bottom w:val="nil"/>
              <w:right w:val="nil"/>
            </w:tcBorders>
            <w:shd w:val="clear" w:color="auto" w:fill="auto"/>
            <w:vAlign w:val="center"/>
            <w:hideMark/>
          </w:tcPr>
          <w:p w14:paraId="68DA380A" w14:textId="77777777" w:rsidR="00176380" w:rsidRDefault="00176380">
            <w:pPr>
              <w:jc w:val="center"/>
              <w:rPr>
                <w:sz w:val="16"/>
                <w:szCs w:val="16"/>
              </w:rPr>
            </w:pPr>
            <w:r>
              <w:rPr>
                <w:sz w:val="16"/>
                <w:szCs w:val="16"/>
              </w:rPr>
              <w:t>30</w:t>
            </w:r>
          </w:p>
        </w:tc>
        <w:tc>
          <w:tcPr>
            <w:tcW w:w="540" w:type="dxa"/>
            <w:tcBorders>
              <w:top w:val="nil"/>
              <w:left w:val="nil"/>
              <w:bottom w:val="nil"/>
              <w:right w:val="nil"/>
            </w:tcBorders>
            <w:shd w:val="clear" w:color="auto" w:fill="auto"/>
            <w:vAlign w:val="center"/>
            <w:hideMark/>
          </w:tcPr>
          <w:p w14:paraId="16A4C0D6" w14:textId="77777777" w:rsidR="00176380" w:rsidRDefault="00176380">
            <w:pPr>
              <w:jc w:val="center"/>
              <w:rPr>
                <w:sz w:val="16"/>
                <w:szCs w:val="16"/>
              </w:rPr>
            </w:pPr>
            <w:r>
              <w:rPr>
                <w:sz w:val="16"/>
                <w:szCs w:val="16"/>
              </w:rPr>
              <w:t>29.6</w:t>
            </w:r>
          </w:p>
        </w:tc>
        <w:tc>
          <w:tcPr>
            <w:tcW w:w="540" w:type="dxa"/>
            <w:tcBorders>
              <w:top w:val="nil"/>
              <w:left w:val="nil"/>
              <w:bottom w:val="nil"/>
              <w:right w:val="nil"/>
            </w:tcBorders>
            <w:shd w:val="clear" w:color="auto" w:fill="auto"/>
            <w:vAlign w:val="center"/>
            <w:hideMark/>
          </w:tcPr>
          <w:p w14:paraId="4986861E" w14:textId="77777777" w:rsidR="00176380" w:rsidRDefault="00176380">
            <w:pPr>
              <w:jc w:val="center"/>
              <w:rPr>
                <w:sz w:val="16"/>
                <w:szCs w:val="16"/>
              </w:rPr>
            </w:pPr>
            <w:r>
              <w:rPr>
                <w:sz w:val="16"/>
                <w:szCs w:val="16"/>
              </w:rPr>
              <w:t>22</w:t>
            </w:r>
          </w:p>
        </w:tc>
        <w:tc>
          <w:tcPr>
            <w:tcW w:w="536" w:type="dxa"/>
            <w:tcBorders>
              <w:top w:val="nil"/>
              <w:left w:val="nil"/>
              <w:bottom w:val="nil"/>
              <w:right w:val="nil"/>
            </w:tcBorders>
            <w:shd w:val="clear" w:color="auto" w:fill="auto"/>
            <w:noWrap/>
            <w:vAlign w:val="center"/>
            <w:hideMark/>
          </w:tcPr>
          <w:p w14:paraId="48D40577" w14:textId="77777777" w:rsidR="00176380" w:rsidRDefault="00176380">
            <w:pPr>
              <w:jc w:val="center"/>
              <w:rPr>
                <w:sz w:val="16"/>
                <w:szCs w:val="16"/>
              </w:rPr>
            </w:pPr>
            <w:r>
              <w:rPr>
                <w:sz w:val="16"/>
                <w:szCs w:val="16"/>
              </w:rPr>
              <w:t>16</w:t>
            </w:r>
          </w:p>
        </w:tc>
        <w:tc>
          <w:tcPr>
            <w:tcW w:w="536" w:type="dxa"/>
            <w:tcBorders>
              <w:top w:val="nil"/>
              <w:left w:val="nil"/>
              <w:bottom w:val="nil"/>
              <w:right w:val="nil"/>
            </w:tcBorders>
            <w:shd w:val="clear" w:color="auto" w:fill="auto"/>
            <w:noWrap/>
            <w:vAlign w:val="center"/>
            <w:hideMark/>
          </w:tcPr>
          <w:p w14:paraId="08E27489" w14:textId="77777777" w:rsidR="00176380" w:rsidRDefault="00176380">
            <w:pPr>
              <w:jc w:val="center"/>
              <w:rPr>
                <w:sz w:val="16"/>
                <w:szCs w:val="16"/>
              </w:rPr>
            </w:pPr>
            <w:r>
              <w:rPr>
                <w:sz w:val="16"/>
                <w:szCs w:val="16"/>
              </w:rPr>
              <w:t>10.4</w:t>
            </w:r>
          </w:p>
        </w:tc>
        <w:tc>
          <w:tcPr>
            <w:tcW w:w="548" w:type="dxa"/>
            <w:tcBorders>
              <w:top w:val="nil"/>
              <w:left w:val="nil"/>
              <w:bottom w:val="nil"/>
              <w:right w:val="nil"/>
            </w:tcBorders>
            <w:shd w:val="clear" w:color="auto" w:fill="auto"/>
            <w:vAlign w:val="center"/>
            <w:hideMark/>
          </w:tcPr>
          <w:p w14:paraId="729D5820" w14:textId="77777777" w:rsidR="00176380" w:rsidRDefault="00176380">
            <w:pPr>
              <w:jc w:val="center"/>
              <w:rPr>
                <w:sz w:val="16"/>
                <w:szCs w:val="16"/>
              </w:rPr>
            </w:pPr>
            <w:r>
              <w:rPr>
                <w:sz w:val="16"/>
                <w:szCs w:val="16"/>
              </w:rPr>
              <w:t>27</w:t>
            </w:r>
          </w:p>
        </w:tc>
        <w:tc>
          <w:tcPr>
            <w:tcW w:w="576" w:type="dxa"/>
            <w:tcBorders>
              <w:top w:val="nil"/>
              <w:left w:val="nil"/>
              <w:bottom w:val="nil"/>
              <w:right w:val="nil"/>
            </w:tcBorders>
            <w:shd w:val="clear" w:color="auto" w:fill="auto"/>
            <w:vAlign w:val="center"/>
            <w:hideMark/>
          </w:tcPr>
          <w:p w14:paraId="194AB1D9" w14:textId="77777777" w:rsidR="00176380" w:rsidRDefault="00176380">
            <w:pPr>
              <w:jc w:val="center"/>
              <w:rPr>
                <w:sz w:val="16"/>
                <w:szCs w:val="16"/>
              </w:rPr>
            </w:pPr>
            <w:r>
              <w:rPr>
                <w:sz w:val="16"/>
                <w:szCs w:val="16"/>
              </w:rPr>
              <w:t>37</w:t>
            </w:r>
          </w:p>
        </w:tc>
        <w:tc>
          <w:tcPr>
            <w:tcW w:w="576" w:type="dxa"/>
            <w:tcBorders>
              <w:top w:val="nil"/>
              <w:left w:val="nil"/>
              <w:bottom w:val="nil"/>
              <w:right w:val="nil"/>
            </w:tcBorders>
            <w:shd w:val="clear" w:color="auto" w:fill="auto"/>
            <w:vAlign w:val="center"/>
            <w:hideMark/>
          </w:tcPr>
          <w:p w14:paraId="61958CCD" w14:textId="77777777" w:rsidR="00176380" w:rsidRDefault="00176380">
            <w:pPr>
              <w:jc w:val="center"/>
              <w:rPr>
                <w:sz w:val="16"/>
                <w:szCs w:val="16"/>
              </w:rPr>
            </w:pPr>
            <w:r>
              <w:rPr>
                <w:sz w:val="16"/>
                <w:szCs w:val="16"/>
              </w:rPr>
              <w:t>37</w:t>
            </w:r>
          </w:p>
        </w:tc>
        <w:tc>
          <w:tcPr>
            <w:tcW w:w="576" w:type="dxa"/>
            <w:tcBorders>
              <w:top w:val="nil"/>
              <w:left w:val="nil"/>
              <w:bottom w:val="nil"/>
              <w:right w:val="nil"/>
            </w:tcBorders>
            <w:shd w:val="clear" w:color="auto" w:fill="auto"/>
            <w:vAlign w:val="center"/>
            <w:hideMark/>
          </w:tcPr>
          <w:p w14:paraId="41476C70" w14:textId="77777777" w:rsidR="00176380" w:rsidRDefault="00176380">
            <w:pPr>
              <w:jc w:val="center"/>
              <w:rPr>
                <w:sz w:val="16"/>
                <w:szCs w:val="16"/>
              </w:rPr>
            </w:pPr>
            <w:r>
              <w:rPr>
                <w:sz w:val="16"/>
                <w:szCs w:val="16"/>
              </w:rPr>
              <w:t>50.0</w:t>
            </w:r>
          </w:p>
        </w:tc>
        <w:tc>
          <w:tcPr>
            <w:tcW w:w="538" w:type="dxa"/>
            <w:tcBorders>
              <w:top w:val="nil"/>
              <w:left w:val="nil"/>
              <w:bottom w:val="nil"/>
              <w:right w:val="nil"/>
            </w:tcBorders>
            <w:shd w:val="clear" w:color="auto" w:fill="auto"/>
            <w:vAlign w:val="center"/>
            <w:hideMark/>
          </w:tcPr>
          <w:p w14:paraId="6C17E7F7" w14:textId="77777777" w:rsidR="00176380" w:rsidRDefault="00176380">
            <w:pPr>
              <w:jc w:val="center"/>
              <w:rPr>
                <w:sz w:val="16"/>
                <w:szCs w:val="16"/>
              </w:rPr>
            </w:pPr>
            <w:r>
              <w:rPr>
                <w:sz w:val="16"/>
                <w:szCs w:val="16"/>
              </w:rPr>
              <w:t>40.0</w:t>
            </w:r>
          </w:p>
        </w:tc>
        <w:tc>
          <w:tcPr>
            <w:tcW w:w="536" w:type="dxa"/>
            <w:tcBorders>
              <w:top w:val="nil"/>
              <w:left w:val="nil"/>
              <w:bottom w:val="nil"/>
              <w:right w:val="nil"/>
            </w:tcBorders>
            <w:shd w:val="clear" w:color="auto" w:fill="auto"/>
            <w:vAlign w:val="center"/>
            <w:hideMark/>
          </w:tcPr>
          <w:p w14:paraId="6C2AE26B" w14:textId="77777777" w:rsidR="00176380" w:rsidRDefault="00176380">
            <w:pPr>
              <w:jc w:val="center"/>
              <w:rPr>
                <w:sz w:val="16"/>
                <w:szCs w:val="16"/>
              </w:rPr>
            </w:pPr>
            <w:r>
              <w:rPr>
                <w:sz w:val="16"/>
                <w:szCs w:val="16"/>
              </w:rPr>
              <w:t>30.0</w:t>
            </w:r>
          </w:p>
        </w:tc>
        <w:tc>
          <w:tcPr>
            <w:tcW w:w="542" w:type="dxa"/>
            <w:tcBorders>
              <w:top w:val="nil"/>
              <w:left w:val="nil"/>
              <w:bottom w:val="nil"/>
              <w:right w:val="nil"/>
            </w:tcBorders>
            <w:shd w:val="clear" w:color="auto" w:fill="auto"/>
            <w:noWrap/>
            <w:vAlign w:val="bottom"/>
            <w:hideMark/>
          </w:tcPr>
          <w:p w14:paraId="443D0E18" w14:textId="77777777" w:rsidR="00176380" w:rsidRDefault="00176380">
            <w:pPr>
              <w:jc w:val="center"/>
              <w:rPr>
                <w:sz w:val="16"/>
                <w:szCs w:val="16"/>
              </w:rPr>
            </w:pPr>
          </w:p>
        </w:tc>
        <w:tc>
          <w:tcPr>
            <w:tcW w:w="533" w:type="dxa"/>
            <w:tcBorders>
              <w:top w:val="nil"/>
              <w:left w:val="nil"/>
              <w:bottom w:val="nil"/>
              <w:right w:val="nil"/>
            </w:tcBorders>
            <w:shd w:val="clear" w:color="auto" w:fill="auto"/>
            <w:noWrap/>
            <w:vAlign w:val="bottom"/>
            <w:hideMark/>
          </w:tcPr>
          <w:p w14:paraId="755285DC" w14:textId="77777777" w:rsidR="00176380" w:rsidRDefault="00176380">
            <w:pPr>
              <w:jc w:val="center"/>
              <w:rPr>
                <w:sz w:val="20"/>
                <w:szCs w:val="20"/>
              </w:rPr>
            </w:pPr>
          </w:p>
        </w:tc>
        <w:tc>
          <w:tcPr>
            <w:tcW w:w="576" w:type="dxa"/>
            <w:tcBorders>
              <w:top w:val="nil"/>
              <w:left w:val="nil"/>
              <w:bottom w:val="nil"/>
              <w:right w:val="nil"/>
            </w:tcBorders>
            <w:shd w:val="clear" w:color="auto" w:fill="auto"/>
            <w:noWrap/>
            <w:vAlign w:val="bottom"/>
            <w:hideMark/>
          </w:tcPr>
          <w:p w14:paraId="79E62C46" w14:textId="77777777" w:rsidR="00176380" w:rsidRDefault="00176380">
            <w:pPr>
              <w:jc w:val="center"/>
              <w:rPr>
                <w:sz w:val="20"/>
                <w:szCs w:val="20"/>
              </w:rPr>
            </w:pPr>
          </w:p>
        </w:tc>
      </w:tr>
      <w:tr w:rsidR="00176380" w14:paraId="1D1AC754" w14:textId="77777777" w:rsidTr="00C36001">
        <w:trPr>
          <w:trHeight w:val="250"/>
        </w:trPr>
        <w:tc>
          <w:tcPr>
            <w:tcW w:w="1200" w:type="dxa"/>
            <w:tcBorders>
              <w:top w:val="nil"/>
              <w:left w:val="nil"/>
              <w:bottom w:val="nil"/>
              <w:right w:val="nil"/>
            </w:tcBorders>
            <w:shd w:val="clear" w:color="auto" w:fill="auto"/>
            <w:noWrap/>
            <w:vAlign w:val="center"/>
            <w:hideMark/>
          </w:tcPr>
          <w:p w14:paraId="66A116E8" w14:textId="77777777" w:rsidR="00176380" w:rsidRDefault="00176380">
            <w:pPr>
              <w:jc w:val="center"/>
              <w:rPr>
                <w:sz w:val="20"/>
                <w:szCs w:val="20"/>
              </w:rPr>
            </w:pPr>
          </w:p>
        </w:tc>
        <w:tc>
          <w:tcPr>
            <w:tcW w:w="780" w:type="dxa"/>
            <w:tcBorders>
              <w:top w:val="nil"/>
              <w:left w:val="nil"/>
              <w:bottom w:val="nil"/>
              <w:right w:val="nil"/>
            </w:tcBorders>
            <w:shd w:val="clear" w:color="auto" w:fill="auto"/>
            <w:vAlign w:val="center"/>
            <w:hideMark/>
          </w:tcPr>
          <w:p w14:paraId="4CF8BED0" w14:textId="77777777" w:rsidR="00176380" w:rsidRDefault="00176380">
            <w:pPr>
              <w:rPr>
                <w:b/>
                <w:bCs/>
                <w:sz w:val="16"/>
                <w:szCs w:val="16"/>
              </w:rPr>
            </w:pPr>
            <w:r>
              <w:rPr>
                <w:b/>
                <w:bCs/>
                <w:sz w:val="16"/>
                <w:szCs w:val="16"/>
              </w:rPr>
              <w:t>Catch</w:t>
            </w:r>
            <w:r>
              <w:rPr>
                <w:sz w:val="16"/>
                <w:szCs w:val="16"/>
                <w:vertAlign w:val="superscript"/>
              </w:rPr>
              <w:t>5,6</w:t>
            </w:r>
          </w:p>
        </w:tc>
        <w:tc>
          <w:tcPr>
            <w:tcW w:w="540" w:type="dxa"/>
            <w:tcBorders>
              <w:top w:val="nil"/>
              <w:left w:val="nil"/>
              <w:bottom w:val="nil"/>
              <w:right w:val="nil"/>
            </w:tcBorders>
            <w:shd w:val="clear" w:color="auto" w:fill="auto"/>
            <w:vAlign w:val="center"/>
            <w:hideMark/>
          </w:tcPr>
          <w:p w14:paraId="7DBD070D" w14:textId="77777777" w:rsidR="00176380" w:rsidRDefault="00176380">
            <w:pPr>
              <w:jc w:val="center"/>
              <w:rPr>
                <w:sz w:val="16"/>
                <w:szCs w:val="16"/>
              </w:rPr>
            </w:pPr>
            <w:r>
              <w:rPr>
                <w:sz w:val="16"/>
                <w:szCs w:val="16"/>
              </w:rPr>
              <w:t>16.5</w:t>
            </w:r>
          </w:p>
        </w:tc>
        <w:tc>
          <w:tcPr>
            <w:tcW w:w="540" w:type="dxa"/>
            <w:tcBorders>
              <w:top w:val="nil"/>
              <w:left w:val="nil"/>
              <w:bottom w:val="nil"/>
              <w:right w:val="nil"/>
            </w:tcBorders>
            <w:shd w:val="clear" w:color="auto" w:fill="auto"/>
            <w:vAlign w:val="center"/>
            <w:hideMark/>
          </w:tcPr>
          <w:p w14:paraId="57C48797" w14:textId="77777777" w:rsidR="00176380" w:rsidRDefault="00176380">
            <w:pPr>
              <w:jc w:val="center"/>
              <w:rPr>
                <w:sz w:val="16"/>
                <w:szCs w:val="16"/>
              </w:rPr>
            </w:pPr>
            <w:r>
              <w:rPr>
                <w:sz w:val="16"/>
                <w:szCs w:val="16"/>
              </w:rPr>
              <w:t>19.2</w:t>
            </w:r>
          </w:p>
        </w:tc>
        <w:tc>
          <w:tcPr>
            <w:tcW w:w="540" w:type="dxa"/>
            <w:tcBorders>
              <w:top w:val="nil"/>
              <w:left w:val="nil"/>
              <w:bottom w:val="nil"/>
              <w:right w:val="nil"/>
            </w:tcBorders>
            <w:shd w:val="clear" w:color="auto" w:fill="auto"/>
            <w:vAlign w:val="center"/>
            <w:hideMark/>
          </w:tcPr>
          <w:p w14:paraId="29928E17" w14:textId="77777777" w:rsidR="00176380" w:rsidRDefault="00176380">
            <w:pPr>
              <w:jc w:val="center"/>
              <w:rPr>
                <w:sz w:val="16"/>
                <w:szCs w:val="16"/>
              </w:rPr>
            </w:pPr>
            <w:r>
              <w:rPr>
                <w:sz w:val="16"/>
                <w:szCs w:val="16"/>
              </w:rPr>
              <w:t>18.4</w:t>
            </w:r>
          </w:p>
        </w:tc>
        <w:tc>
          <w:tcPr>
            <w:tcW w:w="540" w:type="dxa"/>
            <w:tcBorders>
              <w:top w:val="nil"/>
              <w:left w:val="nil"/>
              <w:bottom w:val="nil"/>
              <w:right w:val="nil"/>
            </w:tcBorders>
            <w:shd w:val="clear" w:color="auto" w:fill="auto"/>
            <w:vAlign w:val="center"/>
            <w:hideMark/>
          </w:tcPr>
          <w:p w14:paraId="7661C0D9" w14:textId="77777777" w:rsidR="00176380" w:rsidRDefault="00176380">
            <w:pPr>
              <w:jc w:val="center"/>
              <w:rPr>
                <w:sz w:val="16"/>
                <w:szCs w:val="16"/>
              </w:rPr>
            </w:pPr>
            <w:r>
              <w:rPr>
                <w:sz w:val="16"/>
                <w:szCs w:val="16"/>
              </w:rPr>
              <w:t>12.3</w:t>
            </w:r>
          </w:p>
        </w:tc>
        <w:tc>
          <w:tcPr>
            <w:tcW w:w="536" w:type="dxa"/>
            <w:tcBorders>
              <w:top w:val="nil"/>
              <w:left w:val="nil"/>
              <w:bottom w:val="nil"/>
              <w:right w:val="nil"/>
            </w:tcBorders>
            <w:shd w:val="clear" w:color="auto" w:fill="auto"/>
            <w:noWrap/>
            <w:vAlign w:val="center"/>
            <w:hideMark/>
          </w:tcPr>
          <w:p w14:paraId="1F304363" w14:textId="77777777" w:rsidR="00176380" w:rsidRDefault="00176380">
            <w:pPr>
              <w:jc w:val="center"/>
              <w:rPr>
                <w:sz w:val="16"/>
                <w:szCs w:val="16"/>
              </w:rPr>
            </w:pPr>
            <w:r>
              <w:rPr>
                <w:sz w:val="16"/>
                <w:szCs w:val="16"/>
              </w:rPr>
              <w:t>5.5</w:t>
            </w:r>
          </w:p>
        </w:tc>
        <w:tc>
          <w:tcPr>
            <w:tcW w:w="536" w:type="dxa"/>
            <w:tcBorders>
              <w:top w:val="nil"/>
              <w:left w:val="nil"/>
              <w:bottom w:val="nil"/>
              <w:right w:val="nil"/>
            </w:tcBorders>
            <w:shd w:val="clear" w:color="auto" w:fill="auto"/>
            <w:noWrap/>
            <w:vAlign w:val="center"/>
            <w:hideMark/>
          </w:tcPr>
          <w:p w14:paraId="1995FEDD" w14:textId="77777777" w:rsidR="00176380" w:rsidRDefault="00176380">
            <w:pPr>
              <w:jc w:val="center"/>
              <w:rPr>
                <w:sz w:val="16"/>
                <w:szCs w:val="16"/>
              </w:rPr>
            </w:pPr>
            <w:r>
              <w:rPr>
                <w:sz w:val="16"/>
                <w:szCs w:val="16"/>
              </w:rPr>
              <w:t>5.2</w:t>
            </w:r>
          </w:p>
        </w:tc>
        <w:tc>
          <w:tcPr>
            <w:tcW w:w="548" w:type="dxa"/>
            <w:tcBorders>
              <w:top w:val="nil"/>
              <w:left w:val="nil"/>
              <w:bottom w:val="nil"/>
              <w:right w:val="nil"/>
            </w:tcBorders>
            <w:shd w:val="clear" w:color="auto" w:fill="auto"/>
            <w:vAlign w:val="center"/>
            <w:hideMark/>
          </w:tcPr>
          <w:p w14:paraId="2A5F2C38" w14:textId="77777777" w:rsidR="00176380" w:rsidRDefault="00176380">
            <w:pPr>
              <w:jc w:val="center"/>
              <w:rPr>
                <w:sz w:val="16"/>
                <w:szCs w:val="16"/>
              </w:rPr>
            </w:pPr>
            <w:r>
              <w:rPr>
                <w:sz w:val="16"/>
                <w:szCs w:val="16"/>
              </w:rPr>
              <w:t>14.3</w:t>
            </w:r>
          </w:p>
        </w:tc>
        <w:tc>
          <w:tcPr>
            <w:tcW w:w="576" w:type="dxa"/>
            <w:tcBorders>
              <w:top w:val="nil"/>
              <w:left w:val="nil"/>
              <w:bottom w:val="nil"/>
              <w:right w:val="nil"/>
            </w:tcBorders>
            <w:shd w:val="clear" w:color="auto" w:fill="auto"/>
            <w:vAlign w:val="center"/>
            <w:hideMark/>
          </w:tcPr>
          <w:p w14:paraId="20302235" w14:textId="77777777" w:rsidR="00176380" w:rsidRDefault="00176380">
            <w:pPr>
              <w:jc w:val="center"/>
              <w:rPr>
                <w:sz w:val="16"/>
                <w:szCs w:val="16"/>
              </w:rPr>
            </w:pPr>
            <w:r>
              <w:rPr>
                <w:sz w:val="16"/>
                <w:szCs w:val="16"/>
              </w:rPr>
              <w:t>16.5</w:t>
            </w:r>
          </w:p>
        </w:tc>
        <w:tc>
          <w:tcPr>
            <w:tcW w:w="576" w:type="dxa"/>
            <w:tcBorders>
              <w:top w:val="nil"/>
              <w:left w:val="nil"/>
              <w:bottom w:val="nil"/>
              <w:right w:val="nil"/>
            </w:tcBorders>
            <w:shd w:val="clear" w:color="auto" w:fill="auto"/>
            <w:vAlign w:val="center"/>
            <w:hideMark/>
          </w:tcPr>
          <w:p w14:paraId="719D1821" w14:textId="77777777" w:rsidR="00176380" w:rsidRDefault="00176380">
            <w:pPr>
              <w:jc w:val="center"/>
              <w:rPr>
                <w:sz w:val="16"/>
                <w:szCs w:val="16"/>
              </w:rPr>
            </w:pPr>
            <w:r>
              <w:rPr>
                <w:sz w:val="16"/>
                <w:szCs w:val="16"/>
              </w:rPr>
              <w:t>12.4</w:t>
            </w:r>
          </w:p>
        </w:tc>
        <w:tc>
          <w:tcPr>
            <w:tcW w:w="576" w:type="dxa"/>
            <w:tcBorders>
              <w:top w:val="nil"/>
              <w:left w:val="nil"/>
              <w:bottom w:val="nil"/>
              <w:right w:val="nil"/>
            </w:tcBorders>
            <w:shd w:val="clear" w:color="auto" w:fill="auto"/>
            <w:vAlign w:val="center"/>
            <w:hideMark/>
          </w:tcPr>
          <w:p w14:paraId="32B391C4" w14:textId="77777777" w:rsidR="00176380" w:rsidRDefault="00176380">
            <w:pPr>
              <w:jc w:val="center"/>
              <w:rPr>
                <w:sz w:val="16"/>
                <w:szCs w:val="16"/>
              </w:rPr>
            </w:pPr>
            <w:r>
              <w:rPr>
                <w:sz w:val="16"/>
                <w:szCs w:val="16"/>
              </w:rPr>
              <w:t>13.9</w:t>
            </w:r>
          </w:p>
        </w:tc>
        <w:tc>
          <w:tcPr>
            <w:tcW w:w="538" w:type="dxa"/>
            <w:tcBorders>
              <w:top w:val="nil"/>
              <w:left w:val="nil"/>
              <w:bottom w:val="nil"/>
              <w:right w:val="nil"/>
            </w:tcBorders>
            <w:shd w:val="clear" w:color="auto" w:fill="auto"/>
            <w:noWrap/>
            <w:vAlign w:val="bottom"/>
            <w:hideMark/>
          </w:tcPr>
          <w:p w14:paraId="2DEBD5B6" w14:textId="77777777" w:rsidR="00176380" w:rsidRDefault="00176380">
            <w:pPr>
              <w:jc w:val="center"/>
              <w:rPr>
                <w:sz w:val="16"/>
                <w:szCs w:val="16"/>
              </w:rPr>
            </w:pPr>
            <w:r>
              <w:rPr>
                <w:sz w:val="16"/>
                <w:szCs w:val="16"/>
              </w:rPr>
              <w:t>12.5</w:t>
            </w:r>
          </w:p>
        </w:tc>
        <w:tc>
          <w:tcPr>
            <w:tcW w:w="536" w:type="dxa"/>
            <w:tcBorders>
              <w:top w:val="nil"/>
              <w:left w:val="nil"/>
              <w:bottom w:val="nil"/>
              <w:right w:val="nil"/>
            </w:tcBorders>
            <w:shd w:val="clear" w:color="auto" w:fill="auto"/>
            <w:vAlign w:val="center"/>
            <w:hideMark/>
          </w:tcPr>
          <w:p w14:paraId="4B7261DC"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7E211E58" w14:textId="77777777" w:rsidR="00176380" w:rsidRDefault="00176380">
            <w:pPr>
              <w:jc w:val="center"/>
              <w:rPr>
                <w:sz w:val="20"/>
                <w:szCs w:val="20"/>
              </w:rPr>
            </w:pPr>
          </w:p>
        </w:tc>
        <w:tc>
          <w:tcPr>
            <w:tcW w:w="533" w:type="dxa"/>
            <w:tcBorders>
              <w:top w:val="nil"/>
              <w:left w:val="nil"/>
              <w:bottom w:val="nil"/>
              <w:right w:val="nil"/>
            </w:tcBorders>
            <w:shd w:val="clear" w:color="auto" w:fill="auto"/>
            <w:noWrap/>
            <w:vAlign w:val="bottom"/>
            <w:hideMark/>
          </w:tcPr>
          <w:p w14:paraId="5796059C" w14:textId="77777777" w:rsidR="00176380" w:rsidRDefault="00176380">
            <w:pPr>
              <w:jc w:val="center"/>
              <w:rPr>
                <w:sz w:val="20"/>
                <w:szCs w:val="20"/>
              </w:rPr>
            </w:pPr>
          </w:p>
        </w:tc>
        <w:tc>
          <w:tcPr>
            <w:tcW w:w="576" w:type="dxa"/>
            <w:tcBorders>
              <w:top w:val="nil"/>
              <w:left w:val="nil"/>
              <w:bottom w:val="nil"/>
              <w:right w:val="nil"/>
            </w:tcBorders>
            <w:shd w:val="clear" w:color="auto" w:fill="auto"/>
            <w:noWrap/>
            <w:vAlign w:val="bottom"/>
            <w:hideMark/>
          </w:tcPr>
          <w:p w14:paraId="31622463" w14:textId="77777777" w:rsidR="00176380" w:rsidRDefault="00176380">
            <w:pPr>
              <w:jc w:val="center"/>
              <w:rPr>
                <w:sz w:val="20"/>
                <w:szCs w:val="20"/>
              </w:rPr>
            </w:pPr>
          </w:p>
        </w:tc>
      </w:tr>
      <w:tr w:rsidR="00176380" w14:paraId="1ED8AB78" w14:textId="77777777" w:rsidTr="00C36001">
        <w:trPr>
          <w:trHeight w:val="250"/>
        </w:trPr>
        <w:tc>
          <w:tcPr>
            <w:tcW w:w="1200" w:type="dxa"/>
            <w:tcBorders>
              <w:top w:val="nil"/>
              <w:left w:val="nil"/>
              <w:bottom w:val="nil"/>
              <w:right w:val="nil"/>
            </w:tcBorders>
            <w:shd w:val="clear" w:color="auto" w:fill="auto"/>
            <w:noWrap/>
            <w:vAlign w:val="center"/>
            <w:hideMark/>
          </w:tcPr>
          <w:p w14:paraId="275DA16E" w14:textId="77777777" w:rsidR="00176380" w:rsidRDefault="00176380">
            <w:pPr>
              <w:jc w:val="center"/>
              <w:rPr>
                <w:sz w:val="20"/>
                <w:szCs w:val="20"/>
              </w:rPr>
            </w:pPr>
          </w:p>
        </w:tc>
        <w:tc>
          <w:tcPr>
            <w:tcW w:w="780" w:type="dxa"/>
            <w:tcBorders>
              <w:top w:val="nil"/>
              <w:left w:val="nil"/>
              <w:bottom w:val="nil"/>
              <w:right w:val="nil"/>
            </w:tcBorders>
            <w:shd w:val="clear" w:color="auto" w:fill="auto"/>
            <w:vAlign w:val="center"/>
            <w:hideMark/>
          </w:tcPr>
          <w:p w14:paraId="4E06D07A" w14:textId="77777777" w:rsidR="00176380" w:rsidRDefault="00176380">
            <w:pPr>
              <w:rPr>
                <w:b/>
                <w:bCs/>
                <w:sz w:val="16"/>
                <w:szCs w:val="16"/>
              </w:rPr>
            </w:pPr>
            <w:r>
              <w:rPr>
                <w:b/>
                <w:bCs/>
                <w:sz w:val="16"/>
                <w:szCs w:val="16"/>
              </w:rPr>
              <w:t>Catch</w:t>
            </w:r>
          </w:p>
        </w:tc>
        <w:tc>
          <w:tcPr>
            <w:tcW w:w="540" w:type="dxa"/>
            <w:tcBorders>
              <w:top w:val="nil"/>
              <w:left w:val="nil"/>
              <w:bottom w:val="nil"/>
              <w:right w:val="nil"/>
            </w:tcBorders>
            <w:shd w:val="clear" w:color="auto" w:fill="auto"/>
            <w:vAlign w:val="center"/>
            <w:hideMark/>
          </w:tcPr>
          <w:p w14:paraId="7678B827" w14:textId="77777777" w:rsidR="00176380" w:rsidRDefault="00176380">
            <w:pPr>
              <w:jc w:val="center"/>
              <w:rPr>
                <w:sz w:val="16"/>
                <w:szCs w:val="16"/>
              </w:rPr>
            </w:pPr>
            <w:r>
              <w:rPr>
                <w:sz w:val="16"/>
                <w:szCs w:val="16"/>
              </w:rPr>
              <w:t>16</w:t>
            </w:r>
          </w:p>
        </w:tc>
        <w:tc>
          <w:tcPr>
            <w:tcW w:w="540" w:type="dxa"/>
            <w:tcBorders>
              <w:top w:val="nil"/>
              <w:left w:val="nil"/>
              <w:bottom w:val="nil"/>
              <w:right w:val="nil"/>
            </w:tcBorders>
            <w:shd w:val="clear" w:color="auto" w:fill="auto"/>
            <w:vAlign w:val="center"/>
            <w:hideMark/>
          </w:tcPr>
          <w:p w14:paraId="103D9639" w14:textId="77777777" w:rsidR="00176380" w:rsidRDefault="00176380">
            <w:pPr>
              <w:jc w:val="center"/>
              <w:rPr>
                <w:sz w:val="16"/>
                <w:szCs w:val="16"/>
              </w:rPr>
            </w:pPr>
            <w:r>
              <w:rPr>
                <w:sz w:val="16"/>
                <w:szCs w:val="16"/>
              </w:rPr>
              <w:t>19.9</w:t>
            </w:r>
          </w:p>
        </w:tc>
        <w:tc>
          <w:tcPr>
            <w:tcW w:w="540" w:type="dxa"/>
            <w:tcBorders>
              <w:top w:val="nil"/>
              <w:left w:val="nil"/>
              <w:bottom w:val="nil"/>
              <w:right w:val="nil"/>
            </w:tcBorders>
            <w:shd w:val="clear" w:color="auto" w:fill="auto"/>
            <w:vAlign w:val="center"/>
            <w:hideMark/>
          </w:tcPr>
          <w:p w14:paraId="25B8CB78" w14:textId="77777777" w:rsidR="00176380" w:rsidRDefault="00176380">
            <w:pPr>
              <w:jc w:val="center"/>
              <w:rPr>
                <w:sz w:val="16"/>
                <w:szCs w:val="16"/>
              </w:rPr>
            </w:pPr>
            <w:r>
              <w:rPr>
                <w:sz w:val="16"/>
                <w:szCs w:val="16"/>
              </w:rPr>
              <w:t>18.8</w:t>
            </w:r>
          </w:p>
        </w:tc>
        <w:tc>
          <w:tcPr>
            <w:tcW w:w="540" w:type="dxa"/>
            <w:tcBorders>
              <w:top w:val="nil"/>
              <w:left w:val="nil"/>
              <w:bottom w:val="nil"/>
              <w:right w:val="nil"/>
            </w:tcBorders>
            <w:shd w:val="clear" w:color="auto" w:fill="auto"/>
            <w:vAlign w:val="center"/>
            <w:hideMark/>
          </w:tcPr>
          <w:p w14:paraId="3D628E5D" w14:textId="77777777" w:rsidR="00176380" w:rsidRDefault="00176380">
            <w:pPr>
              <w:jc w:val="center"/>
              <w:rPr>
                <w:sz w:val="16"/>
                <w:szCs w:val="16"/>
              </w:rPr>
            </w:pPr>
            <w:r>
              <w:rPr>
                <w:sz w:val="16"/>
                <w:szCs w:val="16"/>
              </w:rPr>
              <w:t>12.7</w:t>
            </w:r>
          </w:p>
        </w:tc>
        <w:tc>
          <w:tcPr>
            <w:tcW w:w="536" w:type="dxa"/>
            <w:tcBorders>
              <w:top w:val="nil"/>
              <w:left w:val="nil"/>
              <w:bottom w:val="nil"/>
              <w:right w:val="nil"/>
            </w:tcBorders>
            <w:shd w:val="clear" w:color="auto" w:fill="auto"/>
            <w:noWrap/>
            <w:vAlign w:val="center"/>
            <w:hideMark/>
          </w:tcPr>
          <w:p w14:paraId="08FC627A" w14:textId="77777777" w:rsidR="00176380" w:rsidRDefault="00176380">
            <w:pPr>
              <w:jc w:val="center"/>
              <w:rPr>
                <w:sz w:val="16"/>
                <w:szCs w:val="16"/>
              </w:rPr>
            </w:pPr>
            <w:r>
              <w:rPr>
                <w:sz w:val="16"/>
                <w:szCs w:val="16"/>
              </w:rPr>
              <w:t>5.6</w:t>
            </w:r>
          </w:p>
        </w:tc>
        <w:tc>
          <w:tcPr>
            <w:tcW w:w="536" w:type="dxa"/>
            <w:tcBorders>
              <w:top w:val="nil"/>
              <w:left w:val="nil"/>
              <w:bottom w:val="nil"/>
              <w:right w:val="nil"/>
            </w:tcBorders>
            <w:shd w:val="clear" w:color="auto" w:fill="auto"/>
            <w:noWrap/>
            <w:vAlign w:val="center"/>
            <w:hideMark/>
          </w:tcPr>
          <w:p w14:paraId="555A89E2" w14:textId="77777777" w:rsidR="00176380" w:rsidRDefault="00176380">
            <w:pPr>
              <w:jc w:val="center"/>
              <w:rPr>
                <w:sz w:val="16"/>
                <w:szCs w:val="16"/>
              </w:rPr>
            </w:pPr>
            <w:r>
              <w:rPr>
                <w:sz w:val="16"/>
                <w:szCs w:val="16"/>
              </w:rPr>
              <w:t>5.1</w:t>
            </w:r>
          </w:p>
        </w:tc>
        <w:tc>
          <w:tcPr>
            <w:tcW w:w="548" w:type="dxa"/>
            <w:tcBorders>
              <w:top w:val="nil"/>
              <w:left w:val="nil"/>
              <w:bottom w:val="nil"/>
              <w:right w:val="nil"/>
            </w:tcBorders>
            <w:shd w:val="clear" w:color="auto" w:fill="auto"/>
            <w:vAlign w:val="center"/>
            <w:hideMark/>
          </w:tcPr>
          <w:p w14:paraId="0D687959" w14:textId="77777777" w:rsidR="00176380" w:rsidRDefault="00176380">
            <w:pPr>
              <w:jc w:val="center"/>
              <w:rPr>
                <w:sz w:val="16"/>
                <w:szCs w:val="16"/>
              </w:rPr>
            </w:pPr>
            <w:r>
              <w:rPr>
                <w:sz w:val="16"/>
                <w:szCs w:val="16"/>
              </w:rPr>
              <w:t>14.2</w:t>
            </w:r>
          </w:p>
        </w:tc>
        <w:tc>
          <w:tcPr>
            <w:tcW w:w="576" w:type="dxa"/>
            <w:tcBorders>
              <w:top w:val="nil"/>
              <w:left w:val="nil"/>
              <w:bottom w:val="nil"/>
              <w:right w:val="nil"/>
            </w:tcBorders>
            <w:shd w:val="clear" w:color="auto" w:fill="auto"/>
            <w:vAlign w:val="center"/>
            <w:hideMark/>
          </w:tcPr>
          <w:p w14:paraId="7C04016D" w14:textId="77777777" w:rsidR="00176380" w:rsidRDefault="00176380">
            <w:pPr>
              <w:jc w:val="center"/>
              <w:rPr>
                <w:sz w:val="16"/>
                <w:szCs w:val="16"/>
              </w:rPr>
            </w:pPr>
            <w:r>
              <w:rPr>
                <w:sz w:val="16"/>
                <w:szCs w:val="16"/>
              </w:rPr>
              <w:t>16.1</w:t>
            </w:r>
          </w:p>
        </w:tc>
        <w:tc>
          <w:tcPr>
            <w:tcW w:w="576" w:type="dxa"/>
            <w:tcBorders>
              <w:top w:val="nil"/>
              <w:left w:val="nil"/>
              <w:bottom w:val="nil"/>
              <w:right w:val="nil"/>
            </w:tcBorders>
            <w:shd w:val="clear" w:color="auto" w:fill="auto"/>
            <w:vAlign w:val="center"/>
            <w:hideMark/>
          </w:tcPr>
          <w:p w14:paraId="40B7B858" w14:textId="77777777" w:rsidR="00176380" w:rsidRDefault="00176380">
            <w:pPr>
              <w:jc w:val="center"/>
              <w:rPr>
                <w:sz w:val="16"/>
                <w:szCs w:val="16"/>
              </w:rPr>
            </w:pPr>
            <w:r>
              <w:rPr>
                <w:sz w:val="16"/>
                <w:szCs w:val="16"/>
              </w:rPr>
              <w:t>12.4</w:t>
            </w:r>
          </w:p>
        </w:tc>
        <w:tc>
          <w:tcPr>
            <w:tcW w:w="576" w:type="dxa"/>
            <w:tcBorders>
              <w:top w:val="nil"/>
              <w:left w:val="nil"/>
              <w:bottom w:val="nil"/>
              <w:right w:val="nil"/>
            </w:tcBorders>
            <w:shd w:val="clear" w:color="auto" w:fill="auto"/>
            <w:vAlign w:val="center"/>
            <w:hideMark/>
          </w:tcPr>
          <w:p w14:paraId="6327EAA6" w14:textId="77777777" w:rsidR="00176380" w:rsidRDefault="00176380">
            <w:pPr>
              <w:jc w:val="center"/>
              <w:rPr>
                <w:sz w:val="16"/>
                <w:szCs w:val="16"/>
              </w:rPr>
            </w:pPr>
            <w:r>
              <w:rPr>
                <w:sz w:val="16"/>
                <w:szCs w:val="16"/>
              </w:rPr>
              <w:t>13.7</w:t>
            </w:r>
          </w:p>
        </w:tc>
        <w:tc>
          <w:tcPr>
            <w:tcW w:w="538" w:type="dxa"/>
            <w:tcBorders>
              <w:top w:val="nil"/>
              <w:left w:val="nil"/>
              <w:bottom w:val="nil"/>
              <w:right w:val="nil"/>
            </w:tcBorders>
            <w:shd w:val="clear" w:color="auto" w:fill="auto"/>
            <w:noWrap/>
            <w:vAlign w:val="bottom"/>
            <w:hideMark/>
          </w:tcPr>
          <w:p w14:paraId="0D61C49D" w14:textId="77777777" w:rsidR="00176380" w:rsidRDefault="00176380">
            <w:pPr>
              <w:jc w:val="center"/>
              <w:rPr>
                <w:sz w:val="16"/>
                <w:szCs w:val="16"/>
              </w:rPr>
            </w:pPr>
            <w:r>
              <w:rPr>
                <w:sz w:val="16"/>
                <w:szCs w:val="16"/>
              </w:rPr>
              <w:t>12.9</w:t>
            </w:r>
          </w:p>
        </w:tc>
        <w:tc>
          <w:tcPr>
            <w:tcW w:w="536" w:type="dxa"/>
            <w:tcBorders>
              <w:top w:val="nil"/>
              <w:left w:val="nil"/>
              <w:bottom w:val="nil"/>
              <w:right w:val="nil"/>
            </w:tcBorders>
            <w:shd w:val="clear" w:color="auto" w:fill="auto"/>
            <w:vAlign w:val="center"/>
            <w:hideMark/>
          </w:tcPr>
          <w:p w14:paraId="7AC07A7F" w14:textId="77777777" w:rsidR="00176380" w:rsidRDefault="00176380">
            <w:pPr>
              <w:jc w:val="center"/>
              <w:rPr>
                <w:sz w:val="16"/>
                <w:szCs w:val="16"/>
              </w:rPr>
            </w:pPr>
          </w:p>
        </w:tc>
        <w:tc>
          <w:tcPr>
            <w:tcW w:w="542" w:type="dxa"/>
            <w:tcBorders>
              <w:top w:val="nil"/>
              <w:left w:val="nil"/>
              <w:bottom w:val="nil"/>
              <w:right w:val="nil"/>
            </w:tcBorders>
            <w:shd w:val="clear" w:color="auto" w:fill="auto"/>
            <w:noWrap/>
            <w:vAlign w:val="bottom"/>
            <w:hideMark/>
          </w:tcPr>
          <w:p w14:paraId="45285492" w14:textId="77777777" w:rsidR="00176380" w:rsidRDefault="00176380">
            <w:pPr>
              <w:jc w:val="center"/>
              <w:rPr>
                <w:sz w:val="16"/>
                <w:szCs w:val="16"/>
              </w:rPr>
            </w:pPr>
            <w:r>
              <w:rPr>
                <w:sz w:val="16"/>
                <w:szCs w:val="16"/>
              </w:rPr>
              <w:t>8.7</w:t>
            </w:r>
          </w:p>
        </w:tc>
        <w:tc>
          <w:tcPr>
            <w:tcW w:w="533" w:type="dxa"/>
            <w:tcBorders>
              <w:top w:val="nil"/>
              <w:left w:val="nil"/>
              <w:bottom w:val="nil"/>
              <w:right w:val="nil"/>
            </w:tcBorders>
            <w:shd w:val="clear" w:color="auto" w:fill="auto"/>
            <w:noWrap/>
            <w:vAlign w:val="bottom"/>
            <w:hideMark/>
          </w:tcPr>
          <w:p w14:paraId="37413763" w14:textId="77777777" w:rsidR="00176380" w:rsidRDefault="00176380">
            <w:pPr>
              <w:jc w:val="center"/>
              <w:rPr>
                <w:sz w:val="16"/>
                <w:szCs w:val="16"/>
              </w:rPr>
            </w:pPr>
            <w:r>
              <w:rPr>
                <w:sz w:val="16"/>
                <w:szCs w:val="16"/>
              </w:rPr>
              <w:t>2.1</w:t>
            </w:r>
          </w:p>
        </w:tc>
        <w:tc>
          <w:tcPr>
            <w:tcW w:w="576" w:type="dxa"/>
            <w:tcBorders>
              <w:top w:val="nil"/>
              <w:left w:val="nil"/>
              <w:bottom w:val="nil"/>
              <w:right w:val="nil"/>
            </w:tcBorders>
            <w:shd w:val="clear" w:color="auto" w:fill="auto"/>
            <w:noWrap/>
            <w:vAlign w:val="bottom"/>
            <w:hideMark/>
          </w:tcPr>
          <w:p w14:paraId="5BF69C57" w14:textId="77777777" w:rsidR="00176380" w:rsidRDefault="00176380">
            <w:pPr>
              <w:jc w:val="center"/>
              <w:rPr>
                <w:sz w:val="16"/>
                <w:szCs w:val="16"/>
              </w:rPr>
            </w:pPr>
            <w:r>
              <w:rPr>
                <w:sz w:val="16"/>
                <w:szCs w:val="16"/>
              </w:rPr>
              <w:t>23.3</w:t>
            </w:r>
          </w:p>
        </w:tc>
      </w:tr>
      <w:tr w:rsidR="00176380" w14:paraId="2E3860CE" w14:textId="77777777" w:rsidTr="00C36001">
        <w:trPr>
          <w:trHeight w:val="460"/>
        </w:trPr>
        <w:tc>
          <w:tcPr>
            <w:tcW w:w="1200" w:type="dxa"/>
            <w:tcBorders>
              <w:top w:val="nil"/>
              <w:left w:val="nil"/>
              <w:bottom w:val="nil"/>
              <w:right w:val="nil"/>
            </w:tcBorders>
            <w:shd w:val="clear" w:color="auto" w:fill="auto"/>
            <w:vAlign w:val="bottom"/>
            <w:hideMark/>
          </w:tcPr>
          <w:p w14:paraId="7936E9B7" w14:textId="1BE20B7D" w:rsidR="00176380" w:rsidRDefault="00176380">
            <w:pPr>
              <w:rPr>
                <w:b/>
                <w:bCs/>
                <w:sz w:val="16"/>
                <w:szCs w:val="16"/>
              </w:rPr>
            </w:pPr>
            <w:r>
              <w:rPr>
                <w:b/>
                <w:bCs/>
                <w:sz w:val="16"/>
                <w:szCs w:val="16"/>
              </w:rPr>
              <w:t>Avg Survey Biomass Index</w:t>
            </w:r>
            <w:r w:rsidR="009B0ED0" w:rsidRPr="00C36001">
              <w:rPr>
                <w:b/>
                <w:bCs/>
                <w:sz w:val="16"/>
                <w:szCs w:val="16"/>
                <w:vertAlign w:val="superscript"/>
              </w:rPr>
              <w:t>6</w:t>
            </w:r>
          </w:p>
        </w:tc>
        <w:tc>
          <w:tcPr>
            <w:tcW w:w="780" w:type="dxa"/>
            <w:tcBorders>
              <w:top w:val="nil"/>
              <w:left w:val="nil"/>
              <w:bottom w:val="nil"/>
              <w:right w:val="nil"/>
            </w:tcBorders>
            <w:shd w:val="clear" w:color="auto" w:fill="auto"/>
            <w:noWrap/>
            <w:vAlign w:val="bottom"/>
            <w:hideMark/>
          </w:tcPr>
          <w:p w14:paraId="4AB10A7D" w14:textId="77777777" w:rsidR="00176380" w:rsidRDefault="00176380">
            <w:pPr>
              <w:rPr>
                <w:b/>
                <w:bCs/>
                <w:sz w:val="16"/>
                <w:szCs w:val="16"/>
              </w:rPr>
            </w:pPr>
          </w:p>
        </w:tc>
        <w:tc>
          <w:tcPr>
            <w:tcW w:w="540" w:type="dxa"/>
            <w:tcBorders>
              <w:top w:val="nil"/>
              <w:left w:val="nil"/>
              <w:bottom w:val="nil"/>
              <w:right w:val="nil"/>
            </w:tcBorders>
            <w:shd w:val="clear" w:color="auto" w:fill="auto"/>
            <w:noWrap/>
            <w:vAlign w:val="bottom"/>
            <w:hideMark/>
          </w:tcPr>
          <w:p w14:paraId="04EC44BD" w14:textId="77777777" w:rsidR="00176380" w:rsidRDefault="00176380">
            <w:pPr>
              <w:jc w:val="center"/>
              <w:rPr>
                <w:sz w:val="16"/>
                <w:szCs w:val="16"/>
              </w:rPr>
            </w:pPr>
            <w:r>
              <w:rPr>
                <w:sz w:val="16"/>
                <w:szCs w:val="16"/>
              </w:rPr>
              <w:t>74.4</w:t>
            </w:r>
          </w:p>
        </w:tc>
        <w:tc>
          <w:tcPr>
            <w:tcW w:w="540" w:type="dxa"/>
            <w:tcBorders>
              <w:top w:val="nil"/>
              <w:left w:val="nil"/>
              <w:bottom w:val="nil"/>
              <w:right w:val="nil"/>
            </w:tcBorders>
            <w:shd w:val="clear" w:color="auto" w:fill="auto"/>
            <w:noWrap/>
            <w:vAlign w:val="bottom"/>
            <w:hideMark/>
          </w:tcPr>
          <w:p w14:paraId="7715CCA4" w14:textId="77777777" w:rsidR="00176380" w:rsidRDefault="00176380">
            <w:pPr>
              <w:jc w:val="center"/>
              <w:rPr>
                <w:sz w:val="16"/>
                <w:szCs w:val="16"/>
              </w:rPr>
            </w:pPr>
            <w:r>
              <w:rPr>
                <w:sz w:val="16"/>
                <w:szCs w:val="16"/>
              </w:rPr>
              <w:t>54.3</w:t>
            </w:r>
          </w:p>
        </w:tc>
        <w:tc>
          <w:tcPr>
            <w:tcW w:w="540" w:type="dxa"/>
            <w:tcBorders>
              <w:top w:val="nil"/>
              <w:left w:val="nil"/>
              <w:bottom w:val="nil"/>
              <w:right w:val="nil"/>
            </w:tcBorders>
            <w:shd w:val="clear" w:color="auto" w:fill="auto"/>
            <w:noWrap/>
            <w:vAlign w:val="bottom"/>
            <w:hideMark/>
          </w:tcPr>
          <w:p w14:paraId="1A58A272" w14:textId="77777777" w:rsidR="00176380" w:rsidRDefault="00176380">
            <w:pPr>
              <w:jc w:val="center"/>
              <w:rPr>
                <w:sz w:val="16"/>
                <w:szCs w:val="16"/>
              </w:rPr>
            </w:pPr>
            <w:r>
              <w:rPr>
                <w:sz w:val="16"/>
                <w:szCs w:val="16"/>
              </w:rPr>
              <w:t>50.8</w:t>
            </w:r>
          </w:p>
        </w:tc>
        <w:tc>
          <w:tcPr>
            <w:tcW w:w="540" w:type="dxa"/>
            <w:tcBorders>
              <w:top w:val="nil"/>
              <w:left w:val="nil"/>
              <w:bottom w:val="nil"/>
              <w:right w:val="nil"/>
            </w:tcBorders>
            <w:shd w:val="clear" w:color="auto" w:fill="auto"/>
            <w:noWrap/>
            <w:vAlign w:val="bottom"/>
            <w:hideMark/>
          </w:tcPr>
          <w:p w14:paraId="555CB46C" w14:textId="77777777" w:rsidR="00176380" w:rsidRDefault="00176380">
            <w:pPr>
              <w:jc w:val="center"/>
              <w:rPr>
                <w:sz w:val="16"/>
                <w:szCs w:val="16"/>
              </w:rPr>
            </w:pPr>
            <w:r>
              <w:rPr>
                <w:sz w:val="16"/>
                <w:szCs w:val="16"/>
              </w:rPr>
              <w:t>33.4</w:t>
            </w:r>
          </w:p>
        </w:tc>
        <w:tc>
          <w:tcPr>
            <w:tcW w:w="536" w:type="dxa"/>
            <w:tcBorders>
              <w:top w:val="nil"/>
              <w:left w:val="nil"/>
              <w:bottom w:val="nil"/>
              <w:right w:val="nil"/>
            </w:tcBorders>
            <w:shd w:val="clear" w:color="auto" w:fill="auto"/>
            <w:noWrap/>
            <w:vAlign w:val="bottom"/>
            <w:hideMark/>
          </w:tcPr>
          <w:p w14:paraId="6082783C" w14:textId="77777777" w:rsidR="00176380" w:rsidRDefault="00176380">
            <w:pPr>
              <w:jc w:val="center"/>
              <w:rPr>
                <w:sz w:val="16"/>
                <w:szCs w:val="16"/>
              </w:rPr>
            </w:pPr>
            <w:r>
              <w:rPr>
                <w:sz w:val="16"/>
                <w:szCs w:val="16"/>
              </w:rPr>
              <w:t>59.7</w:t>
            </w:r>
          </w:p>
        </w:tc>
        <w:tc>
          <w:tcPr>
            <w:tcW w:w="536" w:type="dxa"/>
            <w:tcBorders>
              <w:top w:val="nil"/>
              <w:left w:val="nil"/>
              <w:bottom w:val="nil"/>
              <w:right w:val="nil"/>
            </w:tcBorders>
            <w:shd w:val="clear" w:color="auto" w:fill="auto"/>
            <w:noWrap/>
            <w:vAlign w:val="bottom"/>
            <w:hideMark/>
          </w:tcPr>
          <w:p w14:paraId="084B904F" w14:textId="77777777" w:rsidR="00176380" w:rsidRDefault="00176380">
            <w:pPr>
              <w:jc w:val="center"/>
              <w:rPr>
                <w:sz w:val="16"/>
                <w:szCs w:val="16"/>
              </w:rPr>
            </w:pPr>
            <w:r>
              <w:rPr>
                <w:sz w:val="16"/>
                <w:szCs w:val="16"/>
              </w:rPr>
              <w:t>90.7</w:t>
            </w:r>
          </w:p>
        </w:tc>
        <w:tc>
          <w:tcPr>
            <w:tcW w:w="548" w:type="dxa"/>
            <w:tcBorders>
              <w:top w:val="nil"/>
              <w:left w:val="nil"/>
              <w:bottom w:val="nil"/>
              <w:right w:val="nil"/>
            </w:tcBorders>
            <w:shd w:val="clear" w:color="auto" w:fill="auto"/>
            <w:noWrap/>
            <w:vAlign w:val="bottom"/>
            <w:hideMark/>
          </w:tcPr>
          <w:p w14:paraId="55EBD980" w14:textId="77777777" w:rsidR="00176380" w:rsidRDefault="00176380">
            <w:pPr>
              <w:jc w:val="center"/>
              <w:rPr>
                <w:sz w:val="16"/>
                <w:szCs w:val="16"/>
              </w:rPr>
            </w:pPr>
            <w:r>
              <w:rPr>
                <w:sz w:val="16"/>
                <w:szCs w:val="16"/>
              </w:rPr>
              <w:t>76.1</w:t>
            </w:r>
          </w:p>
        </w:tc>
        <w:tc>
          <w:tcPr>
            <w:tcW w:w="576" w:type="dxa"/>
            <w:tcBorders>
              <w:top w:val="nil"/>
              <w:left w:val="nil"/>
              <w:bottom w:val="nil"/>
              <w:right w:val="nil"/>
            </w:tcBorders>
            <w:shd w:val="clear" w:color="auto" w:fill="auto"/>
            <w:noWrap/>
            <w:vAlign w:val="bottom"/>
            <w:hideMark/>
          </w:tcPr>
          <w:p w14:paraId="5403E32F" w14:textId="77777777" w:rsidR="00176380" w:rsidRDefault="00176380">
            <w:pPr>
              <w:jc w:val="center"/>
              <w:rPr>
                <w:sz w:val="16"/>
                <w:szCs w:val="16"/>
              </w:rPr>
            </w:pPr>
            <w:r>
              <w:rPr>
                <w:sz w:val="16"/>
                <w:szCs w:val="16"/>
              </w:rPr>
              <w:t>138.0</w:t>
            </w:r>
          </w:p>
        </w:tc>
        <w:tc>
          <w:tcPr>
            <w:tcW w:w="576" w:type="dxa"/>
            <w:tcBorders>
              <w:top w:val="nil"/>
              <w:left w:val="nil"/>
              <w:bottom w:val="nil"/>
              <w:right w:val="nil"/>
            </w:tcBorders>
            <w:shd w:val="clear" w:color="auto" w:fill="auto"/>
            <w:noWrap/>
            <w:vAlign w:val="bottom"/>
            <w:hideMark/>
          </w:tcPr>
          <w:p w14:paraId="342F5A31" w14:textId="77777777" w:rsidR="00176380" w:rsidRDefault="00176380">
            <w:pPr>
              <w:jc w:val="center"/>
              <w:rPr>
                <w:sz w:val="16"/>
                <w:szCs w:val="16"/>
              </w:rPr>
            </w:pPr>
            <w:r>
              <w:rPr>
                <w:sz w:val="16"/>
                <w:szCs w:val="16"/>
              </w:rPr>
              <w:t>176.3</w:t>
            </w:r>
          </w:p>
        </w:tc>
        <w:tc>
          <w:tcPr>
            <w:tcW w:w="576" w:type="dxa"/>
            <w:tcBorders>
              <w:top w:val="nil"/>
              <w:left w:val="nil"/>
              <w:bottom w:val="nil"/>
              <w:right w:val="nil"/>
            </w:tcBorders>
            <w:shd w:val="clear" w:color="auto" w:fill="auto"/>
            <w:noWrap/>
            <w:vAlign w:val="bottom"/>
            <w:hideMark/>
          </w:tcPr>
          <w:p w14:paraId="17A3D4A8" w14:textId="77777777" w:rsidR="00176380" w:rsidRDefault="00176380">
            <w:pPr>
              <w:jc w:val="center"/>
              <w:rPr>
                <w:sz w:val="16"/>
                <w:szCs w:val="16"/>
              </w:rPr>
            </w:pPr>
            <w:r>
              <w:rPr>
                <w:sz w:val="16"/>
                <w:szCs w:val="16"/>
              </w:rPr>
              <w:t>104.8</w:t>
            </w:r>
          </w:p>
        </w:tc>
        <w:tc>
          <w:tcPr>
            <w:tcW w:w="538" w:type="dxa"/>
            <w:tcBorders>
              <w:top w:val="nil"/>
              <w:left w:val="nil"/>
              <w:bottom w:val="nil"/>
              <w:right w:val="nil"/>
            </w:tcBorders>
            <w:shd w:val="clear" w:color="auto" w:fill="auto"/>
            <w:noWrap/>
            <w:vAlign w:val="bottom"/>
            <w:hideMark/>
          </w:tcPr>
          <w:p w14:paraId="0321F61F" w14:textId="77777777" w:rsidR="00176380" w:rsidRDefault="00176380">
            <w:pPr>
              <w:jc w:val="center"/>
              <w:rPr>
                <w:sz w:val="16"/>
                <w:szCs w:val="16"/>
              </w:rPr>
            </w:pPr>
            <w:r>
              <w:rPr>
                <w:sz w:val="16"/>
                <w:szCs w:val="16"/>
              </w:rPr>
              <w:t>65.7</w:t>
            </w:r>
          </w:p>
        </w:tc>
        <w:tc>
          <w:tcPr>
            <w:tcW w:w="536" w:type="dxa"/>
            <w:tcBorders>
              <w:top w:val="nil"/>
              <w:left w:val="nil"/>
              <w:bottom w:val="nil"/>
              <w:right w:val="nil"/>
            </w:tcBorders>
            <w:shd w:val="clear" w:color="auto" w:fill="auto"/>
            <w:noWrap/>
            <w:vAlign w:val="bottom"/>
            <w:hideMark/>
          </w:tcPr>
          <w:p w14:paraId="48EBA282" w14:textId="77777777" w:rsidR="00176380" w:rsidRDefault="00176380">
            <w:pPr>
              <w:jc w:val="center"/>
              <w:rPr>
                <w:sz w:val="16"/>
                <w:szCs w:val="16"/>
              </w:rPr>
            </w:pPr>
            <w:r>
              <w:rPr>
                <w:sz w:val="16"/>
                <w:szCs w:val="16"/>
              </w:rPr>
              <w:t>62.0</w:t>
            </w:r>
          </w:p>
        </w:tc>
        <w:tc>
          <w:tcPr>
            <w:tcW w:w="542" w:type="dxa"/>
            <w:tcBorders>
              <w:top w:val="nil"/>
              <w:left w:val="nil"/>
              <w:bottom w:val="nil"/>
              <w:right w:val="nil"/>
            </w:tcBorders>
            <w:shd w:val="clear" w:color="auto" w:fill="auto"/>
            <w:noWrap/>
            <w:vAlign w:val="bottom"/>
            <w:hideMark/>
          </w:tcPr>
          <w:p w14:paraId="12C62541" w14:textId="619DD1DF" w:rsidR="00176380" w:rsidRDefault="00176380">
            <w:pPr>
              <w:jc w:val="center"/>
              <w:rPr>
                <w:sz w:val="16"/>
                <w:szCs w:val="16"/>
              </w:rPr>
            </w:pPr>
            <w:r>
              <w:rPr>
                <w:sz w:val="16"/>
                <w:szCs w:val="16"/>
              </w:rPr>
              <w:t>34.8</w:t>
            </w:r>
            <w:r w:rsidR="00745D81" w:rsidRPr="005B57D8">
              <w:rPr>
                <w:sz w:val="16"/>
                <w:szCs w:val="16"/>
                <w:vertAlign w:val="superscript"/>
              </w:rPr>
              <w:t>8</w:t>
            </w:r>
          </w:p>
        </w:tc>
        <w:tc>
          <w:tcPr>
            <w:tcW w:w="533" w:type="dxa"/>
            <w:tcBorders>
              <w:top w:val="nil"/>
              <w:left w:val="nil"/>
              <w:bottom w:val="nil"/>
              <w:right w:val="nil"/>
            </w:tcBorders>
            <w:shd w:val="clear" w:color="auto" w:fill="auto"/>
            <w:noWrap/>
            <w:vAlign w:val="bottom"/>
            <w:hideMark/>
          </w:tcPr>
          <w:p w14:paraId="568FF8CB" w14:textId="7E1D2039" w:rsidR="00176380" w:rsidRDefault="00176380">
            <w:pPr>
              <w:jc w:val="center"/>
              <w:rPr>
                <w:sz w:val="16"/>
                <w:szCs w:val="16"/>
              </w:rPr>
            </w:pPr>
            <w:r>
              <w:rPr>
                <w:sz w:val="16"/>
                <w:szCs w:val="16"/>
              </w:rPr>
              <w:t>3.3</w:t>
            </w:r>
            <w:r w:rsidR="00745D81" w:rsidRPr="005B57D8">
              <w:rPr>
                <w:sz w:val="16"/>
                <w:szCs w:val="16"/>
                <w:vertAlign w:val="superscript"/>
              </w:rPr>
              <w:t>8</w:t>
            </w:r>
          </w:p>
        </w:tc>
        <w:tc>
          <w:tcPr>
            <w:tcW w:w="576" w:type="dxa"/>
            <w:tcBorders>
              <w:top w:val="nil"/>
              <w:left w:val="nil"/>
              <w:bottom w:val="nil"/>
              <w:right w:val="nil"/>
            </w:tcBorders>
            <w:shd w:val="clear" w:color="auto" w:fill="auto"/>
            <w:noWrap/>
            <w:vAlign w:val="bottom"/>
            <w:hideMark/>
          </w:tcPr>
          <w:p w14:paraId="6C4856D7" w14:textId="6B741F86" w:rsidR="00176380" w:rsidRDefault="00176380">
            <w:pPr>
              <w:jc w:val="center"/>
              <w:rPr>
                <w:sz w:val="16"/>
                <w:szCs w:val="16"/>
              </w:rPr>
            </w:pPr>
            <w:r>
              <w:rPr>
                <w:sz w:val="16"/>
                <w:szCs w:val="16"/>
              </w:rPr>
              <w:t>176.3</w:t>
            </w:r>
            <w:r w:rsidR="00745D81" w:rsidRPr="005B57D8">
              <w:rPr>
                <w:sz w:val="16"/>
                <w:szCs w:val="16"/>
                <w:vertAlign w:val="superscript"/>
              </w:rPr>
              <w:t>8</w:t>
            </w:r>
          </w:p>
        </w:tc>
      </w:tr>
      <w:tr w:rsidR="00176380" w14:paraId="1B267ADC" w14:textId="77777777" w:rsidTr="00176380">
        <w:trPr>
          <w:trHeight w:val="260"/>
        </w:trPr>
        <w:tc>
          <w:tcPr>
            <w:tcW w:w="1200" w:type="dxa"/>
            <w:tcBorders>
              <w:top w:val="nil"/>
              <w:left w:val="nil"/>
              <w:bottom w:val="single" w:sz="8" w:space="0" w:color="auto"/>
              <w:right w:val="nil"/>
            </w:tcBorders>
            <w:shd w:val="clear" w:color="auto" w:fill="auto"/>
            <w:noWrap/>
            <w:vAlign w:val="bottom"/>
            <w:hideMark/>
          </w:tcPr>
          <w:p w14:paraId="43E68B7D" w14:textId="1D263B92" w:rsidR="00176380" w:rsidRDefault="00176380">
            <w:pPr>
              <w:rPr>
                <w:b/>
                <w:bCs/>
                <w:sz w:val="16"/>
                <w:szCs w:val="16"/>
              </w:rPr>
            </w:pPr>
            <w:r>
              <w:rPr>
                <w:b/>
                <w:bCs/>
                <w:sz w:val="16"/>
                <w:szCs w:val="16"/>
              </w:rPr>
              <w:t>Relative F</w:t>
            </w:r>
            <w:r w:rsidR="009B0ED0">
              <w:rPr>
                <w:b/>
                <w:bCs/>
                <w:sz w:val="16"/>
                <w:szCs w:val="16"/>
                <w:vertAlign w:val="superscript"/>
              </w:rPr>
              <w:t>7</w:t>
            </w:r>
          </w:p>
        </w:tc>
        <w:tc>
          <w:tcPr>
            <w:tcW w:w="780" w:type="dxa"/>
            <w:tcBorders>
              <w:top w:val="nil"/>
              <w:left w:val="nil"/>
              <w:bottom w:val="single" w:sz="8" w:space="0" w:color="auto"/>
              <w:right w:val="nil"/>
            </w:tcBorders>
            <w:shd w:val="clear" w:color="auto" w:fill="auto"/>
            <w:noWrap/>
            <w:vAlign w:val="bottom"/>
            <w:hideMark/>
          </w:tcPr>
          <w:p w14:paraId="7E820D47" w14:textId="77777777" w:rsidR="00176380" w:rsidRDefault="00176380">
            <w:pPr>
              <w:rPr>
                <w:rFonts w:ascii="Arial" w:hAnsi="Arial" w:cs="Arial"/>
                <w:sz w:val="20"/>
                <w:szCs w:val="20"/>
              </w:rPr>
            </w:pPr>
            <w:r>
              <w:rPr>
                <w:rFonts w:ascii="Arial" w:hAnsi="Arial" w:cs="Arial"/>
                <w:sz w:val="20"/>
                <w:szCs w:val="20"/>
              </w:rPr>
              <w:t> </w:t>
            </w:r>
          </w:p>
        </w:tc>
        <w:tc>
          <w:tcPr>
            <w:tcW w:w="540" w:type="dxa"/>
            <w:tcBorders>
              <w:top w:val="nil"/>
              <w:left w:val="nil"/>
              <w:bottom w:val="single" w:sz="8" w:space="0" w:color="auto"/>
              <w:right w:val="nil"/>
            </w:tcBorders>
            <w:shd w:val="clear" w:color="auto" w:fill="auto"/>
            <w:noWrap/>
            <w:vAlign w:val="bottom"/>
            <w:hideMark/>
          </w:tcPr>
          <w:p w14:paraId="5E4458F3" w14:textId="77777777" w:rsidR="00176380" w:rsidRDefault="00176380">
            <w:pPr>
              <w:jc w:val="center"/>
              <w:rPr>
                <w:sz w:val="16"/>
                <w:szCs w:val="16"/>
              </w:rPr>
            </w:pPr>
            <w:r>
              <w:rPr>
                <w:sz w:val="16"/>
                <w:szCs w:val="16"/>
              </w:rPr>
              <w:t>0.6</w:t>
            </w:r>
          </w:p>
        </w:tc>
        <w:tc>
          <w:tcPr>
            <w:tcW w:w="540" w:type="dxa"/>
            <w:tcBorders>
              <w:top w:val="nil"/>
              <w:left w:val="nil"/>
              <w:bottom w:val="single" w:sz="8" w:space="0" w:color="auto"/>
              <w:right w:val="nil"/>
            </w:tcBorders>
            <w:shd w:val="clear" w:color="auto" w:fill="auto"/>
            <w:noWrap/>
            <w:vAlign w:val="bottom"/>
            <w:hideMark/>
          </w:tcPr>
          <w:p w14:paraId="7F153B5D" w14:textId="77777777" w:rsidR="00176380" w:rsidRDefault="00176380">
            <w:pPr>
              <w:jc w:val="center"/>
              <w:rPr>
                <w:sz w:val="16"/>
                <w:szCs w:val="16"/>
              </w:rPr>
            </w:pPr>
            <w:r>
              <w:rPr>
                <w:sz w:val="16"/>
                <w:szCs w:val="16"/>
              </w:rPr>
              <w:t>0.9</w:t>
            </w:r>
          </w:p>
        </w:tc>
        <w:tc>
          <w:tcPr>
            <w:tcW w:w="540" w:type="dxa"/>
            <w:tcBorders>
              <w:top w:val="nil"/>
              <w:left w:val="nil"/>
              <w:bottom w:val="single" w:sz="8" w:space="0" w:color="auto"/>
              <w:right w:val="nil"/>
            </w:tcBorders>
            <w:shd w:val="clear" w:color="auto" w:fill="auto"/>
            <w:noWrap/>
            <w:vAlign w:val="bottom"/>
            <w:hideMark/>
          </w:tcPr>
          <w:p w14:paraId="6C935DDC" w14:textId="77777777" w:rsidR="00176380" w:rsidRDefault="00176380">
            <w:pPr>
              <w:jc w:val="center"/>
              <w:rPr>
                <w:sz w:val="16"/>
                <w:szCs w:val="16"/>
              </w:rPr>
            </w:pPr>
            <w:r>
              <w:rPr>
                <w:sz w:val="16"/>
                <w:szCs w:val="16"/>
              </w:rPr>
              <w:t>1.0</w:t>
            </w:r>
          </w:p>
        </w:tc>
        <w:tc>
          <w:tcPr>
            <w:tcW w:w="540" w:type="dxa"/>
            <w:tcBorders>
              <w:top w:val="nil"/>
              <w:left w:val="nil"/>
              <w:bottom w:val="single" w:sz="8" w:space="0" w:color="auto"/>
              <w:right w:val="nil"/>
            </w:tcBorders>
            <w:shd w:val="clear" w:color="auto" w:fill="auto"/>
            <w:noWrap/>
            <w:vAlign w:val="bottom"/>
            <w:hideMark/>
          </w:tcPr>
          <w:p w14:paraId="6C84C385" w14:textId="77777777" w:rsidR="00176380" w:rsidRDefault="00176380">
            <w:pPr>
              <w:jc w:val="center"/>
              <w:rPr>
                <w:sz w:val="16"/>
                <w:szCs w:val="16"/>
              </w:rPr>
            </w:pPr>
            <w:r>
              <w:rPr>
                <w:sz w:val="16"/>
                <w:szCs w:val="16"/>
              </w:rPr>
              <w:t>1.2</w:t>
            </w:r>
          </w:p>
        </w:tc>
        <w:tc>
          <w:tcPr>
            <w:tcW w:w="536" w:type="dxa"/>
            <w:tcBorders>
              <w:top w:val="nil"/>
              <w:left w:val="nil"/>
              <w:bottom w:val="single" w:sz="8" w:space="0" w:color="auto"/>
              <w:right w:val="nil"/>
            </w:tcBorders>
            <w:shd w:val="clear" w:color="auto" w:fill="auto"/>
            <w:noWrap/>
            <w:vAlign w:val="bottom"/>
            <w:hideMark/>
          </w:tcPr>
          <w:p w14:paraId="3C4DB63C" w14:textId="77777777" w:rsidR="00176380" w:rsidRDefault="00176380">
            <w:pPr>
              <w:jc w:val="center"/>
              <w:rPr>
                <w:sz w:val="16"/>
                <w:szCs w:val="16"/>
              </w:rPr>
            </w:pPr>
            <w:r>
              <w:rPr>
                <w:sz w:val="16"/>
                <w:szCs w:val="16"/>
              </w:rPr>
              <w:t>0.3</w:t>
            </w:r>
          </w:p>
        </w:tc>
        <w:tc>
          <w:tcPr>
            <w:tcW w:w="536" w:type="dxa"/>
            <w:tcBorders>
              <w:top w:val="nil"/>
              <w:left w:val="nil"/>
              <w:bottom w:val="single" w:sz="8" w:space="0" w:color="auto"/>
              <w:right w:val="nil"/>
            </w:tcBorders>
            <w:shd w:val="clear" w:color="auto" w:fill="auto"/>
            <w:noWrap/>
            <w:vAlign w:val="bottom"/>
            <w:hideMark/>
          </w:tcPr>
          <w:p w14:paraId="0C54EB73" w14:textId="77777777" w:rsidR="00176380" w:rsidRDefault="00176380">
            <w:pPr>
              <w:jc w:val="center"/>
              <w:rPr>
                <w:sz w:val="16"/>
                <w:szCs w:val="16"/>
              </w:rPr>
            </w:pPr>
            <w:r>
              <w:rPr>
                <w:sz w:val="16"/>
                <w:szCs w:val="16"/>
              </w:rPr>
              <w:t>0.2</w:t>
            </w:r>
          </w:p>
        </w:tc>
        <w:tc>
          <w:tcPr>
            <w:tcW w:w="548" w:type="dxa"/>
            <w:tcBorders>
              <w:top w:val="nil"/>
              <w:left w:val="nil"/>
              <w:bottom w:val="single" w:sz="8" w:space="0" w:color="auto"/>
              <w:right w:val="nil"/>
            </w:tcBorders>
            <w:shd w:val="clear" w:color="auto" w:fill="auto"/>
            <w:noWrap/>
            <w:vAlign w:val="bottom"/>
            <w:hideMark/>
          </w:tcPr>
          <w:p w14:paraId="30D9517A" w14:textId="77777777" w:rsidR="00176380" w:rsidRDefault="00176380">
            <w:pPr>
              <w:jc w:val="center"/>
              <w:rPr>
                <w:sz w:val="16"/>
                <w:szCs w:val="16"/>
              </w:rPr>
            </w:pPr>
            <w:r>
              <w:rPr>
                <w:sz w:val="16"/>
                <w:szCs w:val="16"/>
              </w:rPr>
              <w:t>0.6</w:t>
            </w:r>
          </w:p>
        </w:tc>
        <w:tc>
          <w:tcPr>
            <w:tcW w:w="576" w:type="dxa"/>
            <w:tcBorders>
              <w:top w:val="nil"/>
              <w:left w:val="nil"/>
              <w:bottom w:val="single" w:sz="8" w:space="0" w:color="auto"/>
              <w:right w:val="nil"/>
            </w:tcBorders>
            <w:shd w:val="clear" w:color="auto" w:fill="auto"/>
            <w:noWrap/>
            <w:vAlign w:val="bottom"/>
            <w:hideMark/>
          </w:tcPr>
          <w:p w14:paraId="1C177FBA" w14:textId="77777777" w:rsidR="00176380" w:rsidRDefault="00176380">
            <w:pPr>
              <w:jc w:val="center"/>
              <w:rPr>
                <w:sz w:val="16"/>
                <w:szCs w:val="16"/>
              </w:rPr>
            </w:pPr>
            <w:r>
              <w:rPr>
                <w:sz w:val="16"/>
                <w:szCs w:val="16"/>
              </w:rPr>
              <w:t>0.3</w:t>
            </w:r>
          </w:p>
        </w:tc>
        <w:tc>
          <w:tcPr>
            <w:tcW w:w="576" w:type="dxa"/>
            <w:tcBorders>
              <w:top w:val="nil"/>
              <w:left w:val="nil"/>
              <w:bottom w:val="single" w:sz="8" w:space="0" w:color="auto"/>
              <w:right w:val="nil"/>
            </w:tcBorders>
            <w:shd w:val="clear" w:color="auto" w:fill="auto"/>
            <w:noWrap/>
            <w:vAlign w:val="bottom"/>
            <w:hideMark/>
          </w:tcPr>
          <w:p w14:paraId="4C8BC435" w14:textId="77777777" w:rsidR="00176380" w:rsidRDefault="00176380">
            <w:pPr>
              <w:jc w:val="center"/>
              <w:rPr>
                <w:sz w:val="16"/>
                <w:szCs w:val="16"/>
              </w:rPr>
            </w:pPr>
            <w:r>
              <w:rPr>
                <w:sz w:val="16"/>
                <w:szCs w:val="16"/>
              </w:rPr>
              <w:t>0.2</w:t>
            </w:r>
          </w:p>
        </w:tc>
        <w:tc>
          <w:tcPr>
            <w:tcW w:w="576" w:type="dxa"/>
            <w:tcBorders>
              <w:top w:val="nil"/>
              <w:left w:val="nil"/>
              <w:bottom w:val="single" w:sz="8" w:space="0" w:color="auto"/>
              <w:right w:val="nil"/>
            </w:tcBorders>
            <w:shd w:val="clear" w:color="auto" w:fill="auto"/>
            <w:noWrap/>
            <w:vAlign w:val="bottom"/>
            <w:hideMark/>
          </w:tcPr>
          <w:p w14:paraId="28F30397" w14:textId="77777777" w:rsidR="00176380" w:rsidRDefault="00176380">
            <w:pPr>
              <w:jc w:val="center"/>
              <w:rPr>
                <w:sz w:val="16"/>
                <w:szCs w:val="16"/>
              </w:rPr>
            </w:pPr>
            <w:r>
              <w:rPr>
                <w:sz w:val="16"/>
                <w:szCs w:val="16"/>
              </w:rPr>
              <w:t>0.4</w:t>
            </w:r>
          </w:p>
        </w:tc>
        <w:tc>
          <w:tcPr>
            <w:tcW w:w="538" w:type="dxa"/>
            <w:tcBorders>
              <w:top w:val="nil"/>
              <w:left w:val="nil"/>
              <w:bottom w:val="single" w:sz="8" w:space="0" w:color="auto"/>
              <w:right w:val="nil"/>
            </w:tcBorders>
            <w:shd w:val="clear" w:color="auto" w:fill="auto"/>
            <w:noWrap/>
            <w:vAlign w:val="bottom"/>
            <w:hideMark/>
          </w:tcPr>
          <w:p w14:paraId="0DDD85A2" w14:textId="77777777" w:rsidR="00176380" w:rsidRDefault="00176380">
            <w:pPr>
              <w:jc w:val="center"/>
              <w:rPr>
                <w:sz w:val="16"/>
                <w:szCs w:val="16"/>
              </w:rPr>
            </w:pPr>
            <w:r>
              <w:rPr>
                <w:sz w:val="16"/>
                <w:szCs w:val="16"/>
              </w:rPr>
              <w:t>0.5</w:t>
            </w:r>
          </w:p>
        </w:tc>
        <w:tc>
          <w:tcPr>
            <w:tcW w:w="536" w:type="dxa"/>
            <w:tcBorders>
              <w:top w:val="nil"/>
              <w:left w:val="nil"/>
              <w:bottom w:val="single" w:sz="8" w:space="0" w:color="auto"/>
              <w:right w:val="nil"/>
            </w:tcBorders>
            <w:shd w:val="clear" w:color="auto" w:fill="auto"/>
            <w:noWrap/>
            <w:vAlign w:val="bottom"/>
            <w:hideMark/>
          </w:tcPr>
          <w:p w14:paraId="065C6029" w14:textId="77777777" w:rsidR="00176380" w:rsidRDefault="00176380">
            <w:pPr>
              <w:rPr>
                <w:rFonts w:ascii="Arial" w:hAnsi="Arial" w:cs="Arial"/>
                <w:sz w:val="20"/>
                <w:szCs w:val="20"/>
              </w:rPr>
            </w:pPr>
            <w:r>
              <w:rPr>
                <w:rFonts w:ascii="Arial" w:hAnsi="Arial" w:cs="Arial"/>
                <w:sz w:val="20"/>
                <w:szCs w:val="20"/>
              </w:rPr>
              <w:t> </w:t>
            </w:r>
          </w:p>
        </w:tc>
        <w:tc>
          <w:tcPr>
            <w:tcW w:w="542" w:type="dxa"/>
            <w:tcBorders>
              <w:top w:val="nil"/>
              <w:left w:val="nil"/>
              <w:bottom w:val="single" w:sz="8" w:space="0" w:color="auto"/>
              <w:right w:val="nil"/>
            </w:tcBorders>
            <w:shd w:val="clear" w:color="auto" w:fill="auto"/>
            <w:noWrap/>
            <w:vAlign w:val="bottom"/>
            <w:hideMark/>
          </w:tcPr>
          <w:p w14:paraId="20E1C33D" w14:textId="77777777" w:rsidR="00176380" w:rsidRDefault="00176380">
            <w:pPr>
              <w:jc w:val="center"/>
              <w:rPr>
                <w:sz w:val="16"/>
                <w:szCs w:val="16"/>
              </w:rPr>
            </w:pPr>
            <w:r>
              <w:rPr>
                <w:sz w:val="16"/>
                <w:szCs w:val="16"/>
              </w:rPr>
              <w:t>1.0</w:t>
            </w:r>
          </w:p>
        </w:tc>
        <w:tc>
          <w:tcPr>
            <w:tcW w:w="533" w:type="dxa"/>
            <w:tcBorders>
              <w:top w:val="nil"/>
              <w:left w:val="nil"/>
              <w:bottom w:val="single" w:sz="8" w:space="0" w:color="auto"/>
              <w:right w:val="nil"/>
            </w:tcBorders>
            <w:shd w:val="clear" w:color="auto" w:fill="auto"/>
            <w:noWrap/>
            <w:vAlign w:val="bottom"/>
            <w:hideMark/>
          </w:tcPr>
          <w:p w14:paraId="100BB36F" w14:textId="77777777" w:rsidR="00176380" w:rsidRDefault="00176380">
            <w:pPr>
              <w:jc w:val="center"/>
              <w:rPr>
                <w:sz w:val="16"/>
                <w:szCs w:val="16"/>
              </w:rPr>
            </w:pPr>
            <w:r>
              <w:rPr>
                <w:sz w:val="16"/>
                <w:szCs w:val="16"/>
              </w:rPr>
              <w:t>0.2</w:t>
            </w:r>
          </w:p>
        </w:tc>
        <w:tc>
          <w:tcPr>
            <w:tcW w:w="576" w:type="dxa"/>
            <w:tcBorders>
              <w:top w:val="nil"/>
              <w:left w:val="nil"/>
              <w:bottom w:val="single" w:sz="8" w:space="0" w:color="auto"/>
              <w:right w:val="nil"/>
            </w:tcBorders>
            <w:shd w:val="clear" w:color="auto" w:fill="auto"/>
            <w:noWrap/>
            <w:vAlign w:val="bottom"/>
            <w:hideMark/>
          </w:tcPr>
          <w:p w14:paraId="2BEF6C9D" w14:textId="77777777" w:rsidR="00176380" w:rsidRDefault="00176380">
            <w:pPr>
              <w:jc w:val="center"/>
              <w:rPr>
                <w:sz w:val="16"/>
                <w:szCs w:val="16"/>
              </w:rPr>
            </w:pPr>
            <w:r>
              <w:rPr>
                <w:sz w:val="16"/>
                <w:szCs w:val="16"/>
              </w:rPr>
              <w:t>3.8</w:t>
            </w:r>
          </w:p>
        </w:tc>
      </w:tr>
    </w:tbl>
    <w:p w14:paraId="73F08052" w14:textId="3462352C" w:rsidR="00176380" w:rsidRPr="00C36001" w:rsidRDefault="00176380" w:rsidP="00176380">
      <w:pPr>
        <w:pStyle w:val="Heading5"/>
        <w:spacing w:after="0"/>
        <w:rPr>
          <w:b w:val="0"/>
          <w:i w:val="0"/>
          <w:sz w:val="16"/>
          <w:szCs w:val="16"/>
        </w:rPr>
      </w:pPr>
      <w:r w:rsidRPr="00C36001">
        <w:rPr>
          <w:b w:val="0"/>
          <w:i w:val="0"/>
          <w:sz w:val="16"/>
          <w:szCs w:val="16"/>
          <w:vertAlign w:val="superscript"/>
        </w:rPr>
        <w:t>1</w:t>
      </w:r>
      <w:r w:rsidRPr="00C36001">
        <w:rPr>
          <w:b w:val="0"/>
          <w:i w:val="0"/>
          <w:sz w:val="16"/>
          <w:szCs w:val="16"/>
        </w:rPr>
        <w:t>1969</w:t>
      </w:r>
      <w:r w:rsidR="00032A8B">
        <w:rPr>
          <w:b w:val="0"/>
          <w:i w:val="0"/>
          <w:sz w:val="16"/>
          <w:szCs w:val="16"/>
        </w:rPr>
        <w:t>–</w:t>
      </w:r>
      <w:r w:rsidRPr="00C36001">
        <w:rPr>
          <w:b w:val="0"/>
          <w:i w:val="0"/>
          <w:sz w:val="16"/>
          <w:szCs w:val="16"/>
        </w:rPr>
        <w:t>2018</w:t>
      </w:r>
    </w:p>
    <w:p w14:paraId="650B966C" w14:textId="74E034F0" w:rsidR="009B0ED0" w:rsidRPr="00C36001" w:rsidRDefault="009B0ED0" w:rsidP="00C36001">
      <w:pPr>
        <w:rPr>
          <w:sz w:val="16"/>
          <w:szCs w:val="16"/>
        </w:rPr>
      </w:pPr>
      <w:r w:rsidRPr="00C36001">
        <w:rPr>
          <w:sz w:val="16"/>
          <w:szCs w:val="16"/>
          <w:vertAlign w:val="superscript"/>
        </w:rPr>
        <w:t>2</w:t>
      </w:r>
      <w:r w:rsidR="00E007D0">
        <w:rPr>
          <w:sz w:val="16"/>
          <w:szCs w:val="16"/>
        </w:rPr>
        <w:t xml:space="preserve"> unless otherwise noted</w:t>
      </w:r>
      <w:r w:rsidRPr="00C36001">
        <w:rPr>
          <w:sz w:val="16"/>
          <w:szCs w:val="16"/>
        </w:rPr>
        <w:t>, all values are reported for the calendar year</w:t>
      </w:r>
    </w:p>
    <w:p w14:paraId="70FCC7C9" w14:textId="29B9D843" w:rsidR="009B0ED0" w:rsidRPr="00C36001" w:rsidRDefault="009B0ED0" w:rsidP="00C36001">
      <w:pPr>
        <w:rPr>
          <w:sz w:val="16"/>
          <w:szCs w:val="16"/>
        </w:rPr>
      </w:pPr>
      <w:r w:rsidRPr="00C36001">
        <w:rPr>
          <w:sz w:val="16"/>
          <w:szCs w:val="16"/>
          <w:vertAlign w:val="superscript"/>
        </w:rPr>
        <w:t>3</w:t>
      </w:r>
      <w:r w:rsidRPr="00C36001">
        <w:rPr>
          <w:sz w:val="16"/>
          <w:szCs w:val="16"/>
        </w:rPr>
        <w:t xml:space="preserve"> for fishing year from May 1</w:t>
      </w:r>
      <w:r w:rsidRPr="00C36001">
        <w:rPr>
          <w:sz w:val="16"/>
          <w:szCs w:val="16"/>
          <w:vertAlign w:val="superscript"/>
        </w:rPr>
        <w:t>st</w:t>
      </w:r>
      <w:r w:rsidR="004304CE">
        <w:rPr>
          <w:sz w:val="16"/>
          <w:szCs w:val="16"/>
        </w:rPr>
        <w:t>–</w:t>
      </w:r>
      <w:r w:rsidRPr="00C36001">
        <w:rPr>
          <w:sz w:val="16"/>
          <w:szCs w:val="16"/>
        </w:rPr>
        <w:t>April 30</w:t>
      </w:r>
      <w:r w:rsidRPr="00C36001">
        <w:rPr>
          <w:sz w:val="16"/>
          <w:szCs w:val="16"/>
          <w:vertAlign w:val="superscript"/>
        </w:rPr>
        <w:t>th</w:t>
      </w:r>
      <w:r w:rsidRPr="00C36001">
        <w:rPr>
          <w:sz w:val="16"/>
          <w:szCs w:val="16"/>
        </w:rPr>
        <w:t xml:space="preserve"> </w:t>
      </w:r>
    </w:p>
    <w:p w14:paraId="30E76408" w14:textId="4C280B36" w:rsidR="009B0ED0" w:rsidRPr="00C36001" w:rsidRDefault="009B0ED0" w:rsidP="00C36001">
      <w:pPr>
        <w:rPr>
          <w:sz w:val="16"/>
          <w:szCs w:val="16"/>
        </w:rPr>
      </w:pPr>
      <w:r w:rsidRPr="00C36001">
        <w:rPr>
          <w:sz w:val="16"/>
          <w:szCs w:val="16"/>
          <w:vertAlign w:val="superscript"/>
        </w:rPr>
        <w:t>4</w:t>
      </w:r>
      <w:r w:rsidRPr="00C36001">
        <w:rPr>
          <w:sz w:val="16"/>
          <w:szCs w:val="16"/>
        </w:rPr>
        <w:t xml:space="preserve"> for Canadian calendar year and USA fishing year May 1</w:t>
      </w:r>
      <w:r w:rsidRPr="00C36001">
        <w:rPr>
          <w:sz w:val="16"/>
          <w:szCs w:val="16"/>
          <w:vertAlign w:val="superscript"/>
        </w:rPr>
        <w:t>st</w:t>
      </w:r>
      <w:r w:rsidR="00032A8B">
        <w:rPr>
          <w:sz w:val="16"/>
          <w:szCs w:val="16"/>
        </w:rPr>
        <w:t>–</w:t>
      </w:r>
      <w:r w:rsidRPr="00C36001">
        <w:rPr>
          <w:sz w:val="16"/>
          <w:szCs w:val="16"/>
        </w:rPr>
        <w:t>April 30</w:t>
      </w:r>
      <w:r w:rsidRPr="00C36001">
        <w:rPr>
          <w:sz w:val="16"/>
          <w:szCs w:val="16"/>
          <w:vertAlign w:val="superscript"/>
        </w:rPr>
        <w:t>th</w:t>
      </w:r>
    </w:p>
    <w:p w14:paraId="05888FDC" w14:textId="419A50F3" w:rsidR="009B0ED0" w:rsidRPr="00C36001" w:rsidRDefault="009B0ED0" w:rsidP="00C36001">
      <w:pPr>
        <w:rPr>
          <w:sz w:val="16"/>
          <w:szCs w:val="16"/>
        </w:rPr>
      </w:pPr>
      <w:r w:rsidRPr="00C36001">
        <w:rPr>
          <w:sz w:val="16"/>
          <w:szCs w:val="16"/>
          <w:vertAlign w:val="superscript"/>
        </w:rPr>
        <w:t>5</w:t>
      </w:r>
      <w:r w:rsidRPr="00C36001">
        <w:rPr>
          <w:sz w:val="16"/>
          <w:szCs w:val="16"/>
        </w:rPr>
        <w:t xml:space="preserve"> sum of Canadian landed, Canadian Discards, and USA catch (including discards)</w:t>
      </w:r>
    </w:p>
    <w:p w14:paraId="58203E9C" w14:textId="2193618D" w:rsidR="009B0ED0" w:rsidRPr="00C36001" w:rsidRDefault="009B0ED0" w:rsidP="00C36001">
      <w:pPr>
        <w:rPr>
          <w:sz w:val="16"/>
          <w:szCs w:val="16"/>
        </w:rPr>
      </w:pPr>
      <w:r w:rsidRPr="00C36001">
        <w:rPr>
          <w:sz w:val="16"/>
          <w:szCs w:val="16"/>
          <w:vertAlign w:val="superscript"/>
        </w:rPr>
        <w:t>6</w:t>
      </w:r>
      <w:r w:rsidRPr="00C36001">
        <w:rPr>
          <w:sz w:val="16"/>
          <w:szCs w:val="16"/>
        </w:rPr>
        <w:t xml:space="preserve"> Average survey biomass index for NMFS Spring, DFO and the NMFS fall from the previous year</w:t>
      </w:r>
      <w:r w:rsidR="008D00CE">
        <w:rPr>
          <w:sz w:val="16"/>
          <w:szCs w:val="16"/>
        </w:rPr>
        <w:t xml:space="preserve"> (not adjusted for catchability)</w:t>
      </w:r>
    </w:p>
    <w:p w14:paraId="7AA40ED7" w14:textId="3FACEBB8" w:rsidR="009B0ED0" w:rsidRDefault="000A29EF" w:rsidP="00C36001">
      <w:pPr>
        <w:rPr>
          <w:sz w:val="16"/>
          <w:szCs w:val="16"/>
        </w:rPr>
      </w:pPr>
      <w:r w:rsidRPr="00C36001">
        <w:rPr>
          <w:sz w:val="16"/>
          <w:szCs w:val="16"/>
          <w:vertAlign w:val="superscript"/>
        </w:rPr>
        <w:t>7</w:t>
      </w:r>
      <w:r w:rsidRPr="00C36001">
        <w:rPr>
          <w:sz w:val="16"/>
          <w:szCs w:val="16"/>
        </w:rPr>
        <w:t xml:space="preserve"> Relative fishing mortality; </w:t>
      </w:r>
      <w:r w:rsidR="00745D81" w:rsidRPr="00C36001">
        <w:rPr>
          <w:sz w:val="16"/>
          <w:szCs w:val="16"/>
        </w:rPr>
        <w:t xml:space="preserve">The standardized average </w:t>
      </w:r>
      <w:r w:rsidR="00FA3C83">
        <w:rPr>
          <w:sz w:val="16"/>
          <w:szCs w:val="16"/>
        </w:rPr>
        <w:t>(1987</w:t>
      </w:r>
      <w:r w:rsidR="004304CE">
        <w:rPr>
          <w:sz w:val="16"/>
          <w:szCs w:val="16"/>
        </w:rPr>
        <w:t>–</w:t>
      </w:r>
      <w:r w:rsidR="00FA3C83">
        <w:rPr>
          <w:sz w:val="16"/>
          <w:szCs w:val="16"/>
        </w:rPr>
        <w:t xml:space="preserve">2018) </w:t>
      </w:r>
      <w:r w:rsidR="00745D81" w:rsidRPr="00C36001">
        <w:rPr>
          <w:sz w:val="16"/>
          <w:szCs w:val="16"/>
        </w:rPr>
        <w:t xml:space="preserve">of </w:t>
      </w:r>
      <w:r w:rsidRPr="00C36001">
        <w:rPr>
          <w:sz w:val="16"/>
          <w:szCs w:val="16"/>
        </w:rPr>
        <w:t xml:space="preserve">the annual </w:t>
      </w:r>
      <w:r w:rsidR="00745D81" w:rsidRPr="00C36001">
        <w:rPr>
          <w:sz w:val="16"/>
          <w:szCs w:val="16"/>
        </w:rPr>
        <w:t>catch</w:t>
      </w:r>
      <w:r w:rsidRPr="00C36001">
        <w:rPr>
          <w:sz w:val="16"/>
          <w:szCs w:val="16"/>
        </w:rPr>
        <w:t xml:space="preserve"> divided by the biomass index for </w:t>
      </w:r>
      <w:r w:rsidR="00745D81" w:rsidRPr="00C36001">
        <w:rPr>
          <w:sz w:val="16"/>
          <w:szCs w:val="16"/>
        </w:rPr>
        <w:t>each of the three</w:t>
      </w:r>
      <w:r w:rsidR="00E007D0">
        <w:rPr>
          <w:sz w:val="16"/>
          <w:szCs w:val="16"/>
        </w:rPr>
        <w:t xml:space="preserve"> survey indices</w:t>
      </w:r>
      <w:r w:rsidR="00745D81" w:rsidRPr="00C36001">
        <w:rPr>
          <w:sz w:val="16"/>
          <w:szCs w:val="16"/>
        </w:rPr>
        <w:t xml:space="preserve"> (</w:t>
      </w:r>
      <w:r w:rsidRPr="00C36001">
        <w:rPr>
          <w:sz w:val="16"/>
          <w:szCs w:val="16"/>
        </w:rPr>
        <w:t xml:space="preserve">DFO, NMFS </w:t>
      </w:r>
      <w:r w:rsidR="008221AE">
        <w:rPr>
          <w:sz w:val="16"/>
          <w:szCs w:val="16"/>
        </w:rPr>
        <w:t xml:space="preserve">spring and </w:t>
      </w:r>
      <w:r w:rsidRPr="00C36001">
        <w:rPr>
          <w:sz w:val="16"/>
          <w:szCs w:val="16"/>
        </w:rPr>
        <w:t>fall</w:t>
      </w:r>
      <w:r w:rsidR="00E007D0">
        <w:rPr>
          <w:sz w:val="16"/>
          <w:szCs w:val="16"/>
        </w:rPr>
        <w:t>)</w:t>
      </w:r>
      <w:r w:rsidRPr="00C36001">
        <w:rPr>
          <w:sz w:val="16"/>
          <w:szCs w:val="16"/>
        </w:rPr>
        <w:t xml:space="preserve">. </w:t>
      </w:r>
    </w:p>
    <w:p w14:paraId="1A3A43ED" w14:textId="35FEC648" w:rsidR="00745D81" w:rsidRPr="00C36001" w:rsidRDefault="00745D81" w:rsidP="00C36001">
      <w:pPr>
        <w:rPr>
          <w:sz w:val="16"/>
          <w:szCs w:val="16"/>
        </w:rPr>
      </w:pPr>
      <w:r w:rsidRPr="00C36001">
        <w:rPr>
          <w:sz w:val="16"/>
          <w:szCs w:val="16"/>
          <w:vertAlign w:val="superscript"/>
        </w:rPr>
        <w:t>8</w:t>
      </w:r>
      <w:r>
        <w:rPr>
          <w:sz w:val="16"/>
          <w:szCs w:val="16"/>
        </w:rPr>
        <w:t xml:space="preserve"> 1969</w:t>
      </w:r>
      <w:r w:rsidR="00032A8B">
        <w:rPr>
          <w:sz w:val="16"/>
          <w:szCs w:val="16"/>
        </w:rPr>
        <w:t>–</w:t>
      </w:r>
      <w:r>
        <w:rPr>
          <w:sz w:val="16"/>
          <w:szCs w:val="16"/>
        </w:rPr>
        <w:t>2019</w:t>
      </w:r>
    </w:p>
    <w:p w14:paraId="49EBB3E8" w14:textId="62B27C82" w:rsidR="009B0ED0" w:rsidRPr="00C36001" w:rsidRDefault="009B0ED0" w:rsidP="00C36001"/>
    <w:p w14:paraId="7C4245DC" w14:textId="01EDD795" w:rsidR="004C0F17" w:rsidRPr="00446CA9" w:rsidDel="00576A6E" w:rsidRDefault="00F66833" w:rsidP="000364B9">
      <w:pPr>
        <w:pStyle w:val="Heading5"/>
        <w:spacing w:after="0"/>
      </w:pPr>
      <w:r w:rsidRPr="00446CA9" w:rsidDel="00576A6E">
        <w:t>F</w:t>
      </w:r>
      <w:r w:rsidR="004C0F17" w:rsidRPr="00446CA9" w:rsidDel="00576A6E">
        <w:t>ishery</w:t>
      </w:r>
      <w:r w:rsidR="00FA51C5">
        <w:t xml:space="preserve"> </w:t>
      </w:r>
    </w:p>
    <w:p w14:paraId="157F03BB" w14:textId="6244BB61" w:rsidR="000364B9" w:rsidRPr="00446CA9" w:rsidDel="00576A6E" w:rsidRDefault="000364B9" w:rsidP="000364B9">
      <w:pPr>
        <w:pStyle w:val="BodyText"/>
        <w:spacing w:after="0"/>
      </w:pPr>
    </w:p>
    <w:p w14:paraId="44BEEBAF" w14:textId="44C77545" w:rsidR="004C0F17" w:rsidRPr="00CF6978" w:rsidDel="00576A6E" w:rsidRDefault="00B02AE4" w:rsidP="0072021F">
      <w:pPr>
        <w:pStyle w:val="BodyText"/>
        <w:spacing w:after="0"/>
      </w:pPr>
      <w:r w:rsidRPr="008149EA" w:rsidDel="00576A6E">
        <w:rPr>
          <w:b/>
        </w:rPr>
        <w:t>C</w:t>
      </w:r>
      <w:r w:rsidR="004C0F17" w:rsidRPr="008149EA" w:rsidDel="00576A6E">
        <w:rPr>
          <w:b/>
        </w:rPr>
        <w:t>ombined Canada</w:t>
      </w:r>
      <w:r w:rsidR="009A2E9C" w:rsidRPr="008149EA">
        <w:rPr>
          <w:b/>
        </w:rPr>
        <w:t xml:space="preserve"> and </w:t>
      </w:r>
      <w:r w:rsidR="004C0F17" w:rsidRPr="008149EA" w:rsidDel="00576A6E">
        <w:rPr>
          <w:b/>
        </w:rPr>
        <w:t>USA catches</w:t>
      </w:r>
      <w:r w:rsidR="005D2305" w:rsidRPr="008149EA" w:rsidDel="00576A6E">
        <w:rPr>
          <w:b/>
        </w:rPr>
        <w:t xml:space="preserve"> </w:t>
      </w:r>
      <w:r w:rsidR="005D2305" w:rsidRPr="008149EA" w:rsidDel="00576A6E">
        <w:t>for Eastern Georges Bank (EGB) Haddock</w:t>
      </w:r>
      <w:r w:rsidR="004C0F17" w:rsidRPr="008149EA" w:rsidDel="00576A6E">
        <w:t xml:space="preserve"> declined from 6,</w:t>
      </w:r>
      <w:r w:rsidR="005E327B" w:rsidRPr="008149EA" w:rsidDel="00576A6E">
        <w:t>504 </w:t>
      </w:r>
      <w:r w:rsidR="004C0F17" w:rsidRPr="008149EA" w:rsidDel="00576A6E">
        <w:t>mt in 1991 to a low of 2,</w:t>
      </w:r>
      <w:r w:rsidR="005E327B" w:rsidRPr="008149EA" w:rsidDel="00576A6E">
        <w:t>150 </w:t>
      </w:r>
      <w:r w:rsidR="004C0F17" w:rsidRPr="008149EA" w:rsidDel="00576A6E">
        <w:t xml:space="preserve">mt in 1995, </w:t>
      </w:r>
      <w:r w:rsidR="004D4AF6" w:rsidRPr="008149EA" w:rsidDel="00576A6E">
        <w:t>varied</w:t>
      </w:r>
      <w:r w:rsidR="004C0F17" w:rsidRPr="008149EA" w:rsidDel="00576A6E">
        <w:t xml:space="preserve"> between about 3,000 mt and 4,000 mt until 1999</w:t>
      </w:r>
      <w:r w:rsidR="004D4AF6" w:rsidRPr="008149EA" w:rsidDel="00576A6E">
        <w:t>,</w:t>
      </w:r>
      <w:r w:rsidR="004C0F17" w:rsidRPr="008149EA" w:rsidDel="00576A6E">
        <w:t xml:space="preserve"> and increased to</w:t>
      </w:r>
      <w:r w:rsidR="007C729B" w:rsidRPr="008149EA">
        <w:t xml:space="preserve"> </w:t>
      </w:r>
      <w:r w:rsidR="004C0F17" w:rsidRPr="008149EA" w:rsidDel="00576A6E">
        <w:t>1</w:t>
      </w:r>
      <w:r w:rsidR="004D4AF6" w:rsidRPr="008149EA" w:rsidDel="00576A6E">
        <w:t>5</w:t>
      </w:r>
      <w:r w:rsidR="004C0F17" w:rsidRPr="008149EA" w:rsidDel="00576A6E">
        <w:t>,</w:t>
      </w:r>
      <w:r w:rsidR="000E1ECD" w:rsidRPr="008149EA" w:rsidDel="00576A6E">
        <w:t>257</w:t>
      </w:r>
      <w:r w:rsidR="005E327B" w:rsidRPr="008149EA" w:rsidDel="00576A6E">
        <w:t> </w:t>
      </w:r>
      <w:r w:rsidR="004C0F17" w:rsidRPr="008149EA" w:rsidDel="00576A6E">
        <w:t>mt in 200</w:t>
      </w:r>
      <w:r w:rsidR="004D4AF6" w:rsidRPr="008149EA" w:rsidDel="00576A6E">
        <w:t>5</w:t>
      </w:r>
      <w:r w:rsidR="004C0F17" w:rsidRPr="008149EA" w:rsidDel="00576A6E">
        <w:t xml:space="preserve"> (Figure 1). </w:t>
      </w:r>
      <w:r w:rsidR="004D4AF6" w:rsidRPr="008149EA" w:rsidDel="00576A6E">
        <w:t>C</w:t>
      </w:r>
      <w:r w:rsidR="003F248B" w:rsidRPr="008149EA" w:rsidDel="00576A6E">
        <w:t>ombined catch</w:t>
      </w:r>
      <w:r w:rsidR="004D4AF6" w:rsidRPr="008149EA" w:rsidDel="00576A6E">
        <w:t>es</w:t>
      </w:r>
      <w:r w:rsidR="003F248B" w:rsidRPr="008149EA" w:rsidDel="00576A6E">
        <w:t xml:space="preserve"> </w:t>
      </w:r>
      <w:r w:rsidR="008D55BD" w:rsidRPr="008149EA" w:rsidDel="00576A6E">
        <w:t>then decreased to 12,</w:t>
      </w:r>
      <w:r w:rsidR="00463E08" w:rsidRPr="008149EA" w:rsidDel="00576A6E">
        <w:t>5</w:t>
      </w:r>
      <w:r w:rsidR="000E1ECD" w:rsidRPr="008149EA" w:rsidDel="00576A6E">
        <w:t>10</w:t>
      </w:r>
      <w:r w:rsidR="0092181D" w:rsidRPr="008149EA" w:rsidDel="00576A6E">
        <w:t> </w:t>
      </w:r>
      <w:r w:rsidR="008D55BD" w:rsidRPr="008149EA" w:rsidDel="00576A6E">
        <w:t xml:space="preserve">mt </w:t>
      </w:r>
      <w:r w:rsidR="003F248B" w:rsidRPr="008149EA" w:rsidDel="00576A6E">
        <w:t>in</w:t>
      </w:r>
      <w:r w:rsidR="004D4AF6" w:rsidRPr="008149EA" w:rsidDel="00576A6E">
        <w:t xml:space="preserve"> </w:t>
      </w:r>
      <w:r w:rsidR="003F248B" w:rsidRPr="008149EA" w:rsidDel="00576A6E">
        <w:t>2007</w:t>
      </w:r>
      <w:r w:rsidR="00F85E58" w:rsidRPr="008149EA" w:rsidDel="00576A6E">
        <w:t xml:space="preserve">, </w:t>
      </w:r>
      <w:r w:rsidR="008D55BD" w:rsidRPr="008149EA" w:rsidDel="00576A6E">
        <w:t>increased</w:t>
      </w:r>
      <w:r w:rsidR="000E1ECD" w:rsidRPr="008149EA" w:rsidDel="00576A6E">
        <w:t xml:space="preserve"> to 19,855</w:t>
      </w:r>
      <w:r w:rsidR="005F2F7F" w:rsidRPr="008149EA" w:rsidDel="00576A6E">
        <w:t xml:space="preserve"> mt</w:t>
      </w:r>
      <w:r w:rsidR="00463E08" w:rsidRPr="008149EA" w:rsidDel="00576A6E">
        <w:t xml:space="preserve"> in 2009</w:t>
      </w:r>
      <w:r w:rsidR="0092181D" w:rsidRPr="008149EA" w:rsidDel="00576A6E">
        <w:t>,</w:t>
      </w:r>
      <w:r w:rsidR="00463E08" w:rsidRPr="008149EA" w:rsidDel="00576A6E">
        <w:t xml:space="preserve"> decreased</w:t>
      </w:r>
      <w:r w:rsidR="008D55BD" w:rsidRPr="008149EA" w:rsidDel="00576A6E">
        <w:t xml:space="preserve"> </w:t>
      </w:r>
      <w:r w:rsidR="00F85E58" w:rsidRPr="008149EA" w:rsidDel="00576A6E">
        <w:t>from 2010 to 2013 with higher catches from 2014</w:t>
      </w:r>
      <w:r w:rsidR="002A36A4" w:rsidRPr="008149EA">
        <w:t xml:space="preserve"> to </w:t>
      </w:r>
      <w:r w:rsidR="00F85E58" w:rsidRPr="008149EA" w:rsidDel="00576A6E">
        <w:t>201</w:t>
      </w:r>
      <w:r w:rsidR="00651A54" w:rsidRPr="008149EA">
        <w:t>8</w:t>
      </w:r>
      <w:r w:rsidR="00F85E58" w:rsidRPr="008149EA" w:rsidDel="00576A6E">
        <w:t xml:space="preserve"> </w:t>
      </w:r>
      <w:r w:rsidR="00F6020B" w:rsidRPr="008149EA">
        <w:t>and</w:t>
      </w:r>
      <w:r w:rsidR="00F85E58" w:rsidRPr="008149EA" w:rsidDel="00576A6E">
        <w:t xml:space="preserve"> a total catch of</w:t>
      </w:r>
      <w:r w:rsidR="004304CE">
        <w:t xml:space="preserve"> </w:t>
      </w:r>
      <w:r w:rsidR="00863FAB" w:rsidRPr="008149EA" w:rsidDel="00576A6E">
        <w:t>12,4</w:t>
      </w:r>
      <w:r w:rsidR="00651A54" w:rsidRPr="008149EA">
        <w:t>95</w:t>
      </w:r>
      <w:r w:rsidR="00863FAB" w:rsidRPr="008149EA" w:rsidDel="00576A6E">
        <w:t xml:space="preserve"> mt in </w:t>
      </w:r>
      <w:r w:rsidR="00475E97" w:rsidRPr="008149EA" w:rsidDel="00576A6E">
        <w:t>20</w:t>
      </w:r>
      <w:r w:rsidR="00475E97" w:rsidRPr="008149EA">
        <w:t>18</w:t>
      </w:r>
      <w:r w:rsidR="00475E97" w:rsidRPr="008149EA" w:rsidDel="00576A6E">
        <w:t xml:space="preserve"> </w:t>
      </w:r>
      <w:r w:rsidR="00C40974" w:rsidRPr="008149EA" w:rsidDel="00576A6E">
        <w:t>(Table 1)</w:t>
      </w:r>
      <w:r w:rsidR="004D4AF6" w:rsidRPr="008149EA" w:rsidDel="00576A6E">
        <w:t>.</w:t>
      </w:r>
      <w:r w:rsidR="004C0F17" w:rsidRPr="00CF6978" w:rsidDel="00576A6E">
        <w:t xml:space="preserve"> </w:t>
      </w:r>
    </w:p>
    <w:p w14:paraId="6B646EBD" w14:textId="105AB011" w:rsidR="000364B9" w:rsidRPr="00CF6978" w:rsidDel="00576A6E" w:rsidRDefault="000364B9" w:rsidP="0072021F">
      <w:pPr>
        <w:pStyle w:val="BodyText"/>
        <w:spacing w:after="0"/>
      </w:pPr>
    </w:p>
    <w:p w14:paraId="06F94485" w14:textId="12E3ABA2" w:rsidR="004C0F17" w:rsidRPr="00CF6978" w:rsidDel="00576A6E" w:rsidRDefault="004C0F17" w:rsidP="0072021F">
      <w:pPr>
        <w:pStyle w:val="BodyText"/>
        <w:spacing w:after="0"/>
      </w:pPr>
      <w:r w:rsidRPr="00CF6978" w:rsidDel="00576A6E">
        <w:t xml:space="preserve">The </w:t>
      </w:r>
      <w:r w:rsidRPr="00CF6978" w:rsidDel="00576A6E">
        <w:rPr>
          <w:b/>
        </w:rPr>
        <w:t>Canadian catch</w:t>
      </w:r>
      <w:r w:rsidR="00AC33AB" w:rsidRPr="00CF6978" w:rsidDel="00576A6E">
        <w:rPr>
          <w:b/>
        </w:rPr>
        <w:t xml:space="preserve"> </w:t>
      </w:r>
      <w:r w:rsidR="00BE36DD" w:rsidRPr="00AE14C3" w:rsidDel="00576A6E">
        <w:rPr>
          <w:rFonts w:cs="Arial"/>
          <w:lang w:val="en-CA"/>
        </w:rPr>
        <w:t xml:space="preserve">decreased from </w:t>
      </w:r>
      <w:r w:rsidR="00651A54">
        <w:rPr>
          <w:rFonts w:cs="Arial"/>
          <w:lang w:val="en-CA"/>
        </w:rPr>
        <w:t>13,384</w:t>
      </w:r>
      <w:r w:rsidR="00BE36DD" w:rsidRPr="00AE14C3" w:rsidDel="00576A6E">
        <w:rPr>
          <w:rFonts w:cs="Arial"/>
          <w:lang w:val="en-CA"/>
        </w:rPr>
        <w:t xml:space="preserve"> mt in 201</w:t>
      </w:r>
      <w:r w:rsidR="00651A54">
        <w:rPr>
          <w:rFonts w:cs="Arial"/>
          <w:lang w:val="en-CA"/>
        </w:rPr>
        <w:t>7</w:t>
      </w:r>
      <w:r w:rsidR="00BE36DD" w:rsidRPr="00AE14C3" w:rsidDel="00576A6E">
        <w:rPr>
          <w:rFonts w:cs="Arial"/>
          <w:lang w:val="en-CA"/>
        </w:rPr>
        <w:t xml:space="preserve"> to </w:t>
      </w:r>
      <w:r w:rsidR="00651A54">
        <w:rPr>
          <w:rFonts w:cs="Arial"/>
          <w:lang w:val="en-CA"/>
        </w:rPr>
        <w:t>12,222</w:t>
      </w:r>
      <w:r w:rsidR="00BE36DD" w:rsidRPr="00AE14C3" w:rsidDel="00576A6E">
        <w:rPr>
          <w:rFonts w:cs="Arial"/>
          <w:lang w:val="en-CA"/>
        </w:rPr>
        <w:t xml:space="preserve"> mt in 201</w:t>
      </w:r>
      <w:r w:rsidR="00651A54">
        <w:rPr>
          <w:rFonts w:cs="Arial"/>
          <w:lang w:val="en-CA"/>
        </w:rPr>
        <w:t>8</w:t>
      </w:r>
      <w:r w:rsidRPr="00CF6978" w:rsidDel="00576A6E">
        <w:t>.</w:t>
      </w:r>
      <w:r w:rsidR="00DD0E20" w:rsidRPr="00CF6978" w:rsidDel="00576A6E">
        <w:t xml:space="preserve"> </w:t>
      </w:r>
      <w:r w:rsidR="00B75404" w:rsidRPr="00CF6978" w:rsidDel="00576A6E">
        <w:t>D</w:t>
      </w:r>
      <w:r w:rsidR="009831C8" w:rsidRPr="00CF6978" w:rsidDel="00576A6E">
        <w:t>iscards in the groundfish fishery are considered to be negligible.</w:t>
      </w:r>
      <w:r w:rsidRPr="004E029A" w:rsidDel="00576A6E">
        <w:t xml:space="preserve"> Discards of haddock by the Canadian </w:t>
      </w:r>
      <w:r w:rsidR="00214C6A" w:rsidRPr="004E029A" w:rsidDel="00576A6E">
        <w:t xml:space="preserve">sea </w:t>
      </w:r>
      <w:r w:rsidRPr="009553DE" w:rsidDel="00576A6E">
        <w:t>scallop fisher</w:t>
      </w:r>
      <w:r w:rsidRPr="0072021F" w:rsidDel="00576A6E">
        <w:t xml:space="preserve">y </w:t>
      </w:r>
      <w:r w:rsidR="00F6020B" w:rsidRPr="00CF6978" w:rsidDel="00576A6E">
        <w:t>w</w:t>
      </w:r>
      <w:r w:rsidR="00F6020B" w:rsidRPr="00CF6978">
        <w:t>ere</w:t>
      </w:r>
      <w:r w:rsidR="00F6020B" w:rsidRPr="00CF6978" w:rsidDel="00576A6E">
        <w:t xml:space="preserve"> </w:t>
      </w:r>
      <w:r w:rsidR="00D72533">
        <w:t>5</w:t>
      </w:r>
      <w:r w:rsidR="00F85E58" w:rsidRPr="00CF6978" w:rsidDel="00576A6E">
        <w:t xml:space="preserve"> mt in 201</w:t>
      </w:r>
      <w:r w:rsidR="00651A54">
        <w:t>8</w:t>
      </w:r>
      <w:r w:rsidR="00F85E58" w:rsidRPr="00CF6978" w:rsidDel="00576A6E">
        <w:t xml:space="preserve"> but </w:t>
      </w:r>
      <w:r w:rsidRPr="00CF6978" w:rsidDel="00576A6E">
        <w:t xml:space="preserve">ranged between </w:t>
      </w:r>
      <w:r w:rsidR="00D72533">
        <w:t>5</w:t>
      </w:r>
      <w:r w:rsidR="00BE36DD" w:rsidRPr="00CF6978" w:rsidDel="00576A6E">
        <w:t xml:space="preserve"> </w:t>
      </w:r>
      <w:r w:rsidR="00834993" w:rsidRPr="00CF6978" w:rsidDel="00576A6E">
        <w:t xml:space="preserve">mt </w:t>
      </w:r>
      <w:r w:rsidRPr="00CF6978" w:rsidDel="00576A6E">
        <w:t xml:space="preserve">and 186 mt </w:t>
      </w:r>
      <w:r w:rsidR="00F85E58" w:rsidRPr="00CF6978" w:rsidDel="00576A6E">
        <w:t xml:space="preserve">over the time series. </w:t>
      </w:r>
    </w:p>
    <w:p w14:paraId="23C65F89" w14:textId="7A24143F" w:rsidR="000364B9" w:rsidRPr="00CF6978" w:rsidDel="00576A6E" w:rsidRDefault="000364B9">
      <w:pPr>
        <w:pStyle w:val="BodyText"/>
        <w:spacing w:after="0"/>
      </w:pPr>
    </w:p>
    <w:p w14:paraId="0C4BCD9C" w14:textId="17DCCD48" w:rsidR="004C0F17" w:rsidRPr="00CF6978" w:rsidDel="00576A6E" w:rsidRDefault="004C0F17">
      <w:pPr>
        <w:pStyle w:val="BodyText"/>
        <w:spacing w:after="0"/>
      </w:pPr>
      <w:r w:rsidRPr="00CF6978" w:rsidDel="00576A6E">
        <w:rPr>
          <w:b/>
        </w:rPr>
        <w:t>USA catches</w:t>
      </w:r>
      <w:r w:rsidRPr="00CF6978" w:rsidDel="00576A6E">
        <w:t xml:space="preserve"> </w:t>
      </w:r>
      <w:r w:rsidR="0020573B" w:rsidRPr="00CF6978" w:rsidDel="00576A6E">
        <w:t xml:space="preserve">decreased </w:t>
      </w:r>
      <w:r w:rsidR="00B75404" w:rsidRPr="00CF6978" w:rsidDel="00576A6E">
        <w:t>from</w:t>
      </w:r>
      <w:r w:rsidR="00A50E30" w:rsidRPr="00CF6978" w:rsidDel="00576A6E">
        <w:t xml:space="preserve"> </w:t>
      </w:r>
      <w:r w:rsidR="00651A54">
        <w:t>295</w:t>
      </w:r>
      <w:r w:rsidR="00BE36DD" w:rsidRPr="00CF6978" w:rsidDel="00576A6E">
        <w:t xml:space="preserve"> </w:t>
      </w:r>
      <w:r w:rsidR="000E1ECD" w:rsidRPr="00CF6978" w:rsidDel="00576A6E">
        <w:t xml:space="preserve">mt in </w:t>
      </w:r>
      <w:r w:rsidR="00BE36DD" w:rsidRPr="00CF6978" w:rsidDel="00576A6E">
        <w:t>201</w:t>
      </w:r>
      <w:r w:rsidR="00651A54">
        <w:t>7</w:t>
      </w:r>
      <w:r w:rsidR="00BE36DD" w:rsidRPr="00CF6978" w:rsidDel="00576A6E">
        <w:t xml:space="preserve"> </w:t>
      </w:r>
      <w:r w:rsidR="00B75404" w:rsidRPr="00CF6978" w:rsidDel="00576A6E">
        <w:t xml:space="preserve">to </w:t>
      </w:r>
      <w:r w:rsidR="00651A54">
        <w:t>274</w:t>
      </w:r>
      <w:r w:rsidR="00AB16E6" w:rsidRPr="00CF6978" w:rsidDel="00576A6E">
        <w:t xml:space="preserve"> </w:t>
      </w:r>
      <w:r w:rsidRPr="00CF6978" w:rsidDel="00576A6E">
        <w:t xml:space="preserve">mt </w:t>
      </w:r>
      <w:r w:rsidR="009C3AB2" w:rsidRPr="00CF6978" w:rsidDel="00576A6E">
        <w:t xml:space="preserve">in </w:t>
      </w:r>
      <w:r w:rsidR="0020573B" w:rsidRPr="00CF6978" w:rsidDel="00576A6E">
        <w:t>201</w:t>
      </w:r>
      <w:r w:rsidR="00651A54">
        <w:t>8</w:t>
      </w:r>
      <w:r w:rsidRPr="00CF6978" w:rsidDel="00576A6E">
        <w:t xml:space="preserve">. Landings </w:t>
      </w:r>
      <w:r w:rsidR="00D50EC2" w:rsidRPr="00CF6978" w:rsidDel="00576A6E">
        <w:t>in 201</w:t>
      </w:r>
      <w:r w:rsidR="00651A54">
        <w:t>8</w:t>
      </w:r>
      <w:r w:rsidR="00D50EC2" w:rsidRPr="00CF6978" w:rsidDel="00576A6E">
        <w:t xml:space="preserve"> </w:t>
      </w:r>
      <w:r w:rsidRPr="00CF6978" w:rsidDel="00576A6E">
        <w:t xml:space="preserve">were </w:t>
      </w:r>
      <w:r w:rsidR="00651A54">
        <w:t>253</w:t>
      </w:r>
      <w:r w:rsidR="00AB16E6" w:rsidRPr="00CF6978" w:rsidDel="00576A6E">
        <w:t> </w:t>
      </w:r>
      <w:r w:rsidRPr="00CF6978" w:rsidDel="00576A6E">
        <w:t xml:space="preserve">mt and discards were estimated to be </w:t>
      </w:r>
      <w:r w:rsidR="00651A54">
        <w:t>21</w:t>
      </w:r>
      <w:r w:rsidR="00A50E30" w:rsidRPr="00CF6978" w:rsidDel="00576A6E">
        <w:t> </w:t>
      </w:r>
      <w:r w:rsidRPr="00CF6978" w:rsidDel="00576A6E">
        <w:t>mt</w:t>
      </w:r>
      <w:r w:rsidR="00DD0E20" w:rsidRPr="00CF6978" w:rsidDel="00576A6E">
        <w:t>,</w:t>
      </w:r>
      <w:r w:rsidR="00D03D1D" w:rsidRPr="00CF6978" w:rsidDel="00576A6E">
        <w:t xml:space="preserve"> </w:t>
      </w:r>
      <w:r w:rsidR="002150DD" w:rsidRPr="00CF6978" w:rsidDel="00576A6E">
        <w:t xml:space="preserve">primarily </w:t>
      </w:r>
      <w:r w:rsidR="00D03D1D" w:rsidRPr="00CF6978" w:rsidDel="00576A6E">
        <w:t xml:space="preserve">from </w:t>
      </w:r>
      <w:r w:rsidR="00DD0E20" w:rsidRPr="00CF6978" w:rsidDel="00576A6E">
        <w:t xml:space="preserve">the </w:t>
      </w:r>
      <w:r w:rsidR="002150DD" w:rsidRPr="00CF6978" w:rsidDel="00576A6E">
        <w:t>otter trawl</w:t>
      </w:r>
      <w:r w:rsidR="00DD0E20" w:rsidRPr="00CF6978" w:rsidDel="00576A6E">
        <w:t xml:space="preserve"> fishery</w:t>
      </w:r>
      <w:r w:rsidR="0071520E" w:rsidRPr="00CF6978" w:rsidDel="00576A6E">
        <w:t xml:space="preserve"> with a small amount from </w:t>
      </w:r>
      <w:r w:rsidR="00AB16E6" w:rsidRPr="00CF6978" w:rsidDel="00576A6E">
        <w:t>the scallop dredge fishery</w:t>
      </w:r>
      <w:r w:rsidR="0071520E" w:rsidRPr="00CF6978" w:rsidDel="00576A6E">
        <w:t xml:space="preserve"> (</w:t>
      </w:r>
      <w:r w:rsidR="00863FAB" w:rsidRPr="00CF6978" w:rsidDel="00576A6E">
        <w:t>0.</w:t>
      </w:r>
      <w:r w:rsidR="00651A54">
        <w:t>1</w:t>
      </w:r>
      <w:r w:rsidR="00863FAB" w:rsidRPr="00CF6978" w:rsidDel="00576A6E">
        <w:t xml:space="preserve"> </w:t>
      </w:r>
      <w:r w:rsidR="0071520E" w:rsidRPr="00CF6978" w:rsidDel="00576A6E">
        <w:t>mt)</w:t>
      </w:r>
      <w:r w:rsidRPr="00CF6978" w:rsidDel="00576A6E">
        <w:t>.</w:t>
      </w:r>
      <w:r w:rsidR="00115418" w:rsidRPr="00CF6978" w:rsidDel="00576A6E">
        <w:t xml:space="preserve"> </w:t>
      </w:r>
    </w:p>
    <w:p w14:paraId="531B8E0C" w14:textId="6B50F69F" w:rsidR="000364B9" w:rsidRPr="00CF6978" w:rsidDel="00576A6E" w:rsidRDefault="000364B9">
      <w:pPr>
        <w:pStyle w:val="BodyText"/>
        <w:spacing w:after="0"/>
      </w:pPr>
    </w:p>
    <w:p w14:paraId="63253AEC" w14:textId="4407FAE6" w:rsidR="004C0F17" w:rsidRPr="00CF6978" w:rsidDel="00576A6E" w:rsidRDefault="0053047F">
      <w:pPr>
        <w:jc w:val="both"/>
      </w:pPr>
      <w:r w:rsidRPr="00CF6978" w:rsidDel="00576A6E">
        <w:t>The</w:t>
      </w:r>
      <w:r w:rsidR="004C0F17" w:rsidRPr="00CF6978" w:rsidDel="00576A6E">
        <w:t xml:space="preserve"> combined Canada</w:t>
      </w:r>
      <w:r w:rsidR="009A2E9C">
        <w:t xml:space="preserve"> and </w:t>
      </w:r>
      <w:r w:rsidR="004C0F17" w:rsidRPr="00CF6978" w:rsidDel="00576A6E">
        <w:t xml:space="preserve">USA </w:t>
      </w:r>
      <w:r w:rsidR="004C0F17" w:rsidRPr="00CF6978" w:rsidDel="00576A6E">
        <w:rPr>
          <w:b/>
        </w:rPr>
        <w:t xml:space="preserve">fishery </w:t>
      </w:r>
      <w:r w:rsidR="00580E01" w:rsidRPr="00CF6978" w:rsidDel="00576A6E">
        <w:rPr>
          <w:b/>
        </w:rPr>
        <w:t xml:space="preserve">age composition </w:t>
      </w:r>
      <w:r w:rsidRPr="00CF6978" w:rsidDel="00576A6E">
        <w:t xml:space="preserve">(landings + discards) </w:t>
      </w:r>
      <w:r w:rsidR="004C0F17" w:rsidRPr="00CF6978" w:rsidDel="00576A6E">
        <w:t xml:space="preserve">in </w:t>
      </w:r>
      <w:r w:rsidR="00A50E30" w:rsidRPr="00CF6978" w:rsidDel="00576A6E">
        <w:t>201</w:t>
      </w:r>
      <w:r w:rsidR="00651A54">
        <w:t>8</w:t>
      </w:r>
      <w:r w:rsidR="00A50E30" w:rsidRPr="00CF6978" w:rsidDel="00576A6E">
        <w:t xml:space="preserve"> </w:t>
      </w:r>
      <w:r w:rsidRPr="00CF6978" w:rsidDel="00576A6E">
        <w:t>was dominated by</w:t>
      </w:r>
      <w:r w:rsidR="000E1ECD" w:rsidRPr="00CF6978" w:rsidDel="00576A6E">
        <w:t xml:space="preserve"> the 201</w:t>
      </w:r>
      <w:r w:rsidR="00651A54">
        <w:t>3</w:t>
      </w:r>
      <w:r w:rsidR="004C0F17" w:rsidRPr="00CF6978" w:rsidDel="00576A6E">
        <w:t xml:space="preserve"> (age</w:t>
      </w:r>
      <w:r w:rsidR="00863FAB" w:rsidRPr="00CF6978" w:rsidDel="00576A6E">
        <w:t xml:space="preserve"> </w:t>
      </w:r>
      <w:r w:rsidR="00651A54">
        <w:t>5</w:t>
      </w:r>
      <w:r w:rsidR="004C0F17" w:rsidRPr="00CF6978" w:rsidDel="00576A6E">
        <w:t>)</w:t>
      </w:r>
      <w:r w:rsidR="00863FAB" w:rsidRPr="00CF6978" w:rsidDel="00576A6E">
        <w:t xml:space="preserve"> year class </w:t>
      </w:r>
      <w:r w:rsidRPr="00CF6978" w:rsidDel="00576A6E">
        <w:t>by numbers and weight.</w:t>
      </w:r>
      <w:r w:rsidR="002150DD" w:rsidRPr="00CF6978" w:rsidDel="00576A6E">
        <w:t xml:space="preserve"> </w:t>
      </w:r>
      <w:r w:rsidR="0089040C" w:rsidRPr="00CF6978" w:rsidDel="00576A6E">
        <w:t>Both the Canadian and the USA fisheries were adequately sampled to determine length composition of the cat</w:t>
      </w:r>
      <w:r w:rsidR="004E2ED2" w:rsidRPr="00CF6978" w:rsidDel="00576A6E">
        <w:t>ch</w:t>
      </w:r>
      <w:r w:rsidR="0089040C" w:rsidRPr="00CF6978" w:rsidDel="00576A6E">
        <w:t>.</w:t>
      </w:r>
    </w:p>
    <w:p w14:paraId="26526466" w14:textId="77777777" w:rsidR="000364B9" w:rsidRPr="00CF6978" w:rsidRDefault="000364B9">
      <w:pPr>
        <w:jc w:val="both"/>
      </w:pPr>
    </w:p>
    <w:p w14:paraId="41E26FC7" w14:textId="77777777" w:rsidR="004C0F17" w:rsidRPr="00AE14C3" w:rsidRDefault="004C0F17" w:rsidP="00AE14C3">
      <w:pPr>
        <w:pStyle w:val="Heading5"/>
        <w:keepNext/>
        <w:spacing w:after="0"/>
        <w:jc w:val="both"/>
        <w:rPr>
          <w:sz w:val="24"/>
          <w:szCs w:val="24"/>
        </w:rPr>
      </w:pPr>
      <w:r w:rsidRPr="00AE14C3">
        <w:rPr>
          <w:sz w:val="24"/>
          <w:szCs w:val="24"/>
        </w:rPr>
        <w:t>Harvest Strategy and Reference Points</w:t>
      </w:r>
    </w:p>
    <w:p w14:paraId="26E6ED27" w14:textId="77777777" w:rsidR="000364B9" w:rsidRPr="00CF6978" w:rsidRDefault="000364B9" w:rsidP="00AE14C3">
      <w:pPr>
        <w:keepNext/>
        <w:jc w:val="both"/>
      </w:pPr>
    </w:p>
    <w:p w14:paraId="0424AC11" w14:textId="5AA57786" w:rsidR="004C0F17" w:rsidRPr="00CF6978" w:rsidRDefault="004C0F17" w:rsidP="00690E92">
      <w:pPr>
        <w:pStyle w:val="BodyText"/>
        <w:spacing w:after="0"/>
      </w:pPr>
      <w:r w:rsidRPr="004E029A">
        <w:t xml:space="preserve">The </w:t>
      </w:r>
      <w:r w:rsidR="00015C38">
        <w:t>Transboundary Management Guidance Committee (</w:t>
      </w:r>
      <w:r w:rsidR="007A69D2" w:rsidRPr="004E029A">
        <w:t>TMGC</w:t>
      </w:r>
      <w:r w:rsidR="00015C38">
        <w:t>)</w:t>
      </w:r>
      <w:r w:rsidR="007A69D2" w:rsidRPr="004E029A">
        <w:t xml:space="preserve"> </w:t>
      </w:r>
      <w:r w:rsidRPr="009553DE">
        <w:t>has adopted a strategy to maintain a low to neutral risk of exceeding the fishing mortality reference, F</w:t>
      </w:r>
      <w:r w:rsidRPr="0072021F">
        <w:rPr>
          <w:vertAlign w:val="subscript"/>
        </w:rPr>
        <w:t>ref</w:t>
      </w:r>
      <w:r w:rsidRPr="0072021F">
        <w:t> = 0.26</w:t>
      </w:r>
      <w:r w:rsidR="0053047F" w:rsidRPr="00CF6978">
        <w:t xml:space="preserve"> (established in 20</w:t>
      </w:r>
      <w:r w:rsidR="00834993" w:rsidRPr="00CF6978">
        <w:t>02 by the TMGC</w:t>
      </w:r>
      <w:r w:rsidR="0053047F" w:rsidRPr="00CF6978">
        <w:t>)</w:t>
      </w:r>
      <w:r w:rsidRPr="00CF6978">
        <w:t>. When stock conditions are poor, fishing mortality rates should be further reduced to promote rebuilding.</w:t>
      </w:r>
      <w:r w:rsidR="004304CE">
        <w:t xml:space="preserve"> </w:t>
      </w:r>
      <w:r w:rsidR="00690E92" w:rsidRPr="00AE3F10">
        <w:t xml:space="preserve">Due to the lack of an assessment model, an estimate of fishing mortality rate can no longer be calculated. </w:t>
      </w:r>
      <w:r w:rsidR="00690E92">
        <w:t>S</w:t>
      </w:r>
      <w:r w:rsidR="00690E92" w:rsidRPr="00AE3F10">
        <w:t xml:space="preserve">tatus determination relative to reference points is not possible because reference points </w:t>
      </w:r>
      <w:r w:rsidR="00690E92">
        <w:t xml:space="preserve">have not </w:t>
      </w:r>
      <w:r w:rsidR="00690E92" w:rsidRPr="00AE3F10">
        <w:t>be</w:t>
      </w:r>
      <w:r w:rsidR="00690E92">
        <w:t>en</w:t>
      </w:r>
      <w:r w:rsidR="00690E92" w:rsidRPr="00AE3F10">
        <w:t xml:space="preserve"> defined.</w:t>
      </w:r>
      <w:r w:rsidR="00690E92" w:rsidRPr="00690E92">
        <w:t xml:space="preserve"> </w:t>
      </w:r>
      <w:r w:rsidR="00690E92">
        <w:t xml:space="preserve">Relative F (Catch/Average survey biomass) is shown instead of fishing mortality rates, but </w:t>
      </w:r>
      <w:r w:rsidR="008221AE">
        <w:t xml:space="preserve">it is </w:t>
      </w:r>
      <w:r w:rsidR="00690E92">
        <w:t>note</w:t>
      </w:r>
      <w:r w:rsidR="008221AE">
        <w:t>d</w:t>
      </w:r>
      <w:r w:rsidR="00690E92">
        <w:t xml:space="preserve"> that the two measures are not comparable.</w:t>
      </w:r>
    </w:p>
    <w:p w14:paraId="0DE9B2D0" w14:textId="77777777" w:rsidR="000364B9" w:rsidRPr="00CF6978" w:rsidRDefault="000364B9" w:rsidP="000364B9">
      <w:pPr>
        <w:pStyle w:val="BodyText"/>
        <w:spacing w:after="0"/>
      </w:pPr>
    </w:p>
    <w:p w14:paraId="597D9699" w14:textId="77777777" w:rsidR="004C0F17" w:rsidRPr="00AE14C3" w:rsidRDefault="004C0F17" w:rsidP="000364B9">
      <w:pPr>
        <w:pStyle w:val="Heading5"/>
        <w:spacing w:after="0"/>
        <w:rPr>
          <w:sz w:val="24"/>
          <w:szCs w:val="24"/>
        </w:rPr>
      </w:pPr>
      <w:r w:rsidRPr="00AE14C3">
        <w:rPr>
          <w:sz w:val="24"/>
          <w:szCs w:val="24"/>
        </w:rPr>
        <w:t>State of Resource</w:t>
      </w:r>
    </w:p>
    <w:p w14:paraId="388ED2DF" w14:textId="77777777" w:rsidR="00A54D10" w:rsidRPr="00CF6978" w:rsidRDefault="00A54D10" w:rsidP="00AE14C3"/>
    <w:p w14:paraId="5F05E738" w14:textId="4F794464" w:rsidR="00955541" w:rsidRDefault="00955541" w:rsidP="00955541">
      <w:pPr>
        <w:rPr>
          <w:lang w:val="en-CA" w:eastAsia="en-CA"/>
        </w:rPr>
      </w:pPr>
      <w:r w:rsidRPr="008149EA">
        <w:t>The 2018 and 2019 survey indices were above their respective mean</w:t>
      </w:r>
      <w:r w:rsidR="00AC0595" w:rsidRPr="008149EA">
        <w:t>s</w:t>
      </w:r>
      <w:r w:rsidRPr="008149EA">
        <w:t xml:space="preserve"> for the time series.</w:t>
      </w:r>
      <w:r w:rsidR="004304CE">
        <w:t xml:space="preserve"> </w:t>
      </w:r>
      <w:r w:rsidRPr="008149EA">
        <w:t xml:space="preserve">In the most recent year, </w:t>
      </w:r>
      <w:r w:rsidR="00B05A72">
        <w:t>Fisheries and Oceans, Canada (</w:t>
      </w:r>
      <w:r w:rsidRPr="008149EA">
        <w:t>DFO</w:t>
      </w:r>
      <w:r w:rsidR="00B05A72">
        <w:t>)</w:t>
      </w:r>
      <w:r w:rsidRPr="008149EA">
        <w:t xml:space="preserve"> and </w:t>
      </w:r>
      <w:r w:rsidR="00B05A72">
        <w:t>National Marine Fisheries Service (</w:t>
      </w:r>
      <w:r w:rsidRPr="008149EA">
        <w:t>NMFS</w:t>
      </w:r>
      <w:r w:rsidR="00B05A72">
        <w:t>)</w:t>
      </w:r>
      <w:r w:rsidRPr="008149EA">
        <w:t xml:space="preserve"> fall indices decreased (16% from 2018 to 2019 for the DFO survey and 27% from 2017 to 2018 for the NMFS fall survey), while the NMFS spring index increased by 35% from 2018 to 2019 (Figure 2).</w:t>
      </w:r>
    </w:p>
    <w:p w14:paraId="32A17D90" w14:textId="77777777" w:rsidR="00031A82" w:rsidRPr="00CF6978" w:rsidRDefault="00031A82" w:rsidP="00AE14C3">
      <w:pPr>
        <w:pStyle w:val="BodyText"/>
        <w:spacing w:after="0"/>
        <w:jc w:val="left"/>
      </w:pPr>
    </w:p>
    <w:p w14:paraId="7D4644D2" w14:textId="6A57B0EF" w:rsidR="00841B41" w:rsidRDefault="00C212C2" w:rsidP="00BE2DEE">
      <w:pPr>
        <w:pStyle w:val="BodyText"/>
        <w:spacing w:after="0"/>
      </w:pPr>
      <w:r w:rsidRPr="00FA3C83">
        <w:t>In the past the e</w:t>
      </w:r>
      <w:r w:rsidR="00DD0E20" w:rsidRPr="00FA3C83">
        <w:t>valuation of t</w:t>
      </w:r>
      <w:r w:rsidR="004C0F17" w:rsidRPr="00FA3C83">
        <w:t xml:space="preserve">he state of the resource was based on results from an age structured analytical assessment </w:t>
      </w:r>
      <w:r w:rsidR="00913477" w:rsidRPr="00FA3C83">
        <w:t>(</w:t>
      </w:r>
      <w:r w:rsidR="00AA1AAD" w:rsidRPr="00FA3C83">
        <w:t xml:space="preserve">Virtual </w:t>
      </w:r>
      <w:r w:rsidR="004C0F17" w:rsidRPr="00FA3C83">
        <w:t>P</w:t>
      </w:r>
      <w:r w:rsidR="00AA1AAD" w:rsidRPr="00FA3C83">
        <w:t xml:space="preserve">opulation </w:t>
      </w:r>
      <w:r w:rsidR="004C0F17" w:rsidRPr="00FA3C83">
        <w:t>A</w:t>
      </w:r>
      <w:r w:rsidR="00AA1AAD" w:rsidRPr="00FA3C83">
        <w:t>nalysis</w:t>
      </w:r>
      <w:r w:rsidR="00913477" w:rsidRPr="00FA3C83">
        <w:t>, VPA</w:t>
      </w:r>
      <w:r w:rsidR="004C0F17" w:rsidRPr="00FA3C83">
        <w:t>)</w:t>
      </w:r>
      <w:r w:rsidRPr="00FA3C83">
        <w:t>.</w:t>
      </w:r>
      <w:r w:rsidR="004C0F17" w:rsidRPr="00FA3C83">
        <w:t xml:space="preserve"> </w:t>
      </w:r>
      <w:r w:rsidRPr="00FA3C83">
        <w:t>In 2019</w:t>
      </w:r>
      <w:r w:rsidR="00926365" w:rsidRPr="00FA3C83">
        <w:t>, the TRAC agreed that the assessment model is not able to provide reliable advice on current abundance nor is it able to provide reliable advice for catch</w:t>
      </w:r>
      <w:r w:rsidR="0035766D" w:rsidRPr="00FA3C83">
        <w:t xml:space="preserve"> due</w:t>
      </w:r>
      <w:r w:rsidR="002069E2" w:rsidRPr="00FA3C83">
        <w:t>.</w:t>
      </w:r>
      <w:r w:rsidR="004304CE">
        <w:t xml:space="preserve"> </w:t>
      </w:r>
      <w:r w:rsidR="002069E2" w:rsidRPr="00FA3C83">
        <w:t>The retrospective pattern, which first emerged in 2014, increased each year</w:t>
      </w:r>
      <w:r w:rsidR="0035766D" w:rsidRPr="00FA3C83">
        <w:t xml:space="preserve"> </w:t>
      </w:r>
      <w:r w:rsidR="002069E2" w:rsidRPr="00FA3C83">
        <w:t xml:space="preserve">and </w:t>
      </w:r>
      <w:r w:rsidR="0064537E" w:rsidRPr="00FA3C83">
        <w:t>became extreme in</w:t>
      </w:r>
      <w:r w:rsidR="002069E2" w:rsidRPr="00FA3C83">
        <w:t xml:space="preserve"> 2019, implying abundance had to be scaled down to about 1/3 of the </w:t>
      </w:r>
      <w:r w:rsidR="0064537E" w:rsidRPr="00FA3C83">
        <w:t xml:space="preserve">initial </w:t>
      </w:r>
      <w:r w:rsidR="002069E2" w:rsidRPr="00FA3C83">
        <w:t>estimated value.</w:t>
      </w:r>
      <w:r w:rsidR="004304CE">
        <w:t xml:space="preserve"> </w:t>
      </w:r>
      <w:r w:rsidR="002069E2" w:rsidRPr="00FA3C83">
        <w:t>In addition, fits to the indices were poor</w:t>
      </w:r>
      <w:r w:rsidR="0064537E" w:rsidRPr="00FA3C83">
        <w:t xml:space="preserve">, displaying consecutive years </w:t>
      </w:r>
      <w:r w:rsidR="004A6CFA" w:rsidRPr="00FA3C83">
        <w:t>where</w:t>
      </w:r>
      <w:r w:rsidR="0064537E" w:rsidRPr="00FA3C83">
        <w:t xml:space="preserve"> nearly all </w:t>
      </w:r>
      <w:r w:rsidR="004A6CFA" w:rsidRPr="00FA3C83">
        <w:t>ages were overestimated or underestimated</w:t>
      </w:r>
      <w:r w:rsidR="0064537E" w:rsidRPr="00FA3C83">
        <w:t>.</w:t>
      </w:r>
      <w:r w:rsidR="004304CE">
        <w:t xml:space="preserve"> </w:t>
      </w:r>
      <w:r w:rsidR="00E33DDC" w:rsidRPr="00FA3C83">
        <w:t>Furthermore, there was increased uncertainty in the data at age going in to the model. The increased uncertainty is due to the less abundant year classes on either side of the 2013 year class having complete overlap in length distributions, which results in "smearing" of the 2013 age class into adjacent ages when an age length key is applied to those lengths.</w:t>
      </w:r>
      <w:r w:rsidR="004304CE">
        <w:t xml:space="preserve"> </w:t>
      </w:r>
      <w:r w:rsidR="00926365" w:rsidRPr="00FA3C83">
        <w:t>D</w:t>
      </w:r>
      <w:r w:rsidR="00F61DB0" w:rsidRPr="00FA3C83">
        <w:t xml:space="preserve">ue to the VPA’s poor performance, </w:t>
      </w:r>
      <w:r w:rsidR="00D31227" w:rsidRPr="00FA3C83">
        <w:t xml:space="preserve">and increased uncertainty in the </w:t>
      </w:r>
      <w:r w:rsidR="00E33DDC" w:rsidRPr="00FA3C83">
        <w:t xml:space="preserve">age-specific </w:t>
      </w:r>
      <w:r w:rsidR="00F61DB0" w:rsidRPr="00FA3C83">
        <w:t>d</w:t>
      </w:r>
      <w:r w:rsidR="00926365" w:rsidRPr="00FA3C83">
        <w:t>ata</w:t>
      </w:r>
      <w:r w:rsidR="00E33DDC" w:rsidRPr="00FA3C83">
        <w:t>,</w:t>
      </w:r>
      <w:r w:rsidR="00926365" w:rsidRPr="00FA3C83">
        <w:t xml:space="preserve"> survey</w:t>
      </w:r>
      <w:r w:rsidR="00E33DDC" w:rsidRPr="00FA3C83">
        <w:t xml:space="preserve"> biomas</w:t>
      </w:r>
      <w:r w:rsidR="00926365" w:rsidRPr="00FA3C83">
        <w:t xml:space="preserve">s and </w:t>
      </w:r>
      <w:r w:rsidR="00E33DDC" w:rsidRPr="00FA3C83">
        <w:t xml:space="preserve">total </w:t>
      </w:r>
      <w:r w:rsidR="00926365" w:rsidRPr="00FA3C83">
        <w:t>catch are summarized to describe the state of the resource, rather than results from the rejected model.</w:t>
      </w:r>
      <w:r w:rsidR="004304CE">
        <w:t xml:space="preserve"> </w:t>
      </w:r>
    </w:p>
    <w:p w14:paraId="5DCE5001" w14:textId="77777777" w:rsidR="00841B41" w:rsidRDefault="00841B41" w:rsidP="00BE2DEE">
      <w:pPr>
        <w:pStyle w:val="BodyText"/>
        <w:spacing w:after="0"/>
      </w:pPr>
    </w:p>
    <w:p w14:paraId="2FD065F0" w14:textId="6C716DF1" w:rsidR="004C0F17" w:rsidRPr="00CF6978" w:rsidRDefault="00926365" w:rsidP="00BE2DEE">
      <w:pPr>
        <w:pStyle w:val="BodyText"/>
        <w:spacing w:after="0"/>
        <w:rPr>
          <w:lang w:val="en-CA"/>
        </w:rPr>
      </w:pPr>
      <w:r>
        <w:t xml:space="preserve">Average survey biomass is well above </w:t>
      </w:r>
      <w:r w:rsidR="00690E92">
        <w:t>(30</w:t>
      </w:r>
      <w:r w:rsidR="00032A8B">
        <w:t>–</w:t>
      </w:r>
      <w:r w:rsidR="00690E92">
        <w:t>40% higher in 2018</w:t>
      </w:r>
      <w:r w:rsidR="00032A8B">
        <w:t>–</w:t>
      </w:r>
      <w:r w:rsidR="00690E92">
        <w:t xml:space="preserve">2019) </w:t>
      </w:r>
      <w:r>
        <w:t>the time series mean</w:t>
      </w:r>
      <w:r w:rsidR="00841B41">
        <w:t>.</w:t>
      </w:r>
      <w:r w:rsidR="004304CE">
        <w:t xml:space="preserve"> </w:t>
      </w:r>
      <w:r w:rsidR="00841B41">
        <w:t>The 2013 year class remains the largest observed in the entire survey time series</w:t>
      </w:r>
      <w:r w:rsidR="0064132A">
        <w:t>, but two out of 3 surveys declined in the most recen</w:t>
      </w:r>
      <w:r w:rsidR="001003CB">
        <w:t>t</w:t>
      </w:r>
      <w:r w:rsidR="0064132A">
        <w:t xml:space="preserve"> year, and further decline is expected in the immediate future</w:t>
      </w:r>
      <w:r w:rsidR="00446844">
        <w:t xml:space="preserve"> as the large 2013 year class declines in number</w:t>
      </w:r>
      <w:r w:rsidR="00841B41">
        <w:t>.</w:t>
      </w:r>
    </w:p>
    <w:p w14:paraId="46507954" w14:textId="77777777" w:rsidR="000364B9" w:rsidRPr="00CF6978" w:rsidRDefault="000364B9" w:rsidP="00AE14C3">
      <w:pPr>
        <w:pStyle w:val="BodyText"/>
        <w:spacing w:after="0"/>
        <w:jc w:val="left"/>
      </w:pPr>
    </w:p>
    <w:p w14:paraId="184B6642" w14:textId="01B98F94" w:rsidR="00C756B0" w:rsidRPr="008149EA" w:rsidRDefault="003E6C7E" w:rsidP="00FA51C5">
      <w:pPr>
        <w:pStyle w:val="BodyText"/>
        <w:spacing w:after="0"/>
      </w:pPr>
      <w:r>
        <w:rPr>
          <w:b/>
        </w:rPr>
        <w:t>Relative f</w:t>
      </w:r>
      <w:r w:rsidR="004C0F17" w:rsidRPr="00C75585">
        <w:rPr>
          <w:b/>
        </w:rPr>
        <w:t>ishing mortality</w:t>
      </w:r>
      <w:r w:rsidR="007D2D4A">
        <w:rPr>
          <w:b/>
        </w:rPr>
        <w:t xml:space="preserve"> (F) </w:t>
      </w:r>
      <w:r w:rsidR="007D2D4A">
        <w:t>(</w:t>
      </w:r>
      <w:r w:rsidR="008149EA">
        <w:t>catch/survey biomass not adjusted for catchability</w:t>
      </w:r>
      <w:r w:rsidR="003B5E10">
        <w:t>)</w:t>
      </w:r>
      <w:r w:rsidR="00FA51C5" w:rsidRPr="00FA51C5">
        <w:t xml:space="preserve"> was calculated </w:t>
      </w:r>
      <w:r w:rsidR="00B32F27">
        <w:t xml:space="preserve">individually </w:t>
      </w:r>
      <w:r w:rsidR="00FA51C5" w:rsidRPr="00FA51C5">
        <w:t xml:space="preserve">for each of the surveys and </w:t>
      </w:r>
      <w:r w:rsidR="00B32F27">
        <w:t>then an</w:t>
      </w:r>
      <w:r w:rsidR="00B32F27" w:rsidRPr="00FA51C5">
        <w:t xml:space="preserve"> </w:t>
      </w:r>
      <w:r w:rsidR="00FA51C5" w:rsidRPr="00FA51C5">
        <w:t xml:space="preserve">annual average </w:t>
      </w:r>
      <w:r w:rsidR="00690F95">
        <w:t xml:space="preserve">relative fishing mortality </w:t>
      </w:r>
      <w:r w:rsidR="004E3791">
        <w:t xml:space="preserve">was calculated using the DFO and </w:t>
      </w:r>
      <w:r w:rsidR="00FA51C5" w:rsidRPr="00FA51C5">
        <w:t xml:space="preserve">NMFS Spring </w:t>
      </w:r>
      <w:r w:rsidR="004E3791">
        <w:t xml:space="preserve">surveys </w:t>
      </w:r>
      <w:r w:rsidR="00FA51C5" w:rsidRPr="00FA51C5">
        <w:t xml:space="preserve">and </w:t>
      </w:r>
      <w:r w:rsidR="004E3791">
        <w:t xml:space="preserve">the </w:t>
      </w:r>
      <w:r w:rsidR="00FA51C5" w:rsidRPr="00FA51C5">
        <w:t xml:space="preserve">NMFS </w:t>
      </w:r>
      <w:r w:rsidR="00FA3C83">
        <w:t>F</w:t>
      </w:r>
      <w:r w:rsidR="00FA51C5" w:rsidRPr="00FA51C5">
        <w:t xml:space="preserve">all </w:t>
      </w:r>
      <w:r w:rsidR="004E3791">
        <w:t xml:space="preserve">survey </w:t>
      </w:r>
      <w:r w:rsidR="00FA51C5" w:rsidRPr="00FA51C5">
        <w:t>in the previous year</w:t>
      </w:r>
      <w:r w:rsidR="00690F95">
        <w:t>, 1987</w:t>
      </w:r>
      <w:r w:rsidR="00032A8B">
        <w:t>–</w:t>
      </w:r>
      <w:r w:rsidR="00690F95">
        <w:t xml:space="preserve">2018 (Figure </w:t>
      </w:r>
      <w:r w:rsidR="00B32F27">
        <w:t>5)</w:t>
      </w:r>
      <w:r w:rsidR="00B32F27" w:rsidRPr="00FA51C5">
        <w:t>.</w:t>
      </w:r>
      <w:r w:rsidR="00B32F27">
        <w:t xml:space="preserve"> </w:t>
      </w:r>
      <w:r w:rsidR="00690F95" w:rsidRPr="008149EA">
        <w:t>Relative F tended to be above the mean during the earlier years of the time series until 1997 and has remained low since 2012.</w:t>
      </w:r>
      <w:r w:rsidR="004304CE">
        <w:t xml:space="preserve"> </w:t>
      </w:r>
      <w:r w:rsidR="00690F95" w:rsidRPr="008149EA">
        <w:t xml:space="preserve"> </w:t>
      </w:r>
    </w:p>
    <w:p w14:paraId="44BCD601" w14:textId="77777777" w:rsidR="00C171D5" w:rsidRPr="008149EA" w:rsidRDefault="00C171D5" w:rsidP="000364B9">
      <w:pPr>
        <w:pStyle w:val="BodyText"/>
        <w:spacing w:after="0"/>
      </w:pPr>
    </w:p>
    <w:p w14:paraId="1B6AC865" w14:textId="77777777" w:rsidR="004C0F17" w:rsidRPr="008149EA" w:rsidRDefault="004C0F17" w:rsidP="00D43B9A">
      <w:pPr>
        <w:pStyle w:val="Heading5"/>
        <w:spacing w:after="0"/>
      </w:pPr>
      <w:r w:rsidRPr="008149EA">
        <w:t>Productivity</w:t>
      </w:r>
    </w:p>
    <w:p w14:paraId="55AF5B09" w14:textId="318668E7" w:rsidR="004B4FEA" w:rsidRPr="008149EA" w:rsidRDefault="004B4FEA" w:rsidP="004B4FEA">
      <w:pPr>
        <w:jc w:val="both"/>
      </w:pPr>
    </w:p>
    <w:p w14:paraId="5A96F5C9" w14:textId="31A4F46B" w:rsidR="009642ED" w:rsidRDefault="009A20BE">
      <w:pPr>
        <w:jc w:val="both"/>
      </w:pPr>
      <w:r w:rsidRPr="008149EA">
        <w:rPr>
          <w:b/>
        </w:rPr>
        <w:t>Recruitment</w:t>
      </w:r>
      <w:r w:rsidRPr="008149EA">
        <w:t>, as well as a</w:t>
      </w:r>
      <w:r w:rsidR="004C0F17" w:rsidRPr="008149EA">
        <w:t>ge structure, spatial distribution</w:t>
      </w:r>
      <w:r w:rsidR="00DB5BAF" w:rsidRPr="008149EA">
        <w:t>,</w:t>
      </w:r>
      <w:r w:rsidR="004C0F17" w:rsidRPr="008149EA">
        <w:t xml:space="preserve"> and fish growth reflect changes in the productive potential. </w:t>
      </w:r>
      <w:r w:rsidRPr="008149EA">
        <w:t>Recruitment</w:t>
      </w:r>
      <w:r w:rsidR="00147735" w:rsidRPr="008149EA">
        <w:t>, while highly variable,</w:t>
      </w:r>
      <w:r w:rsidRPr="008149EA">
        <w:t xml:space="preserve"> has generally been </w:t>
      </w:r>
      <w:r w:rsidR="004C0F17" w:rsidRPr="008149EA">
        <w:t xml:space="preserve">higher </w:t>
      </w:r>
      <w:r w:rsidRPr="008149EA">
        <w:t>when adult</w:t>
      </w:r>
      <w:r w:rsidR="004C0F17" w:rsidRPr="008149EA">
        <w:t xml:space="preserve"> biomass </w:t>
      </w:r>
      <w:r w:rsidR="00F9003A" w:rsidRPr="008149EA">
        <w:t>has been</w:t>
      </w:r>
      <w:r w:rsidR="004C0F17" w:rsidRPr="008149EA">
        <w:t xml:space="preserve"> </w:t>
      </w:r>
      <w:r w:rsidR="00535171" w:rsidRPr="008149EA">
        <w:t xml:space="preserve">above </w:t>
      </w:r>
      <w:r w:rsidR="004C0F17" w:rsidRPr="008149EA">
        <w:t>40,000 mt</w:t>
      </w:r>
      <w:r w:rsidR="00AE1773" w:rsidRPr="008149EA">
        <w:t xml:space="preserve">, </w:t>
      </w:r>
      <w:r w:rsidR="00404464" w:rsidRPr="008149EA">
        <w:t>and the stock has produced several exceptionally strong year classes in the last 16 years.</w:t>
      </w:r>
      <w:r w:rsidR="004C0F17" w:rsidRPr="008149EA">
        <w:t xml:space="preserve"> </w:t>
      </w:r>
      <w:r w:rsidR="00B32F27" w:rsidRPr="008149EA">
        <w:t>There are no indications of exceptional year classes coming into the population (</w:t>
      </w:r>
      <w:r w:rsidR="00690E92" w:rsidRPr="008149EA">
        <w:t>2000</w:t>
      </w:r>
      <w:r w:rsidR="00032A8B">
        <w:t>–</w:t>
      </w:r>
      <w:r w:rsidR="00690E92" w:rsidRPr="008149EA">
        <w:t>2018 numbers at age</w:t>
      </w:r>
      <w:r w:rsidR="00B32F27" w:rsidRPr="008149EA">
        <w:t xml:space="preserve"> from NMFS Fall survey in Figure 3). </w:t>
      </w:r>
      <w:r w:rsidR="00F926EB" w:rsidRPr="008149EA">
        <w:t>There are</w:t>
      </w:r>
      <w:r w:rsidR="004E3791" w:rsidRPr="008149EA">
        <w:t xml:space="preserve"> preliminary </w:t>
      </w:r>
      <w:r w:rsidR="00F926EB" w:rsidRPr="008149EA">
        <w:rPr>
          <w:lang w:val="en-CA" w:eastAsia="en-CA"/>
        </w:rPr>
        <w:t xml:space="preserve">indications of above average recruitment for 2016 (Figure 3), although that observation is uncertain. </w:t>
      </w:r>
      <w:r w:rsidR="00B26ECC" w:rsidRPr="008149EA">
        <w:t xml:space="preserve">The </w:t>
      </w:r>
      <w:r w:rsidR="00B26ECC" w:rsidRPr="008149EA">
        <w:rPr>
          <w:b/>
        </w:rPr>
        <w:t>population age structure</w:t>
      </w:r>
      <w:r w:rsidR="00B26ECC" w:rsidRPr="008149EA">
        <w:t xml:space="preserve"> displays a broad representation of age groups</w:t>
      </w:r>
      <w:r w:rsidR="004C0F17" w:rsidRPr="008149EA">
        <w:t xml:space="preserve">, reflecting improving recruitment since 1995. </w:t>
      </w:r>
      <w:r w:rsidR="00B26ECC" w:rsidRPr="008149EA">
        <w:t xml:space="preserve">The </w:t>
      </w:r>
      <w:r w:rsidR="00B26ECC" w:rsidRPr="008149EA">
        <w:rPr>
          <w:b/>
        </w:rPr>
        <w:t>spatial distribution</w:t>
      </w:r>
      <w:r w:rsidR="00B26ECC" w:rsidRPr="008149EA">
        <w:t xml:space="preserve"> patterns</w:t>
      </w:r>
      <w:r w:rsidR="00686AF2" w:rsidRPr="008149EA">
        <w:t xml:space="preserve"> </w:t>
      </w:r>
      <w:r w:rsidR="004C0F17" w:rsidRPr="008149EA">
        <w:t xml:space="preserve">observed during the most recent bottom trawl surveys </w:t>
      </w:r>
      <w:r w:rsidR="00B26ECC" w:rsidRPr="008149EA">
        <w:t>were similar to the average patterns over the previous ten years.</w:t>
      </w:r>
      <w:r w:rsidR="00B26ECC" w:rsidRPr="008732CB">
        <w:t xml:space="preserve"> </w:t>
      </w:r>
    </w:p>
    <w:p w14:paraId="47C8135F" w14:textId="461A6A1C" w:rsidR="00404464" w:rsidRPr="008732CB" w:rsidRDefault="00404464">
      <w:pPr>
        <w:jc w:val="both"/>
      </w:pPr>
    </w:p>
    <w:p w14:paraId="3BAC9E60" w14:textId="1AD463CB" w:rsidR="003D1773" w:rsidRPr="008149EA" w:rsidRDefault="00404464">
      <w:pPr>
        <w:jc w:val="both"/>
      </w:pPr>
      <w:r w:rsidRPr="008149EA">
        <w:t>T</w:t>
      </w:r>
      <w:r w:rsidR="00B26ECC" w:rsidRPr="008149EA">
        <w:t>here has been a general decline in weights at age since the late 1990s.</w:t>
      </w:r>
      <w:r w:rsidR="00535171" w:rsidRPr="008149EA">
        <w:t xml:space="preserve"> </w:t>
      </w:r>
      <w:r w:rsidRPr="008149EA">
        <w:t>As biomass has increased</w:t>
      </w:r>
      <w:r w:rsidR="00D671AA" w:rsidRPr="008149EA">
        <w:t>,</w:t>
      </w:r>
      <w:r w:rsidRPr="008149EA">
        <w:t xml:space="preserve"> growth rates and asymptotic length have declined. This decline in size at age </w:t>
      </w:r>
      <w:r w:rsidR="00EE0E63" w:rsidRPr="008149EA">
        <w:t xml:space="preserve">is </w:t>
      </w:r>
      <w:r w:rsidRPr="008149EA">
        <w:t>exacerbated for the 2013 year class</w:t>
      </w:r>
      <w:r w:rsidR="003D1773" w:rsidRPr="008149EA">
        <w:t xml:space="preserve"> (Figure </w:t>
      </w:r>
      <w:r w:rsidR="002A36A4" w:rsidRPr="008149EA">
        <w:t>4</w:t>
      </w:r>
      <w:r w:rsidR="003D1773" w:rsidRPr="008149EA">
        <w:t>)</w:t>
      </w:r>
      <w:r w:rsidR="003D4AD6" w:rsidRPr="008149EA">
        <w:t xml:space="preserve">. </w:t>
      </w:r>
      <w:r w:rsidR="00B26ECC" w:rsidRPr="008149EA">
        <w:t>Fish condition</w:t>
      </w:r>
      <w:r w:rsidR="00DB5BAF" w:rsidRPr="008149EA">
        <w:t>,</w:t>
      </w:r>
      <w:r w:rsidR="006D5F59" w:rsidRPr="008149EA">
        <w:t xml:space="preserve"> as measured by Fulton’s K</w:t>
      </w:r>
      <w:r w:rsidR="00DB5BAF" w:rsidRPr="008149EA">
        <w:t>,</w:t>
      </w:r>
      <w:r w:rsidR="00CF2344" w:rsidRPr="008149EA">
        <w:t xml:space="preserve"> </w:t>
      </w:r>
      <w:r w:rsidR="00B26ECC" w:rsidRPr="008149EA">
        <w:t>has generally been below the time series average since 2004</w:t>
      </w:r>
      <w:r w:rsidR="003D1773" w:rsidRPr="008149EA">
        <w:t xml:space="preserve"> for </w:t>
      </w:r>
      <w:r w:rsidR="00EE0E63" w:rsidRPr="008149EA">
        <w:t>DFO and NMFS spring survey</w:t>
      </w:r>
      <w:r w:rsidR="004E3791" w:rsidRPr="008149EA">
        <w:t>s</w:t>
      </w:r>
      <w:r w:rsidR="00EE0E63" w:rsidRPr="008149EA">
        <w:t>.</w:t>
      </w:r>
      <w:r w:rsidR="004304CE">
        <w:t xml:space="preserve"> </w:t>
      </w:r>
      <w:r w:rsidR="00EE0E63" w:rsidRPr="008149EA">
        <w:t>In 2018 (NMFS Fall) and 2019 (NMFS Spring) the condition increased above the time series mean; in 2019, condition in the DFO survey increased but remained below the time series average.</w:t>
      </w:r>
    </w:p>
    <w:p w14:paraId="7A886D0A" w14:textId="77777777" w:rsidR="00C75585" w:rsidRPr="008149EA" w:rsidRDefault="00C75585" w:rsidP="00BE2DEE"/>
    <w:p w14:paraId="1F0A76C7" w14:textId="77777777" w:rsidR="00901E24" w:rsidRPr="008149EA" w:rsidRDefault="004C0F17" w:rsidP="00901E24">
      <w:pPr>
        <w:pStyle w:val="Heading5"/>
        <w:spacing w:after="0"/>
      </w:pPr>
      <w:r w:rsidRPr="008149EA">
        <w:t>Outlook</w:t>
      </w:r>
      <w:r w:rsidR="00901E24" w:rsidRPr="008149EA">
        <w:t xml:space="preserve"> and TRAC Advice</w:t>
      </w:r>
    </w:p>
    <w:p w14:paraId="6F7B6377" w14:textId="77777777" w:rsidR="00901E24" w:rsidRPr="008149EA" w:rsidRDefault="00901E24" w:rsidP="00901E24">
      <w:pPr>
        <w:pStyle w:val="BodyText"/>
        <w:spacing w:after="0"/>
      </w:pPr>
    </w:p>
    <w:p w14:paraId="6BA3CEC1" w14:textId="49EABBB1" w:rsidR="00901E24" w:rsidRPr="008149EA" w:rsidRDefault="00901E24" w:rsidP="00901E24">
      <w:pPr>
        <w:pStyle w:val="BodyText"/>
        <w:spacing w:after="0"/>
      </w:pPr>
      <w:r w:rsidRPr="008149EA">
        <w:t>The assessment model was rejected, so there are no analytical projections to characterize risk for catches in 2020 and 2021.</w:t>
      </w:r>
      <w:r w:rsidR="004304CE">
        <w:t xml:space="preserve"> </w:t>
      </w:r>
      <w:r w:rsidRPr="008149EA">
        <w:t>Instead, survey and relative F trends, and comparisons with the 2003 year class in 2009 (which is akin to the 2013 year class in 2019) are provided (Table 2).</w:t>
      </w:r>
      <w:r w:rsidR="004304CE">
        <w:t xml:space="preserve"> </w:t>
      </w:r>
      <w:r w:rsidRPr="008149EA">
        <w:t>In addition to these model-free summaries, results from the 2012 VPA are summarized in an attempt to relate current relative measures to analytical estimates from the last VPA with acceptable performance (Table 2).</w:t>
      </w:r>
      <w:r w:rsidR="004304CE">
        <w:t xml:space="preserve"> </w:t>
      </w:r>
      <w:r w:rsidRPr="008149EA">
        <w:t>Model-free observations about the population status and reasons to adjust future quotas are summarized in Table 3.</w:t>
      </w:r>
    </w:p>
    <w:p w14:paraId="063FAC24" w14:textId="77777777" w:rsidR="00901E24" w:rsidRPr="008149EA" w:rsidRDefault="00901E24" w:rsidP="00901E24">
      <w:pPr>
        <w:pStyle w:val="BodyText"/>
        <w:spacing w:after="0"/>
      </w:pPr>
    </w:p>
    <w:p w14:paraId="53BB9574" w14:textId="0014FE0B" w:rsidR="00901E24" w:rsidRPr="008149EA" w:rsidRDefault="00901E24" w:rsidP="00901E24">
      <w:pPr>
        <w:pStyle w:val="BodyText"/>
        <w:spacing w:after="0"/>
      </w:pPr>
      <w:r w:rsidRPr="008149EA">
        <w:t>The population is expected to decline from 2019 to 2020 and 2021 even if no catches are taken in 2020.</w:t>
      </w:r>
      <w:r w:rsidR="004304CE">
        <w:t xml:space="preserve"> </w:t>
      </w:r>
      <w:r w:rsidRPr="008149EA">
        <w:t xml:space="preserve"> This is primarily due to the decline in numbers of the 2013 year class, which is expected to have very little gains in weight from age 6 to 8.</w:t>
      </w:r>
      <w:r w:rsidR="004304CE">
        <w:t xml:space="preserve"> </w:t>
      </w:r>
      <w:r w:rsidRPr="008149EA">
        <w:t>Providing quota advice for 2020 and 2021 is challenging with no analytical model.</w:t>
      </w:r>
      <w:r w:rsidR="004304CE">
        <w:t xml:space="preserve"> </w:t>
      </w:r>
      <w:r w:rsidRPr="008149EA">
        <w:t>With a quota of 30,000 mt for 2019, the TRAC agreed that quota in 2020 and 2021 should not be increased.</w:t>
      </w:r>
      <w:r w:rsidR="004304CE">
        <w:t xml:space="preserve"> </w:t>
      </w:r>
      <w:r w:rsidRPr="008149EA">
        <w:t>Two alternatives for catch advice are to maintain status quo, or to decrease quota. Although the population is still abundant, and well above the time series average survey biomass</w:t>
      </w:r>
      <w:r w:rsidR="00DD42B7" w:rsidRPr="008149EA">
        <w:t xml:space="preserve"> (30</w:t>
      </w:r>
      <w:r w:rsidR="00032A8B">
        <w:t>–</w:t>
      </w:r>
      <w:r w:rsidR="00DD42B7" w:rsidRPr="008149EA">
        <w:t>40% higher in 2018 and 2019)</w:t>
      </w:r>
      <w:r w:rsidRPr="008149EA">
        <w:t>, maintaining a constant quota on a declining population (where catch is primarily coming from a single year class) would lead to an increasing trend in relative F.</w:t>
      </w:r>
      <w:r w:rsidR="004304CE">
        <w:t xml:space="preserve"> </w:t>
      </w:r>
      <w:r w:rsidRPr="008149EA">
        <w:t>Furthermore, the availability of the 2013 year class to the fishery at those older ages is uncertain, due to indications of low availability to the fishery beyond age 8 (observations from VPAs over the last decade).</w:t>
      </w:r>
      <w:r w:rsidR="004304CE">
        <w:t xml:space="preserve"> </w:t>
      </w:r>
      <w:r w:rsidRPr="008149EA">
        <w:t xml:space="preserve">The uncertain availability, combined with weights at age being the lowest observed for the 2013 year class, argue against </w:t>
      </w:r>
      <w:r w:rsidR="00D671AA" w:rsidRPr="008149EA">
        <w:t>a</w:t>
      </w:r>
      <w:r w:rsidRPr="008149EA">
        <w:t xml:space="preserve"> status quo quota.</w:t>
      </w:r>
      <w:r w:rsidR="004304CE">
        <w:t xml:space="preserve"> </w:t>
      </w:r>
    </w:p>
    <w:p w14:paraId="5E615BB4" w14:textId="77777777" w:rsidR="00901E24" w:rsidRPr="008149EA" w:rsidRDefault="00901E24" w:rsidP="00901E24">
      <w:pPr>
        <w:pStyle w:val="BodyText"/>
        <w:spacing w:after="0"/>
      </w:pPr>
    </w:p>
    <w:p w14:paraId="5807FD0E" w14:textId="2ED08982" w:rsidR="00901E24" w:rsidRDefault="00901E24" w:rsidP="00901E24">
      <w:pPr>
        <w:pStyle w:val="BodyText"/>
        <w:spacing w:after="0"/>
      </w:pPr>
      <w:r w:rsidRPr="008149EA">
        <w:t>The remaining alternative</w:t>
      </w:r>
      <w:r w:rsidR="00A43F5F" w:rsidRPr="008149EA">
        <w:t xml:space="preserve"> </w:t>
      </w:r>
      <w:r w:rsidRPr="008149EA">
        <w:t>is to decrease 2020 and 2021 quota advice from the 2019 quota of 30,000 mt.</w:t>
      </w:r>
      <w:r w:rsidR="004304CE">
        <w:t xml:space="preserve"> </w:t>
      </w:r>
      <w:r w:rsidR="00A43F5F" w:rsidRPr="008149EA">
        <w:t xml:space="preserve">The TRAC recommends </w:t>
      </w:r>
      <w:r w:rsidR="00A55E65" w:rsidRPr="008149EA">
        <w:t>no</w:t>
      </w:r>
      <w:r w:rsidR="00A43F5F" w:rsidRPr="008149EA">
        <w:t xml:space="preserve"> increase </w:t>
      </w:r>
      <w:r w:rsidR="00A55E65" w:rsidRPr="008149EA">
        <w:t xml:space="preserve">in </w:t>
      </w:r>
      <w:r w:rsidR="00A43F5F" w:rsidRPr="008149EA">
        <w:t>quota in 2020 above the 2019 quota of 30,000</w:t>
      </w:r>
      <w:r w:rsidR="00A55E65" w:rsidRPr="008149EA">
        <w:t xml:space="preserve"> mt</w:t>
      </w:r>
      <w:r w:rsidR="00A43F5F" w:rsidRPr="008149EA">
        <w:t xml:space="preserve">, but </w:t>
      </w:r>
      <w:r w:rsidR="00A55E65" w:rsidRPr="008149EA">
        <w:t>recommends a</w:t>
      </w:r>
      <w:r w:rsidR="00A43F5F" w:rsidRPr="008149EA">
        <w:t xml:space="preserve"> decrease </w:t>
      </w:r>
      <w:r w:rsidR="00A55E65" w:rsidRPr="008149EA">
        <w:t xml:space="preserve">in </w:t>
      </w:r>
      <w:r w:rsidR="00A43F5F" w:rsidRPr="008149EA">
        <w:t>quota in 2021.</w:t>
      </w:r>
      <w:r w:rsidR="004304CE">
        <w:t xml:space="preserve"> </w:t>
      </w:r>
      <w:r w:rsidR="00A43F5F" w:rsidRPr="008149EA">
        <w:t>There is no consensus on whether to decrease quota in 2020.</w:t>
      </w:r>
      <w:r w:rsidR="004304CE">
        <w:t xml:space="preserve"> </w:t>
      </w:r>
      <w:r w:rsidRPr="008149EA">
        <w:t xml:space="preserve">For guidance on a potentially reasonable range of quota advice, the </w:t>
      </w:r>
      <w:r w:rsidR="00FE795C" w:rsidRPr="008149EA">
        <w:t xml:space="preserve">TMGC </w:t>
      </w:r>
      <w:r w:rsidR="00BC50FC" w:rsidRPr="008149EA">
        <w:t xml:space="preserve">could </w:t>
      </w:r>
      <w:r w:rsidRPr="008149EA">
        <w:t>consider the quota advice for the 2003 year class in 2009</w:t>
      </w:r>
      <w:r w:rsidR="00032A8B">
        <w:t>–</w:t>
      </w:r>
      <w:r w:rsidRPr="008149EA">
        <w:t>2011, as a starting point.</w:t>
      </w:r>
      <w:r w:rsidR="004304CE">
        <w:t xml:space="preserve"> </w:t>
      </w:r>
      <w:r w:rsidRPr="00A6425B">
        <w:t xml:space="preserve"> Average survey biomass in 2009 (54,254 mt, Table 2) is of </w:t>
      </w:r>
      <w:r w:rsidR="00A55E65">
        <w:t>similar magnitude to t</w:t>
      </w:r>
      <w:r w:rsidRPr="00A6425B">
        <w:t xml:space="preserve">he 2019 average survey biomass (62,041 mt), and </w:t>
      </w:r>
      <w:r w:rsidR="00A55E65">
        <w:t xml:space="preserve">it </w:t>
      </w:r>
      <w:r w:rsidRPr="00A6425B">
        <w:t>might</w:t>
      </w:r>
      <w:r w:rsidR="00A55E65">
        <w:t xml:space="preserve"> be</w:t>
      </w:r>
      <w:r w:rsidRPr="00A6425B">
        <w:t xml:space="preserve"> expect</w:t>
      </w:r>
      <w:r w:rsidR="00A55E65">
        <w:t>ed</w:t>
      </w:r>
      <w:r w:rsidRPr="00A6425B">
        <w:t xml:space="preserve"> to see a similar biomass trend as the 2013</w:t>
      </w:r>
      <w:r>
        <w:t xml:space="preserve"> year class declines with age and moves towards the plus group</w:t>
      </w:r>
      <w:r w:rsidR="00D671AA">
        <w:t xml:space="preserve"> (ages 9 and older)</w:t>
      </w:r>
      <w:r>
        <w:t>.</w:t>
      </w:r>
      <w:r w:rsidR="004304CE">
        <w:t xml:space="preserve"> </w:t>
      </w:r>
      <w:r>
        <w:t>The quotas set in 2010</w:t>
      </w:r>
      <w:r w:rsidR="00032A8B">
        <w:t>–</w:t>
      </w:r>
      <w:r>
        <w:t xml:space="preserve">2011 pre-date the appearance of the </w:t>
      </w:r>
      <w:r w:rsidR="00A55E65">
        <w:t xml:space="preserve">VPA </w:t>
      </w:r>
      <w:r>
        <w:t>retro</w:t>
      </w:r>
      <w:r w:rsidR="00D671AA">
        <w:t>spective pattern</w:t>
      </w:r>
      <w:r>
        <w:t>, suggesting that the scale of those quotas was probably appropriate.</w:t>
      </w:r>
      <w:r w:rsidR="004304CE">
        <w:t xml:space="preserve"> </w:t>
      </w:r>
      <w:r w:rsidR="000E5CAD">
        <w:t>The catches removed in 2009</w:t>
      </w:r>
      <w:r w:rsidR="00032A8B">
        <w:t>–</w:t>
      </w:r>
      <w:r w:rsidR="000E5CAD">
        <w:t>2011</w:t>
      </w:r>
      <w:r>
        <w:t xml:space="preserve"> are estimated to have been below F</w:t>
      </w:r>
      <w:r w:rsidRPr="00A55E65">
        <w:rPr>
          <w:vertAlign w:val="subscript"/>
        </w:rPr>
        <w:t>ref</w:t>
      </w:r>
      <w:r w:rsidR="00A55E65">
        <w:rPr>
          <w:vertAlign w:val="subscript"/>
        </w:rPr>
        <w:t xml:space="preserve"> </w:t>
      </w:r>
      <w:r w:rsidR="00A55E65" w:rsidRPr="00A55E65">
        <w:t>(0.26)</w:t>
      </w:r>
      <w:r w:rsidRPr="00A55E65">
        <w:t>,</w:t>
      </w:r>
      <w:r>
        <w:t xml:space="preserve"> and even if the full quota had been removed then the F would have ranged from 0.19 to 0.27. </w:t>
      </w:r>
    </w:p>
    <w:p w14:paraId="4583D4CF" w14:textId="77777777" w:rsidR="00901E24" w:rsidRDefault="00901E24" w:rsidP="00901E24">
      <w:pPr>
        <w:pStyle w:val="BodyText"/>
        <w:spacing w:after="0"/>
      </w:pPr>
    </w:p>
    <w:p w14:paraId="6D87D10E" w14:textId="4D173509" w:rsidR="00901E24" w:rsidRDefault="00901E24" w:rsidP="00901E24">
      <w:pPr>
        <w:pStyle w:val="BodyText"/>
        <w:spacing w:after="0"/>
      </w:pPr>
      <w:r>
        <w:t>While Table 2 reports 2010</w:t>
      </w:r>
      <w:r w:rsidR="004304CE">
        <w:t>–</w:t>
      </w:r>
      <w:r>
        <w:t>2011 quotas, which could inform 2020</w:t>
      </w:r>
      <w:r w:rsidR="004304CE">
        <w:t>–</w:t>
      </w:r>
      <w:r>
        <w:t>2021 quotas, the TRAC agrees that second year quota advice (2021) should be revisited in the 2020 TRAC.</w:t>
      </w:r>
      <w:r w:rsidR="004304CE">
        <w:t xml:space="preserve"> </w:t>
      </w:r>
      <w:r>
        <w:t xml:space="preserve">Weights at age and survey trends, as well as relative F from 2019, could </w:t>
      </w:r>
      <w:r w:rsidR="00A55E65">
        <w:t xml:space="preserve">provide </w:t>
      </w:r>
      <w:r>
        <w:t>inform</w:t>
      </w:r>
      <w:r w:rsidR="00A55E65">
        <w:t>ation</w:t>
      </w:r>
      <w:r>
        <w:t xml:space="preserve"> on the appropriateness of the second year quota.</w:t>
      </w:r>
      <w:r w:rsidR="004304CE">
        <w:t xml:space="preserve"> </w:t>
      </w:r>
      <w:r>
        <w:t>As a point of comparison, the relative F in 2009</w:t>
      </w:r>
      <w:r w:rsidR="004304CE">
        <w:t>–</w:t>
      </w:r>
      <w:r w:rsidR="00032A8B">
        <w:t xml:space="preserve">2011 ranged from      </w:t>
      </w:r>
      <w:r>
        <w:t>0.</w:t>
      </w:r>
      <w:r w:rsidR="00A87349">
        <w:t>94</w:t>
      </w:r>
      <w:r w:rsidR="00032A8B">
        <w:t>–</w:t>
      </w:r>
      <w:r w:rsidR="00A87349">
        <w:t>1.20</w:t>
      </w:r>
      <w:r>
        <w:t>, and may be useful context when relative F</w:t>
      </w:r>
      <w:r w:rsidR="000E5CAD">
        <w:t xml:space="preserve"> for 2019 catch</w:t>
      </w:r>
      <w:r>
        <w:t xml:space="preserve"> is calculated </w:t>
      </w:r>
      <w:r w:rsidR="00A55E65">
        <w:t>at</w:t>
      </w:r>
      <w:r>
        <w:t xml:space="preserve"> the next TRAC</w:t>
      </w:r>
      <w:r w:rsidR="00A55E65">
        <w:t xml:space="preserve"> meeting</w:t>
      </w:r>
      <w:r>
        <w:t>.</w:t>
      </w:r>
    </w:p>
    <w:p w14:paraId="365B5CEA" w14:textId="77777777" w:rsidR="00901E24" w:rsidRDefault="00901E24" w:rsidP="00901E24">
      <w:pPr>
        <w:pStyle w:val="BodyText"/>
        <w:spacing w:after="0"/>
      </w:pPr>
    </w:p>
    <w:p w14:paraId="7959000A" w14:textId="77777777" w:rsidR="00482E51" w:rsidRDefault="00482E51" w:rsidP="00901E24">
      <w:pPr>
        <w:pStyle w:val="BodyText"/>
        <w:spacing w:after="0"/>
      </w:pPr>
    </w:p>
    <w:p w14:paraId="0E6BE759" w14:textId="7BB9AB01" w:rsidR="00901E24" w:rsidRPr="00653AAD" w:rsidRDefault="00901E24" w:rsidP="00901E24">
      <w:pPr>
        <w:pStyle w:val="BodyText"/>
        <w:spacing w:after="0"/>
        <w:rPr>
          <w:i/>
        </w:rPr>
      </w:pPr>
      <w:r w:rsidRPr="00653AAD">
        <w:rPr>
          <w:i/>
        </w:rPr>
        <w:t>Table 2.</w:t>
      </w:r>
      <w:r w:rsidR="004304CE">
        <w:rPr>
          <w:i/>
        </w:rPr>
        <w:t xml:space="preserve"> </w:t>
      </w:r>
      <w:r w:rsidRPr="00653AAD">
        <w:rPr>
          <w:i/>
        </w:rPr>
        <w:t>Information from the 2012 VPA (</w:t>
      </w:r>
      <w:r>
        <w:rPr>
          <w:i/>
        </w:rPr>
        <w:t xml:space="preserve">yellow highlighted cells in </w:t>
      </w:r>
      <w:r w:rsidRPr="00653AAD">
        <w:rPr>
          <w:i/>
        </w:rPr>
        <w:t>years 2009</w:t>
      </w:r>
      <w:r w:rsidR="00032A8B">
        <w:rPr>
          <w:i/>
        </w:rPr>
        <w:t>–</w:t>
      </w:r>
      <w:r w:rsidRPr="00653AAD">
        <w:rPr>
          <w:i/>
        </w:rPr>
        <w:t>201</w:t>
      </w:r>
      <w:r>
        <w:rPr>
          <w:i/>
        </w:rPr>
        <w:t>1</w:t>
      </w:r>
      <w:r w:rsidRPr="00653AAD">
        <w:rPr>
          <w:i/>
        </w:rPr>
        <w:t>) and the 2019 average survey biomass.</w:t>
      </w:r>
      <w:r w:rsidR="004304CE">
        <w:rPr>
          <w:i/>
        </w:rPr>
        <w:t xml:space="preserve"> </w:t>
      </w:r>
      <w:r w:rsidRPr="00653AAD">
        <w:rPr>
          <w:i/>
        </w:rPr>
        <w:t xml:space="preserve">The 2012 VPA is the last model iteration that had no retrospective pattern, and provides a measure of scale between average survey biomass </w:t>
      </w:r>
      <w:r w:rsidR="00ED0CF2">
        <w:rPr>
          <w:i/>
        </w:rPr>
        <w:t xml:space="preserve">(AvgSurvB) </w:t>
      </w:r>
      <w:r w:rsidRPr="00653AAD">
        <w:rPr>
          <w:i/>
        </w:rPr>
        <w:t>and VPA estimated 3+ biomass</w:t>
      </w:r>
      <w:r w:rsidR="00ED0CF2">
        <w:rPr>
          <w:i/>
        </w:rPr>
        <w:t xml:space="preserve"> (B)</w:t>
      </w:r>
      <w:r>
        <w:rPr>
          <w:i/>
        </w:rPr>
        <w:t>,</w:t>
      </w:r>
      <w:r w:rsidRPr="00653AAD">
        <w:rPr>
          <w:i/>
        </w:rPr>
        <w:t xml:space="preserve"> and </w:t>
      </w:r>
      <w:r w:rsidR="00ED0CF2">
        <w:rPr>
          <w:i/>
        </w:rPr>
        <w:t xml:space="preserve">between VPA </w:t>
      </w:r>
      <w:r w:rsidRPr="00653AAD">
        <w:rPr>
          <w:i/>
        </w:rPr>
        <w:t>estimates of F</w:t>
      </w:r>
      <w:r w:rsidR="00ED0CF2">
        <w:rPr>
          <w:i/>
        </w:rPr>
        <w:t xml:space="preserve"> on ages 5 though 8 (F5-8) </w:t>
      </w:r>
      <w:r w:rsidRPr="00653AAD">
        <w:rPr>
          <w:i/>
        </w:rPr>
        <w:t>corresponding to catch removed from the average survey biomass</w:t>
      </w:r>
      <w:r w:rsidR="00ED0CF2">
        <w:rPr>
          <w:i/>
        </w:rPr>
        <w:t xml:space="preserve"> (Rel.F)</w:t>
      </w:r>
      <w:r w:rsidRPr="00653AAD">
        <w:rPr>
          <w:i/>
        </w:rPr>
        <w:t>.</w:t>
      </w:r>
      <w:r w:rsidR="004304CE">
        <w:rPr>
          <w:i/>
        </w:rPr>
        <w:t xml:space="preserve"> </w:t>
      </w:r>
      <w:r>
        <w:rPr>
          <w:i/>
        </w:rPr>
        <w:t>In the final column,</w:t>
      </w:r>
      <w:r w:rsidRPr="00653AAD">
        <w:rPr>
          <w:i/>
        </w:rPr>
        <w:t xml:space="preserve"> F</w:t>
      </w:r>
      <w:r w:rsidR="004304CE">
        <w:rPr>
          <w:i/>
        </w:rPr>
        <w:t>5</w:t>
      </w:r>
      <w:r w:rsidR="004304CE">
        <w:rPr>
          <w:i/>
        </w:rPr>
        <w:noBreakHyphen/>
      </w:r>
      <w:r>
        <w:rPr>
          <w:i/>
        </w:rPr>
        <w:t>8</w:t>
      </w:r>
      <w:r w:rsidRPr="00653AAD">
        <w:rPr>
          <w:i/>
        </w:rPr>
        <w:t xml:space="preserve"> </w:t>
      </w:r>
      <w:r>
        <w:rPr>
          <w:i/>
        </w:rPr>
        <w:t>is</w:t>
      </w:r>
      <w:r w:rsidRPr="00653AAD">
        <w:rPr>
          <w:i/>
        </w:rPr>
        <w:t xml:space="preserve"> scaled by the ratio of quota/catch (Q/C) to estimate what F might have been if the full quota had been caught.</w:t>
      </w:r>
      <w:r w:rsidR="004304CE">
        <w:rPr>
          <w:i/>
        </w:rPr>
        <w:t xml:space="preserve"> </w:t>
      </w:r>
      <w:r w:rsidR="00FE795C">
        <w:rPr>
          <w:i/>
        </w:rPr>
        <w:t>*Indicates values that will be filled in at TRAC2020 and ** will be filled in after TMGC 2019.</w:t>
      </w:r>
    </w:p>
    <w:tbl>
      <w:tblPr>
        <w:tblW w:w="9295" w:type="dxa"/>
        <w:tblLook w:val="04A0" w:firstRow="1" w:lastRow="0" w:firstColumn="1" w:lastColumn="0" w:noHBand="0" w:noVBand="1"/>
      </w:tblPr>
      <w:tblGrid>
        <w:gridCol w:w="960"/>
        <w:gridCol w:w="960"/>
        <w:gridCol w:w="960"/>
        <w:gridCol w:w="960"/>
        <w:gridCol w:w="1140"/>
        <w:gridCol w:w="960"/>
        <w:gridCol w:w="960"/>
        <w:gridCol w:w="1395"/>
        <w:gridCol w:w="1000"/>
      </w:tblGrid>
      <w:tr w:rsidR="00901E24" w14:paraId="3191DC07" w14:textId="77777777" w:rsidTr="00ED0CF2">
        <w:trPr>
          <w:trHeight w:val="300"/>
        </w:trPr>
        <w:tc>
          <w:tcPr>
            <w:tcW w:w="960" w:type="dxa"/>
            <w:tcBorders>
              <w:top w:val="nil"/>
              <w:left w:val="nil"/>
              <w:bottom w:val="nil"/>
              <w:right w:val="nil"/>
            </w:tcBorders>
            <w:shd w:val="clear" w:color="auto" w:fill="auto"/>
            <w:noWrap/>
            <w:vAlign w:val="bottom"/>
            <w:hideMark/>
          </w:tcPr>
          <w:p w14:paraId="24ED09E0" w14:textId="7E659833" w:rsidR="00901E24" w:rsidRDefault="00482E51" w:rsidP="000A29EF">
            <w:pPr>
              <w:jc w:val="right"/>
              <w:rPr>
                <w:rFonts w:ascii="Calibri" w:hAnsi="Calibri"/>
                <w:b/>
                <w:bCs/>
                <w:color w:val="000000"/>
                <w:sz w:val="22"/>
                <w:szCs w:val="22"/>
                <w:u w:val="single"/>
              </w:rPr>
            </w:pPr>
            <w:r>
              <w:rPr>
                <w:rFonts w:ascii="Calibri" w:hAnsi="Calibri"/>
                <w:b/>
                <w:bCs/>
                <w:color w:val="000000"/>
                <w:sz w:val="22"/>
                <w:szCs w:val="22"/>
                <w:u w:val="single"/>
              </w:rPr>
              <w:t>Y</w:t>
            </w:r>
            <w:r w:rsidR="00901E24">
              <w:rPr>
                <w:rFonts w:ascii="Calibri" w:hAnsi="Calibri"/>
                <w:b/>
                <w:bCs/>
                <w:color w:val="000000"/>
                <w:sz w:val="22"/>
                <w:szCs w:val="22"/>
                <w:u w:val="single"/>
              </w:rPr>
              <w:t>ear</w:t>
            </w:r>
          </w:p>
        </w:tc>
        <w:tc>
          <w:tcPr>
            <w:tcW w:w="960" w:type="dxa"/>
            <w:tcBorders>
              <w:top w:val="nil"/>
              <w:left w:val="nil"/>
              <w:bottom w:val="nil"/>
              <w:right w:val="nil"/>
            </w:tcBorders>
            <w:shd w:val="clear" w:color="auto" w:fill="auto"/>
            <w:noWrap/>
            <w:vAlign w:val="bottom"/>
            <w:hideMark/>
          </w:tcPr>
          <w:p w14:paraId="34A09B16"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F</w:t>
            </w:r>
            <w:r w:rsidRPr="001D4D86">
              <w:rPr>
                <w:rFonts w:ascii="Calibri" w:hAnsi="Calibri"/>
                <w:b/>
                <w:bCs/>
                <w:color w:val="000000"/>
                <w:sz w:val="22"/>
                <w:szCs w:val="22"/>
                <w:u w:val="single"/>
              </w:rPr>
              <w:t>5-8</w:t>
            </w:r>
          </w:p>
        </w:tc>
        <w:tc>
          <w:tcPr>
            <w:tcW w:w="960" w:type="dxa"/>
            <w:tcBorders>
              <w:top w:val="nil"/>
              <w:left w:val="nil"/>
              <w:bottom w:val="nil"/>
              <w:right w:val="nil"/>
            </w:tcBorders>
            <w:shd w:val="clear" w:color="auto" w:fill="auto"/>
            <w:noWrap/>
            <w:vAlign w:val="bottom"/>
            <w:hideMark/>
          </w:tcPr>
          <w:p w14:paraId="106A6420"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Rel. F</w:t>
            </w:r>
          </w:p>
        </w:tc>
        <w:tc>
          <w:tcPr>
            <w:tcW w:w="960" w:type="dxa"/>
            <w:tcBorders>
              <w:top w:val="nil"/>
              <w:left w:val="nil"/>
              <w:bottom w:val="nil"/>
              <w:right w:val="nil"/>
            </w:tcBorders>
            <w:shd w:val="clear" w:color="auto" w:fill="auto"/>
            <w:noWrap/>
            <w:vAlign w:val="bottom"/>
            <w:hideMark/>
          </w:tcPr>
          <w:p w14:paraId="5C8FDDE4" w14:textId="77777777" w:rsidR="00901E24" w:rsidRDefault="00901E24" w:rsidP="000A29EF">
            <w:pPr>
              <w:jc w:val="center"/>
              <w:rPr>
                <w:rFonts w:ascii="Calibri" w:hAnsi="Calibri"/>
                <w:b/>
                <w:bCs/>
                <w:color w:val="000000"/>
                <w:sz w:val="22"/>
                <w:szCs w:val="22"/>
                <w:u w:val="single"/>
              </w:rPr>
            </w:pPr>
            <w:r>
              <w:rPr>
                <w:rFonts w:ascii="Calibri" w:hAnsi="Calibri"/>
                <w:b/>
                <w:bCs/>
                <w:color w:val="000000"/>
                <w:sz w:val="22"/>
                <w:szCs w:val="22"/>
                <w:u w:val="single"/>
              </w:rPr>
              <w:t>B</w:t>
            </w:r>
          </w:p>
        </w:tc>
        <w:tc>
          <w:tcPr>
            <w:tcW w:w="1140" w:type="dxa"/>
            <w:tcBorders>
              <w:top w:val="nil"/>
              <w:left w:val="nil"/>
              <w:bottom w:val="nil"/>
              <w:right w:val="nil"/>
            </w:tcBorders>
            <w:shd w:val="clear" w:color="auto" w:fill="auto"/>
            <w:noWrap/>
            <w:vAlign w:val="bottom"/>
            <w:hideMark/>
          </w:tcPr>
          <w:p w14:paraId="16404B7F"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AvgSurvB</w:t>
            </w:r>
          </w:p>
        </w:tc>
        <w:tc>
          <w:tcPr>
            <w:tcW w:w="960" w:type="dxa"/>
            <w:tcBorders>
              <w:top w:val="nil"/>
              <w:left w:val="nil"/>
              <w:bottom w:val="nil"/>
              <w:right w:val="nil"/>
            </w:tcBorders>
            <w:shd w:val="clear" w:color="auto" w:fill="auto"/>
            <w:noWrap/>
            <w:vAlign w:val="bottom"/>
            <w:hideMark/>
          </w:tcPr>
          <w:p w14:paraId="3B9D0E8B"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Catch</w:t>
            </w:r>
          </w:p>
        </w:tc>
        <w:tc>
          <w:tcPr>
            <w:tcW w:w="960" w:type="dxa"/>
            <w:tcBorders>
              <w:top w:val="nil"/>
              <w:left w:val="nil"/>
              <w:bottom w:val="nil"/>
              <w:right w:val="nil"/>
            </w:tcBorders>
            <w:shd w:val="clear" w:color="auto" w:fill="auto"/>
            <w:noWrap/>
            <w:vAlign w:val="bottom"/>
            <w:hideMark/>
          </w:tcPr>
          <w:p w14:paraId="1343C84F"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Quota</w:t>
            </w:r>
          </w:p>
        </w:tc>
        <w:tc>
          <w:tcPr>
            <w:tcW w:w="1395" w:type="dxa"/>
            <w:tcBorders>
              <w:top w:val="nil"/>
              <w:left w:val="nil"/>
              <w:bottom w:val="nil"/>
              <w:right w:val="nil"/>
            </w:tcBorders>
            <w:shd w:val="clear" w:color="auto" w:fill="auto"/>
            <w:noWrap/>
            <w:vAlign w:val="bottom"/>
            <w:hideMark/>
          </w:tcPr>
          <w:p w14:paraId="2A684210"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Quota/Catch</w:t>
            </w:r>
          </w:p>
        </w:tc>
        <w:tc>
          <w:tcPr>
            <w:tcW w:w="1000" w:type="dxa"/>
            <w:tcBorders>
              <w:top w:val="nil"/>
              <w:left w:val="nil"/>
              <w:bottom w:val="nil"/>
              <w:right w:val="nil"/>
            </w:tcBorders>
            <w:shd w:val="clear" w:color="auto" w:fill="auto"/>
            <w:noWrap/>
            <w:vAlign w:val="bottom"/>
            <w:hideMark/>
          </w:tcPr>
          <w:p w14:paraId="7CBB1E99"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F*Q/C</w:t>
            </w:r>
          </w:p>
        </w:tc>
      </w:tr>
      <w:tr w:rsidR="00ED0CF2" w14:paraId="07BEFE6F" w14:textId="77777777" w:rsidTr="00ED0CF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C98A" w14:textId="77777777" w:rsidR="00ED0CF2" w:rsidRDefault="00ED0CF2" w:rsidP="00ED0CF2">
            <w:pPr>
              <w:jc w:val="right"/>
              <w:rPr>
                <w:rFonts w:ascii="Calibri" w:hAnsi="Calibri"/>
                <w:color w:val="000000"/>
                <w:sz w:val="22"/>
                <w:szCs w:val="22"/>
              </w:rPr>
            </w:pPr>
            <w:r>
              <w:rPr>
                <w:rFonts w:ascii="Calibri" w:hAnsi="Calibri"/>
                <w:color w:val="000000"/>
                <w:sz w:val="22"/>
                <w:szCs w:val="22"/>
              </w:rPr>
              <w:t>2009</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CEA9A89" w14:textId="77777777" w:rsidR="00ED0CF2" w:rsidRDefault="00ED0CF2" w:rsidP="00ED0CF2">
            <w:pPr>
              <w:jc w:val="right"/>
              <w:rPr>
                <w:rFonts w:ascii="Calibri" w:hAnsi="Calibri"/>
                <w:color w:val="000000"/>
                <w:sz w:val="22"/>
                <w:szCs w:val="22"/>
              </w:rPr>
            </w:pPr>
            <w:r>
              <w:rPr>
                <w:rFonts w:ascii="Calibri" w:hAnsi="Calibri"/>
                <w:color w:val="000000"/>
                <w:sz w:val="22"/>
                <w:szCs w:val="22"/>
              </w:rPr>
              <w:t>0.12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3746B9" w14:textId="6F1C4A26" w:rsidR="00ED0CF2" w:rsidRDefault="00ED0CF2" w:rsidP="00ED0CF2">
            <w:pPr>
              <w:jc w:val="right"/>
              <w:rPr>
                <w:rFonts w:ascii="Calibri" w:hAnsi="Calibri"/>
                <w:color w:val="000000"/>
                <w:sz w:val="22"/>
                <w:szCs w:val="22"/>
              </w:rPr>
            </w:pPr>
            <w:r>
              <w:rPr>
                <w:rFonts w:ascii="Calibri" w:hAnsi="Calibri"/>
                <w:color w:val="000000"/>
                <w:sz w:val="22"/>
                <w:szCs w:val="22"/>
              </w:rPr>
              <w:t>0.94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6A0EF96" w14:textId="77777777" w:rsidR="00ED0CF2" w:rsidRDefault="00ED0CF2" w:rsidP="00ED0CF2">
            <w:pPr>
              <w:jc w:val="right"/>
              <w:rPr>
                <w:rFonts w:ascii="Calibri" w:hAnsi="Calibri"/>
                <w:color w:val="000000"/>
                <w:sz w:val="22"/>
                <w:szCs w:val="22"/>
              </w:rPr>
            </w:pPr>
            <w:r>
              <w:rPr>
                <w:rFonts w:ascii="Calibri" w:hAnsi="Calibri"/>
                <w:color w:val="000000"/>
                <w:sz w:val="22"/>
                <w:szCs w:val="22"/>
              </w:rPr>
              <w:t>132,500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7143929" w14:textId="77777777" w:rsidR="00ED0CF2" w:rsidRDefault="00ED0CF2" w:rsidP="00ED0CF2">
            <w:pPr>
              <w:jc w:val="right"/>
              <w:rPr>
                <w:rFonts w:ascii="Calibri" w:hAnsi="Calibri"/>
                <w:color w:val="000000"/>
                <w:sz w:val="22"/>
                <w:szCs w:val="22"/>
              </w:rPr>
            </w:pPr>
            <w:r>
              <w:rPr>
                <w:rFonts w:ascii="Calibri" w:hAnsi="Calibri"/>
                <w:color w:val="000000"/>
                <w:sz w:val="22"/>
                <w:szCs w:val="22"/>
              </w:rPr>
              <w:t>54,250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E1DAC5" w14:textId="77777777" w:rsidR="00ED0CF2" w:rsidRDefault="00ED0CF2" w:rsidP="00ED0CF2">
            <w:pPr>
              <w:jc w:val="right"/>
              <w:rPr>
                <w:rFonts w:ascii="Calibri" w:hAnsi="Calibri"/>
                <w:color w:val="000000"/>
                <w:sz w:val="22"/>
                <w:szCs w:val="22"/>
              </w:rPr>
            </w:pPr>
            <w:r>
              <w:rPr>
                <w:rFonts w:ascii="Calibri" w:hAnsi="Calibri"/>
                <w:color w:val="000000"/>
                <w:sz w:val="22"/>
                <w:szCs w:val="22"/>
              </w:rPr>
              <w:t>19,855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92A197" w14:textId="77777777" w:rsidR="00ED0CF2" w:rsidRDefault="00ED0CF2" w:rsidP="00ED0CF2">
            <w:pPr>
              <w:jc w:val="right"/>
              <w:rPr>
                <w:rFonts w:ascii="Calibri" w:hAnsi="Calibri"/>
                <w:color w:val="000000"/>
                <w:sz w:val="22"/>
                <w:szCs w:val="22"/>
              </w:rPr>
            </w:pPr>
            <w:r>
              <w:rPr>
                <w:rFonts w:ascii="Calibri" w:hAnsi="Calibri"/>
                <w:color w:val="000000"/>
                <w:sz w:val="22"/>
                <w:szCs w:val="22"/>
              </w:rPr>
              <w:t>30,000</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604DF884" w14:textId="77777777" w:rsidR="00ED0CF2" w:rsidRDefault="00ED0CF2" w:rsidP="00ED0CF2">
            <w:pPr>
              <w:jc w:val="right"/>
              <w:rPr>
                <w:rFonts w:ascii="Calibri" w:hAnsi="Calibri"/>
                <w:color w:val="000000"/>
                <w:sz w:val="22"/>
                <w:szCs w:val="22"/>
              </w:rPr>
            </w:pPr>
            <w:r>
              <w:rPr>
                <w:rFonts w:ascii="Calibri" w:hAnsi="Calibri"/>
                <w:color w:val="000000"/>
                <w:sz w:val="22"/>
                <w:szCs w:val="22"/>
              </w:rPr>
              <w:t>1.51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A43D7EA" w14:textId="77777777" w:rsidR="00ED0CF2" w:rsidRDefault="00ED0CF2" w:rsidP="00ED0CF2">
            <w:pPr>
              <w:jc w:val="right"/>
              <w:rPr>
                <w:rFonts w:ascii="Calibri" w:hAnsi="Calibri"/>
                <w:color w:val="000000"/>
                <w:sz w:val="22"/>
                <w:szCs w:val="22"/>
              </w:rPr>
            </w:pPr>
            <w:r>
              <w:rPr>
                <w:rFonts w:ascii="Calibri" w:hAnsi="Calibri"/>
                <w:color w:val="000000"/>
                <w:sz w:val="22"/>
                <w:szCs w:val="22"/>
              </w:rPr>
              <w:t>0.19</w:t>
            </w:r>
          </w:p>
        </w:tc>
      </w:tr>
      <w:tr w:rsidR="00ED0CF2" w14:paraId="39CCAA20"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33944F" w14:textId="77777777" w:rsidR="00ED0CF2" w:rsidRDefault="00ED0CF2" w:rsidP="00ED0CF2">
            <w:pPr>
              <w:jc w:val="right"/>
              <w:rPr>
                <w:rFonts w:ascii="Calibri" w:hAnsi="Calibri"/>
                <w:color w:val="000000"/>
                <w:sz w:val="22"/>
                <w:szCs w:val="22"/>
              </w:rPr>
            </w:pPr>
            <w:r>
              <w:rPr>
                <w:rFonts w:ascii="Calibri" w:hAnsi="Calibri"/>
                <w:color w:val="000000"/>
                <w:sz w:val="22"/>
                <w:szCs w:val="22"/>
              </w:rPr>
              <w:t>2010</w:t>
            </w:r>
          </w:p>
        </w:tc>
        <w:tc>
          <w:tcPr>
            <w:tcW w:w="960" w:type="dxa"/>
            <w:tcBorders>
              <w:top w:val="nil"/>
              <w:left w:val="nil"/>
              <w:bottom w:val="single" w:sz="4" w:space="0" w:color="auto"/>
              <w:right w:val="single" w:sz="4" w:space="0" w:color="auto"/>
            </w:tcBorders>
            <w:shd w:val="clear" w:color="000000" w:fill="FFFF00"/>
            <w:noWrap/>
            <w:vAlign w:val="bottom"/>
            <w:hideMark/>
          </w:tcPr>
          <w:p w14:paraId="66CD6613" w14:textId="77777777" w:rsidR="00ED0CF2" w:rsidRDefault="00ED0CF2" w:rsidP="00ED0CF2">
            <w:pPr>
              <w:jc w:val="right"/>
              <w:rPr>
                <w:rFonts w:ascii="Calibri" w:hAnsi="Calibri"/>
                <w:color w:val="000000"/>
                <w:sz w:val="22"/>
                <w:szCs w:val="22"/>
              </w:rPr>
            </w:pPr>
            <w:r>
              <w:rPr>
                <w:rFonts w:ascii="Calibri" w:hAnsi="Calibri"/>
                <w:color w:val="000000"/>
                <w:sz w:val="22"/>
                <w:szCs w:val="22"/>
              </w:rPr>
              <w:t>0.15</w:t>
            </w:r>
          </w:p>
        </w:tc>
        <w:tc>
          <w:tcPr>
            <w:tcW w:w="960" w:type="dxa"/>
            <w:tcBorders>
              <w:top w:val="nil"/>
              <w:left w:val="nil"/>
              <w:bottom w:val="single" w:sz="4" w:space="0" w:color="auto"/>
              <w:right w:val="single" w:sz="4" w:space="0" w:color="auto"/>
            </w:tcBorders>
            <w:shd w:val="clear" w:color="auto" w:fill="auto"/>
            <w:noWrap/>
            <w:vAlign w:val="bottom"/>
            <w:hideMark/>
          </w:tcPr>
          <w:p w14:paraId="70D1DCC3" w14:textId="08421A59" w:rsidR="00ED0CF2" w:rsidRDefault="00ED0CF2" w:rsidP="00ED0CF2">
            <w:pPr>
              <w:jc w:val="right"/>
              <w:rPr>
                <w:rFonts w:ascii="Calibri" w:hAnsi="Calibri"/>
                <w:color w:val="000000"/>
                <w:sz w:val="22"/>
                <w:szCs w:val="22"/>
              </w:rPr>
            </w:pPr>
            <w:r>
              <w:rPr>
                <w:rFonts w:ascii="Calibri" w:hAnsi="Calibri"/>
                <w:color w:val="000000"/>
                <w:sz w:val="22"/>
                <w:szCs w:val="22"/>
              </w:rPr>
              <w:t>0.99</w:t>
            </w:r>
          </w:p>
        </w:tc>
        <w:tc>
          <w:tcPr>
            <w:tcW w:w="960" w:type="dxa"/>
            <w:tcBorders>
              <w:top w:val="nil"/>
              <w:left w:val="nil"/>
              <w:bottom w:val="single" w:sz="4" w:space="0" w:color="auto"/>
              <w:right w:val="single" w:sz="4" w:space="0" w:color="auto"/>
            </w:tcBorders>
            <w:shd w:val="clear" w:color="000000" w:fill="FFFF00"/>
            <w:noWrap/>
            <w:vAlign w:val="bottom"/>
            <w:hideMark/>
          </w:tcPr>
          <w:p w14:paraId="3E0F1A54" w14:textId="77777777" w:rsidR="00ED0CF2" w:rsidRDefault="00ED0CF2" w:rsidP="00ED0CF2">
            <w:pPr>
              <w:jc w:val="right"/>
              <w:rPr>
                <w:rFonts w:ascii="Calibri" w:hAnsi="Calibri"/>
                <w:color w:val="000000"/>
                <w:sz w:val="22"/>
                <w:szCs w:val="22"/>
              </w:rPr>
            </w:pPr>
            <w:r>
              <w:rPr>
                <w:rFonts w:ascii="Calibri" w:hAnsi="Calibri"/>
                <w:color w:val="000000"/>
                <w:sz w:val="22"/>
                <w:szCs w:val="22"/>
              </w:rPr>
              <w:t>102,000</w:t>
            </w:r>
          </w:p>
        </w:tc>
        <w:tc>
          <w:tcPr>
            <w:tcW w:w="1140" w:type="dxa"/>
            <w:tcBorders>
              <w:top w:val="nil"/>
              <w:left w:val="nil"/>
              <w:bottom w:val="single" w:sz="4" w:space="0" w:color="auto"/>
              <w:right w:val="single" w:sz="4" w:space="0" w:color="auto"/>
            </w:tcBorders>
            <w:shd w:val="clear" w:color="auto" w:fill="auto"/>
            <w:noWrap/>
            <w:vAlign w:val="bottom"/>
            <w:hideMark/>
          </w:tcPr>
          <w:p w14:paraId="6471DB29" w14:textId="77777777" w:rsidR="00ED0CF2" w:rsidRDefault="00ED0CF2" w:rsidP="00ED0CF2">
            <w:pPr>
              <w:jc w:val="right"/>
              <w:rPr>
                <w:rFonts w:ascii="Calibri" w:hAnsi="Calibri"/>
                <w:color w:val="000000"/>
                <w:sz w:val="22"/>
                <w:szCs w:val="22"/>
              </w:rPr>
            </w:pPr>
            <w:r>
              <w:rPr>
                <w:rFonts w:ascii="Calibri" w:hAnsi="Calibri"/>
                <w:color w:val="000000"/>
                <w:sz w:val="22"/>
                <w:szCs w:val="22"/>
              </w:rPr>
              <w:t>50,800</w:t>
            </w:r>
          </w:p>
        </w:tc>
        <w:tc>
          <w:tcPr>
            <w:tcW w:w="960" w:type="dxa"/>
            <w:tcBorders>
              <w:top w:val="nil"/>
              <w:left w:val="nil"/>
              <w:bottom w:val="single" w:sz="4" w:space="0" w:color="auto"/>
              <w:right w:val="single" w:sz="4" w:space="0" w:color="auto"/>
            </w:tcBorders>
            <w:shd w:val="clear" w:color="auto" w:fill="auto"/>
            <w:noWrap/>
            <w:vAlign w:val="bottom"/>
            <w:hideMark/>
          </w:tcPr>
          <w:p w14:paraId="7EF19B24" w14:textId="77777777" w:rsidR="00ED0CF2" w:rsidRDefault="00ED0CF2" w:rsidP="00ED0CF2">
            <w:pPr>
              <w:jc w:val="right"/>
              <w:rPr>
                <w:rFonts w:ascii="Calibri" w:hAnsi="Calibri"/>
                <w:color w:val="000000"/>
                <w:sz w:val="22"/>
                <w:szCs w:val="22"/>
              </w:rPr>
            </w:pPr>
            <w:r>
              <w:rPr>
                <w:rFonts w:ascii="Calibri" w:hAnsi="Calibri"/>
                <w:color w:val="000000"/>
                <w:sz w:val="22"/>
                <w:szCs w:val="22"/>
              </w:rPr>
              <w:t>18,794</w:t>
            </w:r>
          </w:p>
        </w:tc>
        <w:tc>
          <w:tcPr>
            <w:tcW w:w="960" w:type="dxa"/>
            <w:tcBorders>
              <w:top w:val="nil"/>
              <w:left w:val="nil"/>
              <w:bottom w:val="single" w:sz="4" w:space="0" w:color="auto"/>
              <w:right w:val="single" w:sz="4" w:space="0" w:color="auto"/>
            </w:tcBorders>
            <w:shd w:val="clear" w:color="auto" w:fill="auto"/>
            <w:noWrap/>
            <w:vAlign w:val="bottom"/>
            <w:hideMark/>
          </w:tcPr>
          <w:p w14:paraId="15D9BFD3" w14:textId="77777777" w:rsidR="00ED0CF2" w:rsidRDefault="00ED0CF2" w:rsidP="00ED0CF2">
            <w:pPr>
              <w:jc w:val="right"/>
              <w:rPr>
                <w:rFonts w:ascii="Calibri" w:hAnsi="Calibri"/>
                <w:color w:val="000000"/>
                <w:sz w:val="22"/>
                <w:szCs w:val="22"/>
              </w:rPr>
            </w:pPr>
            <w:r>
              <w:rPr>
                <w:rFonts w:ascii="Calibri" w:hAnsi="Calibri"/>
                <w:color w:val="000000"/>
                <w:sz w:val="22"/>
                <w:szCs w:val="22"/>
              </w:rPr>
              <w:t>29,600</w:t>
            </w:r>
          </w:p>
        </w:tc>
        <w:tc>
          <w:tcPr>
            <w:tcW w:w="1395" w:type="dxa"/>
            <w:tcBorders>
              <w:top w:val="nil"/>
              <w:left w:val="nil"/>
              <w:bottom w:val="single" w:sz="4" w:space="0" w:color="auto"/>
              <w:right w:val="single" w:sz="4" w:space="0" w:color="auto"/>
            </w:tcBorders>
            <w:shd w:val="clear" w:color="auto" w:fill="auto"/>
            <w:noWrap/>
            <w:vAlign w:val="bottom"/>
            <w:hideMark/>
          </w:tcPr>
          <w:p w14:paraId="5DA0ABFC" w14:textId="77777777" w:rsidR="00ED0CF2" w:rsidRDefault="00ED0CF2" w:rsidP="00ED0CF2">
            <w:pPr>
              <w:jc w:val="right"/>
              <w:rPr>
                <w:rFonts w:ascii="Calibri" w:hAnsi="Calibri"/>
                <w:color w:val="000000"/>
                <w:sz w:val="22"/>
                <w:szCs w:val="22"/>
              </w:rPr>
            </w:pPr>
            <w:r>
              <w:rPr>
                <w:rFonts w:ascii="Calibri" w:hAnsi="Calibri"/>
                <w:color w:val="000000"/>
                <w:sz w:val="22"/>
                <w:szCs w:val="22"/>
              </w:rPr>
              <w:t>1.57</w:t>
            </w:r>
          </w:p>
        </w:tc>
        <w:tc>
          <w:tcPr>
            <w:tcW w:w="1000" w:type="dxa"/>
            <w:tcBorders>
              <w:top w:val="nil"/>
              <w:left w:val="nil"/>
              <w:bottom w:val="single" w:sz="4" w:space="0" w:color="auto"/>
              <w:right w:val="single" w:sz="4" w:space="0" w:color="auto"/>
            </w:tcBorders>
            <w:shd w:val="clear" w:color="auto" w:fill="auto"/>
            <w:noWrap/>
            <w:vAlign w:val="bottom"/>
            <w:hideMark/>
          </w:tcPr>
          <w:p w14:paraId="77F2D46F" w14:textId="77777777" w:rsidR="00ED0CF2" w:rsidRDefault="00ED0CF2" w:rsidP="00ED0CF2">
            <w:pPr>
              <w:jc w:val="right"/>
              <w:rPr>
                <w:rFonts w:ascii="Calibri" w:hAnsi="Calibri"/>
                <w:color w:val="000000"/>
                <w:sz w:val="22"/>
                <w:szCs w:val="22"/>
              </w:rPr>
            </w:pPr>
            <w:r>
              <w:rPr>
                <w:rFonts w:ascii="Calibri" w:hAnsi="Calibri"/>
                <w:color w:val="000000"/>
                <w:sz w:val="22"/>
                <w:szCs w:val="22"/>
              </w:rPr>
              <w:t>0.24</w:t>
            </w:r>
          </w:p>
        </w:tc>
      </w:tr>
      <w:tr w:rsidR="00ED0CF2" w14:paraId="593619A3"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A75494" w14:textId="77777777" w:rsidR="00ED0CF2" w:rsidRDefault="00ED0CF2" w:rsidP="00ED0CF2">
            <w:pPr>
              <w:jc w:val="right"/>
              <w:rPr>
                <w:rFonts w:ascii="Calibri" w:hAnsi="Calibri"/>
                <w:color w:val="000000"/>
                <w:sz w:val="22"/>
                <w:szCs w:val="22"/>
              </w:rPr>
            </w:pPr>
            <w:r>
              <w:rPr>
                <w:rFonts w:ascii="Calibri" w:hAnsi="Calibri"/>
                <w:color w:val="000000"/>
                <w:sz w:val="22"/>
                <w:szCs w:val="22"/>
              </w:rPr>
              <w:t>2011</w:t>
            </w:r>
          </w:p>
        </w:tc>
        <w:tc>
          <w:tcPr>
            <w:tcW w:w="960" w:type="dxa"/>
            <w:tcBorders>
              <w:top w:val="nil"/>
              <w:left w:val="nil"/>
              <w:bottom w:val="single" w:sz="4" w:space="0" w:color="auto"/>
              <w:right w:val="single" w:sz="4" w:space="0" w:color="auto"/>
            </w:tcBorders>
            <w:shd w:val="clear" w:color="000000" w:fill="FFFF00"/>
            <w:noWrap/>
            <w:vAlign w:val="bottom"/>
            <w:hideMark/>
          </w:tcPr>
          <w:p w14:paraId="5D64B27E" w14:textId="77777777" w:rsidR="00ED0CF2" w:rsidRDefault="00ED0CF2" w:rsidP="00ED0CF2">
            <w:pPr>
              <w:jc w:val="right"/>
              <w:rPr>
                <w:rFonts w:ascii="Calibri" w:hAnsi="Calibri"/>
                <w:color w:val="000000"/>
                <w:sz w:val="22"/>
                <w:szCs w:val="22"/>
              </w:rPr>
            </w:pPr>
            <w:r>
              <w:rPr>
                <w:rFonts w:ascii="Calibri" w:hAnsi="Calibri"/>
                <w:color w:val="000000"/>
                <w:sz w:val="22"/>
                <w:szCs w:val="22"/>
              </w:rPr>
              <w:t>0.15</w:t>
            </w:r>
          </w:p>
        </w:tc>
        <w:tc>
          <w:tcPr>
            <w:tcW w:w="960" w:type="dxa"/>
            <w:tcBorders>
              <w:top w:val="nil"/>
              <w:left w:val="nil"/>
              <w:bottom w:val="single" w:sz="4" w:space="0" w:color="auto"/>
              <w:right w:val="single" w:sz="4" w:space="0" w:color="auto"/>
            </w:tcBorders>
            <w:shd w:val="clear" w:color="auto" w:fill="auto"/>
            <w:noWrap/>
            <w:vAlign w:val="bottom"/>
            <w:hideMark/>
          </w:tcPr>
          <w:p w14:paraId="7B206802" w14:textId="7D9FC1EE" w:rsidR="00ED0CF2" w:rsidRDefault="00ED0CF2" w:rsidP="00ED0CF2">
            <w:pPr>
              <w:jc w:val="right"/>
              <w:rPr>
                <w:rFonts w:ascii="Calibri" w:hAnsi="Calibri"/>
                <w:color w:val="000000"/>
                <w:sz w:val="22"/>
                <w:szCs w:val="22"/>
              </w:rPr>
            </w:pPr>
            <w:r>
              <w:rPr>
                <w:rFonts w:ascii="Calibri" w:hAnsi="Calibri"/>
                <w:color w:val="000000"/>
                <w:sz w:val="22"/>
                <w:szCs w:val="22"/>
              </w:rPr>
              <w:t>1.20</w:t>
            </w:r>
          </w:p>
        </w:tc>
        <w:tc>
          <w:tcPr>
            <w:tcW w:w="960" w:type="dxa"/>
            <w:tcBorders>
              <w:top w:val="nil"/>
              <w:left w:val="nil"/>
              <w:bottom w:val="single" w:sz="4" w:space="0" w:color="auto"/>
              <w:right w:val="single" w:sz="4" w:space="0" w:color="auto"/>
            </w:tcBorders>
            <w:shd w:val="clear" w:color="000000" w:fill="FFFF00"/>
            <w:noWrap/>
            <w:vAlign w:val="bottom"/>
            <w:hideMark/>
          </w:tcPr>
          <w:p w14:paraId="25430592" w14:textId="77777777" w:rsidR="00ED0CF2" w:rsidRDefault="00ED0CF2" w:rsidP="00ED0CF2">
            <w:pPr>
              <w:jc w:val="right"/>
              <w:rPr>
                <w:rFonts w:ascii="Calibri" w:hAnsi="Calibri"/>
                <w:color w:val="000000"/>
                <w:sz w:val="22"/>
                <w:szCs w:val="22"/>
              </w:rPr>
            </w:pPr>
            <w:r>
              <w:rPr>
                <w:rFonts w:ascii="Calibri" w:hAnsi="Calibri"/>
                <w:color w:val="000000"/>
                <w:sz w:val="22"/>
                <w:szCs w:val="22"/>
              </w:rPr>
              <w:t>75,000</w:t>
            </w:r>
          </w:p>
        </w:tc>
        <w:tc>
          <w:tcPr>
            <w:tcW w:w="1140" w:type="dxa"/>
            <w:tcBorders>
              <w:top w:val="nil"/>
              <w:left w:val="nil"/>
              <w:bottom w:val="single" w:sz="4" w:space="0" w:color="auto"/>
              <w:right w:val="single" w:sz="4" w:space="0" w:color="auto"/>
            </w:tcBorders>
            <w:shd w:val="clear" w:color="auto" w:fill="auto"/>
            <w:noWrap/>
            <w:vAlign w:val="bottom"/>
            <w:hideMark/>
          </w:tcPr>
          <w:p w14:paraId="17397ACC" w14:textId="77777777" w:rsidR="00ED0CF2" w:rsidRDefault="00ED0CF2" w:rsidP="00ED0CF2">
            <w:pPr>
              <w:jc w:val="right"/>
              <w:rPr>
                <w:rFonts w:ascii="Calibri" w:hAnsi="Calibri"/>
                <w:color w:val="000000"/>
                <w:sz w:val="22"/>
                <w:szCs w:val="22"/>
              </w:rPr>
            </w:pPr>
            <w:r>
              <w:rPr>
                <w:rFonts w:ascii="Calibri" w:hAnsi="Calibri"/>
                <w:color w:val="000000"/>
                <w:sz w:val="22"/>
                <w:szCs w:val="22"/>
              </w:rPr>
              <w:t>33,400</w:t>
            </w:r>
          </w:p>
        </w:tc>
        <w:tc>
          <w:tcPr>
            <w:tcW w:w="960" w:type="dxa"/>
            <w:tcBorders>
              <w:top w:val="nil"/>
              <w:left w:val="nil"/>
              <w:bottom w:val="single" w:sz="4" w:space="0" w:color="auto"/>
              <w:right w:val="single" w:sz="4" w:space="0" w:color="auto"/>
            </w:tcBorders>
            <w:shd w:val="clear" w:color="auto" w:fill="auto"/>
            <w:noWrap/>
            <w:vAlign w:val="bottom"/>
            <w:hideMark/>
          </w:tcPr>
          <w:p w14:paraId="1328A5E6" w14:textId="77777777" w:rsidR="00ED0CF2" w:rsidRDefault="00ED0CF2" w:rsidP="00ED0CF2">
            <w:pPr>
              <w:jc w:val="right"/>
              <w:rPr>
                <w:rFonts w:ascii="Calibri" w:hAnsi="Calibri"/>
                <w:color w:val="000000"/>
                <w:sz w:val="22"/>
                <w:szCs w:val="22"/>
              </w:rPr>
            </w:pPr>
            <w:r>
              <w:rPr>
                <w:rFonts w:ascii="Calibri" w:hAnsi="Calibri"/>
                <w:color w:val="000000"/>
                <w:sz w:val="22"/>
                <w:szCs w:val="22"/>
              </w:rPr>
              <w:t>12,656</w:t>
            </w:r>
          </w:p>
        </w:tc>
        <w:tc>
          <w:tcPr>
            <w:tcW w:w="960" w:type="dxa"/>
            <w:tcBorders>
              <w:top w:val="nil"/>
              <w:left w:val="nil"/>
              <w:bottom w:val="single" w:sz="4" w:space="0" w:color="auto"/>
              <w:right w:val="single" w:sz="4" w:space="0" w:color="auto"/>
            </w:tcBorders>
            <w:shd w:val="clear" w:color="auto" w:fill="auto"/>
            <w:noWrap/>
            <w:vAlign w:val="bottom"/>
            <w:hideMark/>
          </w:tcPr>
          <w:p w14:paraId="19712E77" w14:textId="77777777" w:rsidR="00ED0CF2" w:rsidRDefault="00ED0CF2" w:rsidP="00ED0CF2">
            <w:pPr>
              <w:jc w:val="right"/>
              <w:rPr>
                <w:rFonts w:ascii="Calibri" w:hAnsi="Calibri"/>
                <w:color w:val="000000"/>
                <w:sz w:val="22"/>
                <w:szCs w:val="22"/>
              </w:rPr>
            </w:pPr>
            <w:r>
              <w:rPr>
                <w:rFonts w:ascii="Calibri" w:hAnsi="Calibri"/>
                <w:color w:val="000000"/>
                <w:sz w:val="22"/>
                <w:szCs w:val="22"/>
              </w:rPr>
              <w:t>22,000</w:t>
            </w:r>
          </w:p>
        </w:tc>
        <w:tc>
          <w:tcPr>
            <w:tcW w:w="1395" w:type="dxa"/>
            <w:tcBorders>
              <w:top w:val="nil"/>
              <w:left w:val="nil"/>
              <w:bottom w:val="single" w:sz="4" w:space="0" w:color="auto"/>
              <w:right w:val="single" w:sz="4" w:space="0" w:color="auto"/>
            </w:tcBorders>
            <w:shd w:val="clear" w:color="auto" w:fill="auto"/>
            <w:noWrap/>
            <w:vAlign w:val="bottom"/>
            <w:hideMark/>
          </w:tcPr>
          <w:p w14:paraId="261050C4" w14:textId="77777777" w:rsidR="00ED0CF2" w:rsidRDefault="00ED0CF2" w:rsidP="00ED0CF2">
            <w:pPr>
              <w:jc w:val="right"/>
              <w:rPr>
                <w:rFonts w:ascii="Calibri" w:hAnsi="Calibri"/>
                <w:color w:val="000000"/>
                <w:sz w:val="22"/>
                <w:szCs w:val="22"/>
              </w:rPr>
            </w:pPr>
            <w:r>
              <w:rPr>
                <w:rFonts w:ascii="Calibri" w:hAnsi="Calibri"/>
                <w:color w:val="000000"/>
                <w:sz w:val="22"/>
                <w:szCs w:val="22"/>
              </w:rPr>
              <w:t>1.74</w:t>
            </w:r>
          </w:p>
        </w:tc>
        <w:tc>
          <w:tcPr>
            <w:tcW w:w="1000" w:type="dxa"/>
            <w:tcBorders>
              <w:top w:val="nil"/>
              <w:left w:val="nil"/>
              <w:bottom w:val="single" w:sz="4" w:space="0" w:color="auto"/>
              <w:right w:val="single" w:sz="4" w:space="0" w:color="auto"/>
            </w:tcBorders>
            <w:shd w:val="clear" w:color="auto" w:fill="auto"/>
            <w:noWrap/>
            <w:vAlign w:val="bottom"/>
            <w:hideMark/>
          </w:tcPr>
          <w:p w14:paraId="5AF73842" w14:textId="77777777" w:rsidR="00ED0CF2" w:rsidRDefault="00ED0CF2" w:rsidP="00ED0CF2">
            <w:pPr>
              <w:jc w:val="right"/>
              <w:rPr>
                <w:rFonts w:ascii="Calibri" w:hAnsi="Calibri"/>
                <w:color w:val="000000"/>
                <w:sz w:val="22"/>
                <w:szCs w:val="22"/>
              </w:rPr>
            </w:pPr>
            <w:r>
              <w:rPr>
                <w:rFonts w:ascii="Calibri" w:hAnsi="Calibri"/>
                <w:color w:val="000000"/>
                <w:sz w:val="22"/>
                <w:szCs w:val="22"/>
              </w:rPr>
              <w:t>0.27</w:t>
            </w:r>
          </w:p>
        </w:tc>
      </w:tr>
      <w:tr w:rsidR="00901E24" w14:paraId="74DA5BDF" w14:textId="77777777" w:rsidTr="00ED0CF2">
        <w:trPr>
          <w:trHeight w:val="300"/>
        </w:trPr>
        <w:tc>
          <w:tcPr>
            <w:tcW w:w="960" w:type="dxa"/>
            <w:tcBorders>
              <w:top w:val="nil"/>
              <w:left w:val="single" w:sz="4" w:space="0" w:color="auto"/>
              <w:bottom w:val="single" w:sz="4" w:space="0" w:color="auto"/>
              <w:right w:val="single" w:sz="4" w:space="0" w:color="auto"/>
            </w:tcBorders>
            <w:shd w:val="clear" w:color="000000" w:fill="E7E6E6"/>
            <w:noWrap/>
            <w:vAlign w:val="bottom"/>
            <w:hideMark/>
          </w:tcPr>
          <w:p w14:paraId="0B825E01"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235D1366"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44BDEB06"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44EE1D25"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140" w:type="dxa"/>
            <w:tcBorders>
              <w:top w:val="nil"/>
              <w:left w:val="nil"/>
              <w:bottom w:val="single" w:sz="4" w:space="0" w:color="auto"/>
              <w:right w:val="single" w:sz="4" w:space="0" w:color="auto"/>
            </w:tcBorders>
            <w:shd w:val="clear" w:color="000000" w:fill="E7E6E6"/>
            <w:noWrap/>
            <w:vAlign w:val="bottom"/>
            <w:hideMark/>
          </w:tcPr>
          <w:p w14:paraId="7DE0F7B8"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3A8C4189"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31BAE9A1"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395" w:type="dxa"/>
            <w:tcBorders>
              <w:top w:val="nil"/>
              <w:left w:val="nil"/>
              <w:bottom w:val="single" w:sz="4" w:space="0" w:color="auto"/>
              <w:right w:val="single" w:sz="4" w:space="0" w:color="auto"/>
            </w:tcBorders>
            <w:shd w:val="clear" w:color="000000" w:fill="E7E6E6"/>
            <w:noWrap/>
            <w:vAlign w:val="bottom"/>
            <w:hideMark/>
          </w:tcPr>
          <w:p w14:paraId="6AA19C8D"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000000" w:fill="E7E6E6"/>
            <w:noWrap/>
            <w:vAlign w:val="bottom"/>
            <w:hideMark/>
          </w:tcPr>
          <w:p w14:paraId="54FFCFF9"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r w:rsidR="00901E24" w14:paraId="43929A51"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0360BC" w14:textId="77777777" w:rsidR="00901E24" w:rsidRDefault="00901E24" w:rsidP="000A29EF">
            <w:pPr>
              <w:jc w:val="right"/>
              <w:rPr>
                <w:rFonts w:ascii="Calibri" w:hAnsi="Calibri"/>
                <w:color w:val="000000"/>
                <w:sz w:val="22"/>
                <w:szCs w:val="22"/>
              </w:rPr>
            </w:pPr>
            <w:r>
              <w:rPr>
                <w:rFonts w:ascii="Calibri" w:hAnsi="Calibri"/>
                <w:color w:val="000000"/>
                <w:sz w:val="22"/>
                <w:szCs w:val="22"/>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4A30DB3"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E515A2D" w14:textId="74DFD333"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1FD5B7F" w14:textId="49B64297" w:rsidR="00901E24" w:rsidRDefault="00901E24" w:rsidP="00ED0CF2">
            <w:pPr>
              <w:jc w:val="center"/>
              <w:rPr>
                <w:rFonts w:ascii="Calibri" w:hAnsi="Calibri"/>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14:paraId="2FABE763" w14:textId="77777777" w:rsidR="00901E24" w:rsidRDefault="00901E24" w:rsidP="00ED0CF2">
            <w:pPr>
              <w:jc w:val="right"/>
              <w:rPr>
                <w:rFonts w:ascii="Calibri" w:hAnsi="Calibri"/>
                <w:color w:val="000000"/>
                <w:sz w:val="22"/>
                <w:szCs w:val="22"/>
              </w:rPr>
            </w:pPr>
            <w:r>
              <w:rPr>
                <w:rFonts w:ascii="Calibri" w:hAnsi="Calibri"/>
                <w:color w:val="000000"/>
                <w:sz w:val="22"/>
                <w:szCs w:val="22"/>
              </w:rPr>
              <w:t>62,000</w:t>
            </w:r>
          </w:p>
        </w:tc>
        <w:tc>
          <w:tcPr>
            <w:tcW w:w="960" w:type="dxa"/>
            <w:tcBorders>
              <w:top w:val="nil"/>
              <w:left w:val="nil"/>
              <w:bottom w:val="single" w:sz="4" w:space="0" w:color="auto"/>
              <w:right w:val="single" w:sz="4" w:space="0" w:color="auto"/>
            </w:tcBorders>
            <w:shd w:val="clear" w:color="auto" w:fill="auto"/>
            <w:noWrap/>
            <w:vAlign w:val="bottom"/>
            <w:hideMark/>
          </w:tcPr>
          <w:p w14:paraId="70D8890B" w14:textId="70256675"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E0E6129" w14:textId="77777777" w:rsidR="00901E24" w:rsidRDefault="00901E24" w:rsidP="00ED0CF2">
            <w:pPr>
              <w:jc w:val="right"/>
              <w:rPr>
                <w:rFonts w:ascii="Calibri" w:hAnsi="Calibri"/>
                <w:color w:val="000000"/>
                <w:sz w:val="22"/>
                <w:szCs w:val="22"/>
              </w:rPr>
            </w:pPr>
            <w:r>
              <w:rPr>
                <w:rFonts w:ascii="Calibri" w:hAnsi="Calibri"/>
                <w:color w:val="000000"/>
                <w:sz w:val="22"/>
                <w:szCs w:val="22"/>
              </w:rPr>
              <w:t>30,000</w:t>
            </w:r>
          </w:p>
        </w:tc>
        <w:tc>
          <w:tcPr>
            <w:tcW w:w="1395" w:type="dxa"/>
            <w:tcBorders>
              <w:top w:val="nil"/>
              <w:left w:val="nil"/>
              <w:bottom w:val="single" w:sz="4" w:space="0" w:color="auto"/>
              <w:right w:val="single" w:sz="4" w:space="0" w:color="auto"/>
            </w:tcBorders>
            <w:shd w:val="clear" w:color="auto" w:fill="auto"/>
            <w:noWrap/>
            <w:vAlign w:val="bottom"/>
            <w:hideMark/>
          </w:tcPr>
          <w:p w14:paraId="48B2269B"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7FD170"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r w:rsidR="00901E24" w14:paraId="1F55A3DE"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36ED2A" w14:textId="77777777" w:rsidR="00901E24" w:rsidRDefault="00901E24" w:rsidP="000A29EF">
            <w:pPr>
              <w:jc w:val="right"/>
              <w:rPr>
                <w:rFonts w:ascii="Calibri" w:hAnsi="Calibri"/>
                <w:color w:val="000000"/>
                <w:sz w:val="22"/>
                <w:szCs w:val="22"/>
              </w:rPr>
            </w:pPr>
            <w:r>
              <w:rPr>
                <w:rFonts w:ascii="Calibri" w:hAnsi="Calibri"/>
                <w:color w:val="000000"/>
                <w:sz w:val="22"/>
                <w:szCs w:val="22"/>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83558FF"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1A40854" w14:textId="65D87AE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5CE04240" w14:textId="3CEFFF68" w:rsidR="00901E24" w:rsidRDefault="00901E24" w:rsidP="00ED0CF2">
            <w:pPr>
              <w:jc w:val="center"/>
              <w:rPr>
                <w:rFonts w:ascii="Calibri" w:hAnsi="Calibri"/>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14:paraId="225A72E2" w14:textId="5E260C8D"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2F61595" w14:textId="74BC59E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35A6A190" w14:textId="78D20D91"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1395" w:type="dxa"/>
            <w:tcBorders>
              <w:top w:val="nil"/>
              <w:left w:val="nil"/>
              <w:bottom w:val="single" w:sz="4" w:space="0" w:color="auto"/>
              <w:right w:val="single" w:sz="4" w:space="0" w:color="auto"/>
            </w:tcBorders>
            <w:shd w:val="clear" w:color="auto" w:fill="auto"/>
            <w:noWrap/>
            <w:vAlign w:val="bottom"/>
            <w:hideMark/>
          </w:tcPr>
          <w:p w14:paraId="5490E023"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54F392DA"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r w:rsidR="00901E24" w14:paraId="5B9B283C"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7C39FD" w14:textId="77777777" w:rsidR="00901E24" w:rsidRDefault="00901E24" w:rsidP="000A29EF">
            <w:pPr>
              <w:jc w:val="right"/>
              <w:rPr>
                <w:rFonts w:ascii="Calibri" w:hAnsi="Calibri"/>
                <w:color w:val="000000"/>
                <w:sz w:val="22"/>
                <w:szCs w:val="22"/>
              </w:rPr>
            </w:pPr>
            <w:r>
              <w:rPr>
                <w:rFonts w:ascii="Calibri" w:hAnsi="Calibri"/>
                <w:color w:val="000000"/>
                <w:sz w:val="22"/>
                <w:szCs w:val="22"/>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3FC97D8C"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FE22725" w14:textId="2D5F704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120494A1" w14:textId="416356B1" w:rsidR="00901E24" w:rsidRDefault="00901E24" w:rsidP="00ED0CF2">
            <w:pPr>
              <w:jc w:val="center"/>
              <w:rPr>
                <w:rFonts w:ascii="Calibri" w:hAnsi="Calibri"/>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14:paraId="54C6A454" w14:textId="1B01AAA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639AFB10" w14:textId="29FCA727"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4B9E78C4" w14:textId="5CA55EE1"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1395" w:type="dxa"/>
            <w:tcBorders>
              <w:top w:val="nil"/>
              <w:left w:val="nil"/>
              <w:bottom w:val="single" w:sz="4" w:space="0" w:color="auto"/>
              <w:right w:val="single" w:sz="4" w:space="0" w:color="auto"/>
            </w:tcBorders>
            <w:shd w:val="clear" w:color="auto" w:fill="auto"/>
            <w:noWrap/>
            <w:vAlign w:val="bottom"/>
            <w:hideMark/>
          </w:tcPr>
          <w:p w14:paraId="198BDCE2"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25A5903D"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bl>
    <w:p w14:paraId="6A6368DA" w14:textId="77777777" w:rsidR="00901E24" w:rsidRDefault="00901E24" w:rsidP="00901E24">
      <w:pPr>
        <w:pStyle w:val="BodyText"/>
        <w:spacing w:after="0"/>
      </w:pPr>
    </w:p>
    <w:p w14:paraId="02BA51FC" w14:textId="77777777" w:rsidR="00901E24" w:rsidRDefault="00901E24" w:rsidP="00901E24">
      <w:pPr>
        <w:pStyle w:val="BodyText"/>
        <w:spacing w:after="0"/>
      </w:pPr>
    </w:p>
    <w:p w14:paraId="40E7DB68" w14:textId="24582667" w:rsidR="00901E24" w:rsidRPr="00653AAD" w:rsidRDefault="00901E24" w:rsidP="00901E24">
      <w:pPr>
        <w:pStyle w:val="BodyText"/>
        <w:spacing w:after="0"/>
        <w:rPr>
          <w:i/>
        </w:rPr>
      </w:pPr>
      <w:r>
        <w:rPr>
          <w:i/>
        </w:rPr>
        <w:t xml:space="preserve">Table </w:t>
      </w:r>
      <w:r w:rsidRPr="00ED0CF2">
        <w:rPr>
          <w:i/>
        </w:rPr>
        <w:t>3.</w:t>
      </w:r>
      <w:r w:rsidR="004304CE">
        <w:rPr>
          <w:i/>
        </w:rPr>
        <w:t xml:space="preserve"> </w:t>
      </w:r>
      <w:r>
        <w:rPr>
          <w:i/>
        </w:rPr>
        <w:t xml:space="preserve">Summary of positive </w:t>
      </w:r>
      <w:r w:rsidR="00393DEA">
        <w:rPr>
          <w:i/>
        </w:rPr>
        <w:t xml:space="preserve">and negative considerations </w:t>
      </w:r>
      <w:r>
        <w:rPr>
          <w:i/>
        </w:rPr>
        <w:t>of the haddock population</w:t>
      </w:r>
      <w:r w:rsidR="00393DEA">
        <w:rPr>
          <w:i/>
        </w:rPr>
        <w:t xml:space="preserve"> that may inform quota advice for</w:t>
      </w:r>
      <w:r>
        <w:rPr>
          <w:i/>
        </w:rPr>
        <w:t xml:space="preserve"> 2020</w:t>
      </w:r>
      <w:r w:rsidR="004304CE">
        <w:rPr>
          <w:i/>
        </w:rPr>
        <w:t>–</w:t>
      </w:r>
      <w:r>
        <w:rPr>
          <w:i/>
        </w:rPr>
        <w:t xml:space="preserve">2021. </w:t>
      </w:r>
    </w:p>
    <w:tbl>
      <w:tblPr>
        <w:tblpPr w:leftFromText="180" w:rightFromText="180" w:vertAnchor="page" w:horzAnchor="margin" w:tblpY="2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4768"/>
      </w:tblGrid>
      <w:tr w:rsidR="00FE795C" w:rsidRPr="00C36806" w14:paraId="6A0BDC13" w14:textId="77777777" w:rsidTr="00FE795C">
        <w:trPr>
          <w:trHeight w:val="338"/>
        </w:trPr>
        <w:tc>
          <w:tcPr>
            <w:tcW w:w="4504" w:type="dxa"/>
            <w:vAlign w:val="center"/>
          </w:tcPr>
          <w:p w14:paraId="27C56BEB" w14:textId="6483A526" w:rsidR="00FE795C" w:rsidRPr="00C36806" w:rsidRDefault="00FE795C" w:rsidP="00D671AA">
            <w:pPr>
              <w:autoSpaceDE w:val="0"/>
              <w:autoSpaceDN w:val="0"/>
              <w:adjustRightInd w:val="0"/>
              <w:jc w:val="center"/>
              <w:rPr>
                <w:b/>
                <w:bCs/>
                <w:lang w:val="en-CA" w:eastAsia="en-CA"/>
              </w:rPr>
            </w:pPr>
            <w:r>
              <w:rPr>
                <w:b/>
                <w:bCs/>
                <w:lang w:val="en-CA" w:eastAsia="en-CA"/>
              </w:rPr>
              <w:t xml:space="preserve">Positive </w:t>
            </w:r>
            <w:r w:rsidR="00D671AA">
              <w:rPr>
                <w:b/>
                <w:bCs/>
                <w:lang w:val="en-CA" w:eastAsia="en-CA"/>
              </w:rPr>
              <w:t>consideration</w:t>
            </w:r>
            <w:r>
              <w:rPr>
                <w:b/>
                <w:bCs/>
                <w:lang w:val="en-CA" w:eastAsia="en-CA"/>
              </w:rPr>
              <w:t>s</w:t>
            </w:r>
          </w:p>
        </w:tc>
        <w:tc>
          <w:tcPr>
            <w:tcW w:w="4768" w:type="dxa"/>
            <w:vAlign w:val="center"/>
          </w:tcPr>
          <w:p w14:paraId="5BC9DC0E" w14:textId="2BA9F002" w:rsidR="00FE795C" w:rsidRPr="00C36806" w:rsidRDefault="00393DEA" w:rsidP="00D671AA">
            <w:pPr>
              <w:autoSpaceDE w:val="0"/>
              <w:autoSpaceDN w:val="0"/>
              <w:adjustRightInd w:val="0"/>
              <w:jc w:val="center"/>
              <w:rPr>
                <w:b/>
                <w:bCs/>
                <w:lang w:val="en-CA" w:eastAsia="en-CA"/>
              </w:rPr>
            </w:pPr>
            <w:r>
              <w:rPr>
                <w:b/>
                <w:bCs/>
                <w:lang w:val="en-CA" w:eastAsia="en-CA"/>
              </w:rPr>
              <w:t xml:space="preserve">Negative </w:t>
            </w:r>
            <w:r w:rsidR="00D671AA">
              <w:rPr>
                <w:b/>
                <w:bCs/>
                <w:lang w:val="en-CA" w:eastAsia="en-CA"/>
              </w:rPr>
              <w:t>consideration</w:t>
            </w:r>
            <w:r>
              <w:rPr>
                <w:b/>
                <w:bCs/>
                <w:lang w:val="en-CA" w:eastAsia="en-CA"/>
              </w:rPr>
              <w:t>s</w:t>
            </w:r>
          </w:p>
        </w:tc>
      </w:tr>
      <w:tr w:rsidR="00FE795C" w:rsidRPr="00C36806" w14:paraId="0A94D687" w14:textId="77777777" w:rsidTr="00FE795C">
        <w:trPr>
          <w:trHeight w:val="843"/>
        </w:trPr>
        <w:tc>
          <w:tcPr>
            <w:tcW w:w="4504" w:type="dxa"/>
          </w:tcPr>
          <w:p w14:paraId="6406C0AF" w14:textId="77777777" w:rsidR="00FE795C" w:rsidRPr="00CF7FE0" w:rsidRDefault="00FE795C" w:rsidP="00FE795C">
            <w:pPr>
              <w:autoSpaceDE w:val="0"/>
              <w:autoSpaceDN w:val="0"/>
              <w:adjustRightInd w:val="0"/>
              <w:rPr>
                <w:color w:val="FF0000"/>
                <w:lang w:val="en-CA" w:eastAsia="en-CA"/>
              </w:rPr>
            </w:pPr>
            <w:r>
              <w:t>The 2013 year class is still the largest ever observed in the time series</w:t>
            </w:r>
          </w:p>
        </w:tc>
        <w:tc>
          <w:tcPr>
            <w:tcW w:w="4768" w:type="dxa"/>
          </w:tcPr>
          <w:p w14:paraId="721AD61C" w14:textId="77E99587" w:rsidR="00FE795C" w:rsidRPr="00CF7FE0" w:rsidRDefault="00FE795C" w:rsidP="006455EC">
            <w:pPr>
              <w:autoSpaceDE w:val="0"/>
              <w:autoSpaceDN w:val="0"/>
              <w:adjustRightInd w:val="0"/>
              <w:rPr>
                <w:color w:val="FF0000"/>
                <w:lang w:val="en-CA" w:eastAsia="en-CA"/>
              </w:rPr>
            </w:pPr>
            <w:r>
              <w:t>The very large 2010 year class is in the 9+ group in 2019.</w:t>
            </w:r>
            <w:r w:rsidR="004304CE">
              <w:t xml:space="preserve"> </w:t>
            </w:r>
            <w:r w:rsidR="00F926EB">
              <w:t>Availability to the fishery of</w:t>
            </w:r>
            <w:r>
              <w:t xml:space="preserve"> the 2010 year class is </w:t>
            </w:r>
            <w:r w:rsidR="005979C5">
              <w:t xml:space="preserve">likely to be low, and it is therefore </w:t>
            </w:r>
            <w:r>
              <w:t>not expected to contribute much to future catch.</w:t>
            </w:r>
          </w:p>
        </w:tc>
      </w:tr>
      <w:tr w:rsidR="00FE795C" w:rsidRPr="00AB1C6D" w14:paraId="04798F2E" w14:textId="77777777" w:rsidTr="00FE795C">
        <w:trPr>
          <w:trHeight w:val="557"/>
        </w:trPr>
        <w:tc>
          <w:tcPr>
            <w:tcW w:w="4504" w:type="dxa"/>
          </w:tcPr>
          <w:p w14:paraId="0AF6B151" w14:textId="77777777" w:rsidR="00FE795C" w:rsidRPr="00AB1C6D" w:rsidRDefault="00FE795C" w:rsidP="00FE795C">
            <w:pPr>
              <w:autoSpaceDE w:val="0"/>
              <w:autoSpaceDN w:val="0"/>
              <w:adjustRightInd w:val="0"/>
              <w:rPr>
                <w:lang w:val="en-CA" w:eastAsia="en-CA"/>
              </w:rPr>
            </w:pPr>
            <w:r w:rsidRPr="00AB1C6D">
              <w:rPr>
                <w:lang w:val="en-CA" w:eastAsia="en-CA"/>
              </w:rPr>
              <w:t>The average survey biomass</w:t>
            </w:r>
            <w:r>
              <w:rPr>
                <w:lang w:val="en-CA" w:eastAsia="en-CA"/>
              </w:rPr>
              <w:t xml:space="preserve"> is well above the time series average</w:t>
            </w:r>
          </w:p>
        </w:tc>
        <w:tc>
          <w:tcPr>
            <w:tcW w:w="4768" w:type="dxa"/>
          </w:tcPr>
          <w:p w14:paraId="34FD33B6" w14:textId="77777777" w:rsidR="00FE795C" w:rsidRPr="00AB1C6D" w:rsidRDefault="00FE795C" w:rsidP="00FE795C">
            <w:pPr>
              <w:autoSpaceDE w:val="0"/>
              <w:autoSpaceDN w:val="0"/>
              <w:adjustRightInd w:val="0"/>
            </w:pPr>
            <w:r w:rsidRPr="00AB1C6D">
              <w:t>Even if no catch were taken in 2020, biomass is projected to decline</w:t>
            </w:r>
          </w:p>
          <w:p w14:paraId="70B5AB4D" w14:textId="77777777" w:rsidR="00FE795C" w:rsidRPr="00AB1C6D" w:rsidRDefault="00FE795C" w:rsidP="00FE795C">
            <w:pPr>
              <w:autoSpaceDE w:val="0"/>
              <w:autoSpaceDN w:val="0"/>
              <w:adjustRightInd w:val="0"/>
              <w:rPr>
                <w:lang w:val="en-CA" w:eastAsia="en-CA"/>
              </w:rPr>
            </w:pPr>
          </w:p>
        </w:tc>
      </w:tr>
      <w:tr w:rsidR="00FE795C" w:rsidRPr="00AB1C6D" w14:paraId="0C5EFB1F" w14:textId="77777777" w:rsidTr="00FE795C">
        <w:trPr>
          <w:trHeight w:val="849"/>
        </w:trPr>
        <w:tc>
          <w:tcPr>
            <w:tcW w:w="4504" w:type="dxa"/>
          </w:tcPr>
          <w:p w14:paraId="467681E5" w14:textId="050BDE8D" w:rsidR="00FE795C" w:rsidRPr="00AB1C6D" w:rsidRDefault="00FE795C" w:rsidP="00A55E65">
            <w:pPr>
              <w:autoSpaceDE w:val="0"/>
              <w:autoSpaceDN w:val="0"/>
              <w:adjustRightInd w:val="0"/>
              <w:rPr>
                <w:lang w:val="en-CA" w:eastAsia="en-CA"/>
              </w:rPr>
            </w:pPr>
            <w:r w:rsidRPr="00AB1C6D">
              <w:rPr>
                <w:lang w:val="en-CA" w:eastAsia="en-CA"/>
              </w:rPr>
              <w:t>Preliminary indication of above average recruitment for 2016</w:t>
            </w:r>
            <w:r>
              <w:rPr>
                <w:lang w:val="en-CA" w:eastAsia="en-CA"/>
              </w:rPr>
              <w:t xml:space="preserve"> (length frequency and </w:t>
            </w:r>
            <w:r w:rsidR="00A55E65">
              <w:rPr>
                <w:lang w:val="en-CA" w:eastAsia="en-CA"/>
              </w:rPr>
              <w:t>fishery and survey catch at age</w:t>
            </w:r>
            <w:r>
              <w:rPr>
                <w:lang w:val="en-CA" w:eastAsia="en-CA"/>
              </w:rPr>
              <w:t>)</w:t>
            </w:r>
            <w:r w:rsidRPr="00AB1C6D">
              <w:rPr>
                <w:lang w:val="en-CA" w:eastAsia="en-CA"/>
              </w:rPr>
              <w:t>, although that observation is uncertain</w:t>
            </w:r>
            <w:r>
              <w:rPr>
                <w:lang w:val="en-CA" w:eastAsia="en-CA"/>
              </w:rPr>
              <w:t>; it also would not contribute to very much to catch in 2020 at age 4 as that age is not fully selected</w:t>
            </w:r>
            <w:r w:rsidR="006455EC">
              <w:rPr>
                <w:lang w:val="en-CA" w:eastAsia="en-CA"/>
              </w:rPr>
              <w:t xml:space="preserve"> to the fishery.</w:t>
            </w:r>
          </w:p>
        </w:tc>
        <w:tc>
          <w:tcPr>
            <w:tcW w:w="4768" w:type="dxa"/>
          </w:tcPr>
          <w:p w14:paraId="4B621225" w14:textId="77777777" w:rsidR="00FE795C" w:rsidRPr="00AB1C6D" w:rsidRDefault="00FE795C" w:rsidP="00FE795C">
            <w:pPr>
              <w:autoSpaceDE w:val="0"/>
              <w:autoSpaceDN w:val="0"/>
              <w:adjustRightInd w:val="0"/>
              <w:rPr>
                <w:lang w:val="en-CA" w:eastAsia="en-CA"/>
              </w:rPr>
            </w:pPr>
            <w:r w:rsidRPr="00AB1C6D">
              <w:t xml:space="preserve">Weights at age </w:t>
            </w:r>
            <w:r>
              <w:t>are the lowest observed for the 2013 year class, and slow growth is expected to continue for the projection years.</w:t>
            </w:r>
          </w:p>
        </w:tc>
      </w:tr>
      <w:tr w:rsidR="00FE795C" w:rsidRPr="00AB1C6D" w14:paraId="6069A80B" w14:textId="77777777" w:rsidTr="00FE795C">
        <w:trPr>
          <w:trHeight w:val="849"/>
        </w:trPr>
        <w:tc>
          <w:tcPr>
            <w:tcW w:w="4504" w:type="dxa"/>
          </w:tcPr>
          <w:p w14:paraId="32D49A65" w14:textId="77777777" w:rsidR="00FE795C" w:rsidRPr="00AB1C6D" w:rsidRDefault="00FE795C" w:rsidP="00FE795C">
            <w:pPr>
              <w:autoSpaceDE w:val="0"/>
              <w:autoSpaceDN w:val="0"/>
              <w:adjustRightInd w:val="0"/>
              <w:rPr>
                <w:lang w:val="en-CA" w:eastAsia="en-CA"/>
              </w:rPr>
            </w:pPr>
          </w:p>
        </w:tc>
        <w:tc>
          <w:tcPr>
            <w:tcW w:w="4768" w:type="dxa"/>
          </w:tcPr>
          <w:p w14:paraId="2133EF22" w14:textId="1BDE3E9C" w:rsidR="00FE795C" w:rsidRPr="00AB1C6D" w:rsidRDefault="00E77E32" w:rsidP="00E77E32">
            <w:pPr>
              <w:autoSpaceDE w:val="0"/>
              <w:autoSpaceDN w:val="0"/>
              <w:adjustRightInd w:val="0"/>
              <w:rPr>
                <w:lang w:val="en-CA" w:eastAsia="en-CA"/>
              </w:rPr>
            </w:pPr>
            <w:r>
              <w:rPr>
                <w:lang w:val="en-CA" w:eastAsia="en-CA"/>
              </w:rPr>
              <w:t>Availability to the fishery</w:t>
            </w:r>
            <w:r w:rsidR="00FE795C">
              <w:rPr>
                <w:lang w:val="en-CA" w:eastAsia="en-CA"/>
              </w:rPr>
              <w:t xml:space="preserve"> is very uncertain </w:t>
            </w:r>
            <w:r>
              <w:rPr>
                <w:lang w:val="en-CA" w:eastAsia="en-CA"/>
              </w:rPr>
              <w:t>for</w:t>
            </w:r>
            <w:r w:rsidR="00FE795C">
              <w:rPr>
                <w:lang w:val="en-CA" w:eastAsia="en-CA"/>
              </w:rPr>
              <w:t xml:space="preserve"> the 2013 year class at age 7 in 2020 or age 8 in 2021; </w:t>
            </w:r>
            <w:r>
              <w:rPr>
                <w:lang w:val="en-CA" w:eastAsia="en-CA"/>
              </w:rPr>
              <w:t>reduced availability at older ages</w:t>
            </w:r>
            <w:r w:rsidR="00FE795C">
              <w:rPr>
                <w:lang w:val="en-CA" w:eastAsia="en-CA"/>
              </w:rPr>
              <w:t xml:space="preserve"> has been indicated in many of the recent VPAs</w:t>
            </w:r>
          </w:p>
        </w:tc>
      </w:tr>
    </w:tbl>
    <w:p w14:paraId="19D8FABB" w14:textId="77777777" w:rsidR="00901E24" w:rsidRDefault="00901E24" w:rsidP="00901E24">
      <w:pPr>
        <w:pStyle w:val="BodyText"/>
        <w:spacing w:after="0"/>
      </w:pPr>
    </w:p>
    <w:p w14:paraId="6D697EF9" w14:textId="122570AB" w:rsidR="00BA7CEF" w:rsidRPr="00CF6978" w:rsidRDefault="004038AB" w:rsidP="00692E08">
      <w:pPr>
        <w:pStyle w:val="Heading5"/>
        <w:spacing w:after="0"/>
      </w:pPr>
      <w:r w:rsidRPr="00CF6978">
        <w:t xml:space="preserve"> </w:t>
      </w:r>
    </w:p>
    <w:p w14:paraId="1A8CC92D" w14:textId="750FAA59" w:rsidR="00EE0E63" w:rsidRDefault="00EE0E63" w:rsidP="00D43B9A">
      <w:pPr>
        <w:pStyle w:val="Heading5"/>
        <w:spacing w:after="0"/>
      </w:pPr>
    </w:p>
    <w:p w14:paraId="3F0D6FD1" w14:textId="77777777" w:rsidR="004C0F17" w:rsidRPr="00446CA9" w:rsidRDefault="004C0F17" w:rsidP="00D43B9A">
      <w:pPr>
        <w:pStyle w:val="Heading5"/>
        <w:spacing w:after="0"/>
      </w:pPr>
      <w:r w:rsidRPr="00446CA9">
        <w:t>Special Considerations</w:t>
      </w:r>
    </w:p>
    <w:p w14:paraId="1FB8F6B4" w14:textId="6B26BC5A" w:rsidR="00901E24" w:rsidRDefault="00901E24" w:rsidP="00901E24">
      <w:pPr>
        <w:pStyle w:val="BodyText"/>
        <w:numPr>
          <w:ilvl w:val="0"/>
          <w:numId w:val="19"/>
        </w:numPr>
        <w:spacing w:after="0"/>
      </w:pPr>
      <w:r>
        <w:t xml:space="preserve">The VPA assessment was </w:t>
      </w:r>
      <w:r w:rsidR="00393DEA">
        <w:t>rejected</w:t>
      </w:r>
      <w:r>
        <w:t xml:space="preserve"> for </w:t>
      </w:r>
      <w:r w:rsidR="00393DEA">
        <w:t xml:space="preserve">provision of </w:t>
      </w:r>
      <w:r>
        <w:t>advice this year.</w:t>
      </w:r>
      <w:r w:rsidR="004304CE">
        <w:t xml:space="preserve"> </w:t>
      </w:r>
      <w:r>
        <w:t xml:space="preserve">This limited the </w:t>
      </w:r>
      <w:r w:rsidR="00E77E32">
        <w:t>TRAC</w:t>
      </w:r>
      <w:r w:rsidR="00393DEA">
        <w:t>’</w:t>
      </w:r>
      <w:r>
        <w:t xml:space="preserve">s ability to provide analytically based quota advice and risk characterization. </w:t>
      </w:r>
    </w:p>
    <w:p w14:paraId="15DD1E93" w14:textId="5D77DA77" w:rsidR="00901E24" w:rsidRDefault="00901E24" w:rsidP="00901E24">
      <w:pPr>
        <w:pStyle w:val="BodyText"/>
        <w:numPr>
          <w:ilvl w:val="0"/>
          <w:numId w:val="19"/>
        </w:numPr>
        <w:spacing w:after="0"/>
      </w:pPr>
      <w:r>
        <w:t xml:space="preserve">In the absence of an analytical model, uncertainty about the </w:t>
      </w:r>
      <w:r w:rsidR="00E77E32">
        <w:t xml:space="preserve">quota and the </w:t>
      </w:r>
      <w:r>
        <w:t>absolute scale of the population is very high.</w:t>
      </w:r>
    </w:p>
    <w:p w14:paraId="5EEAB64E" w14:textId="7CE178D1" w:rsidR="00901E24" w:rsidRDefault="00A52CBD" w:rsidP="00901E24">
      <w:pPr>
        <w:pStyle w:val="BodyText"/>
        <w:numPr>
          <w:ilvl w:val="0"/>
          <w:numId w:val="19"/>
        </w:numPr>
        <w:spacing w:after="0"/>
      </w:pPr>
      <w:r>
        <w:t>TMGC has set haddock quota</w:t>
      </w:r>
      <w:r w:rsidR="00901E24">
        <w:t xml:space="preserve"> since 2004, but the full quota has never been taken in any year.</w:t>
      </w:r>
      <w:r w:rsidR="004304CE">
        <w:t xml:space="preserve"> </w:t>
      </w:r>
      <w:r w:rsidR="00901E24">
        <w:t>From 2009</w:t>
      </w:r>
      <w:r w:rsidR="004304CE">
        <w:t>–</w:t>
      </w:r>
      <w:r w:rsidR="00901E24">
        <w:t>2011, 66%, 63%, and 58% of the quota was caught.</w:t>
      </w:r>
      <w:r w:rsidR="004304CE">
        <w:t xml:space="preserve"> </w:t>
      </w:r>
      <w:r w:rsidR="00901E24">
        <w:t>Since then, the fraction of quota caught has ranged from 31% (2018) to 53% (2014).</w:t>
      </w:r>
    </w:p>
    <w:p w14:paraId="6D60C46C" w14:textId="3E453846" w:rsidR="00901E24" w:rsidRDefault="006455EC" w:rsidP="00901E24">
      <w:pPr>
        <w:pStyle w:val="BodyText"/>
        <w:numPr>
          <w:ilvl w:val="0"/>
          <w:numId w:val="19"/>
        </w:numPr>
        <w:spacing w:after="0"/>
      </w:pPr>
      <w:r>
        <w:t>If TMGC recommends 2 year advice, t</w:t>
      </w:r>
      <w:r w:rsidR="00901E24">
        <w:t xml:space="preserve">he TRAC recommends evaluating the </w:t>
      </w:r>
      <w:r w:rsidR="007827A8">
        <w:t xml:space="preserve">appropriateness of 2021 </w:t>
      </w:r>
      <w:r w:rsidR="00901E24">
        <w:t xml:space="preserve">quota </w:t>
      </w:r>
      <w:r w:rsidR="007827A8">
        <w:t xml:space="preserve">by </w:t>
      </w:r>
      <w:r w:rsidR="00901E24">
        <w:t>comparing relative F values, weights at age, and survey trends at TRAC 2020.</w:t>
      </w:r>
    </w:p>
    <w:p w14:paraId="38638450" w14:textId="1312CBB0" w:rsidR="00CC5317" w:rsidRPr="004E029A" w:rsidRDefault="005C726A" w:rsidP="00901E24">
      <w:pPr>
        <w:pStyle w:val="BodyText"/>
        <w:numPr>
          <w:ilvl w:val="0"/>
          <w:numId w:val="19"/>
        </w:numPr>
        <w:spacing w:after="0"/>
      </w:pPr>
      <w:r>
        <w:t>A presentation at the TRAC (</w:t>
      </w:r>
      <w:r w:rsidR="00A52CBD">
        <w:t>Clark and Trinko-Lake, 2019</w:t>
      </w:r>
      <w:r>
        <w:t>) investigated growth in haddock and found strong indication</w:t>
      </w:r>
      <w:r w:rsidR="006455EC">
        <w:t>s</w:t>
      </w:r>
      <w:r>
        <w:t xml:space="preserve"> of density dependent growth</w:t>
      </w:r>
      <w:r w:rsidR="006455EC">
        <w:t>.</w:t>
      </w:r>
    </w:p>
    <w:p w14:paraId="714D3CFB" w14:textId="77777777" w:rsidR="00DB529E" w:rsidRPr="004E029A" w:rsidRDefault="00DB529E" w:rsidP="006724EE">
      <w:pPr>
        <w:pStyle w:val="BodyText"/>
        <w:spacing w:after="0"/>
      </w:pPr>
    </w:p>
    <w:p w14:paraId="1DFD8876" w14:textId="5408318F" w:rsidR="005538DF" w:rsidRDefault="005538DF" w:rsidP="006724EE">
      <w:pPr>
        <w:pStyle w:val="BodyText"/>
        <w:spacing w:after="0"/>
      </w:pPr>
    </w:p>
    <w:p w14:paraId="59620EDE" w14:textId="4921EA6C" w:rsidR="00AE7B11" w:rsidRDefault="00AE7B11" w:rsidP="006724EE">
      <w:pPr>
        <w:pStyle w:val="BodyText"/>
        <w:spacing w:after="0"/>
      </w:pPr>
    </w:p>
    <w:p w14:paraId="352B19C3" w14:textId="23C42E57" w:rsidR="00AE7B11" w:rsidRDefault="00AE7B11" w:rsidP="006724EE">
      <w:pPr>
        <w:pStyle w:val="BodyText"/>
        <w:spacing w:after="0"/>
      </w:pPr>
    </w:p>
    <w:p w14:paraId="38328B49" w14:textId="204A8E94" w:rsidR="00AE7B11" w:rsidRDefault="00AE7B11" w:rsidP="006724EE">
      <w:pPr>
        <w:pStyle w:val="BodyText"/>
        <w:spacing w:after="0"/>
      </w:pPr>
    </w:p>
    <w:p w14:paraId="674C96B6" w14:textId="62C4BCC9" w:rsidR="00AE7B11" w:rsidRDefault="00AE7B11" w:rsidP="006724EE">
      <w:pPr>
        <w:pStyle w:val="BodyText"/>
        <w:spacing w:after="0"/>
      </w:pPr>
    </w:p>
    <w:p w14:paraId="308B6587" w14:textId="6DF2E2E3" w:rsidR="00AE7B11" w:rsidRDefault="00AE7B11" w:rsidP="006724EE">
      <w:pPr>
        <w:pStyle w:val="BodyText"/>
        <w:spacing w:after="0"/>
      </w:pPr>
    </w:p>
    <w:p w14:paraId="19F71F02" w14:textId="77777777" w:rsidR="00AE7B11" w:rsidRPr="00CF6978" w:rsidRDefault="00AE7B11" w:rsidP="006724EE">
      <w:pPr>
        <w:pStyle w:val="BodyText"/>
        <w:spacing w:after="0"/>
      </w:pPr>
    </w:p>
    <w:p w14:paraId="2268D7D5" w14:textId="38DA0FE2" w:rsidR="004C0F17" w:rsidRDefault="004C0F17" w:rsidP="006724EE">
      <w:pPr>
        <w:pStyle w:val="Heading5"/>
        <w:spacing w:after="0"/>
        <w:rPr>
          <w:sz w:val="24"/>
          <w:szCs w:val="24"/>
          <w:lang w:val="en-CA"/>
        </w:rPr>
      </w:pPr>
      <w:r w:rsidRPr="00AE14C3">
        <w:rPr>
          <w:sz w:val="24"/>
          <w:szCs w:val="24"/>
          <w:lang w:val="en-CA"/>
        </w:rPr>
        <w:t>Source Documents</w:t>
      </w:r>
    </w:p>
    <w:p w14:paraId="20A029D2" w14:textId="7B6E4C65" w:rsidR="008C0CF5" w:rsidRDefault="008C0CF5" w:rsidP="00692E08">
      <w:pPr>
        <w:rPr>
          <w:lang w:val="en-CA"/>
        </w:rPr>
      </w:pPr>
    </w:p>
    <w:p w14:paraId="5251E0BB" w14:textId="077DA40B" w:rsidR="008C0CF5" w:rsidRPr="00260A2B" w:rsidRDefault="008C0CF5" w:rsidP="008C0CF5">
      <w:pPr>
        <w:ind w:left="810" w:hanging="810"/>
        <w:rPr>
          <w:lang w:val="en-CA"/>
        </w:rPr>
      </w:pPr>
      <w:r w:rsidRPr="00692E08">
        <w:rPr>
          <w:lang w:eastAsia="en-CA"/>
        </w:rPr>
        <w:t>L. Van Eeck</w:t>
      </w:r>
      <w:r w:rsidR="00FA51C5" w:rsidRPr="00FA51C5">
        <w:rPr>
          <w:lang w:eastAsia="en-CA"/>
        </w:rPr>
        <w:t>haute, E.</w:t>
      </w:r>
      <w:r w:rsidRPr="00692E08">
        <w:rPr>
          <w:lang w:eastAsia="en-CA"/>
        </w:rPr>
        <w:t xml:space="preserve"> N. Brooks </w:t>
      </w:r>
      <w:r w:rsidR="00FA51C5" w:rsidRPr="00FA51C5">
        <w:rPr>
          <w:lang w:eastAsia="en-CA"/>
        </w:rPr>
        <w:t>and S.</w:t>
      </w:r>
      <w:r w:rsidRPr="00692E08">
        <w:rPr>
          <w:lang w:eastAsia="en-CA"/>
        </w:rPr>
        <w:t xml:space="preserve"> Christine Hansen</w:t>
      </w:r>
      <w:r w:rsidR="00FA51C5" w:rsidRPr="00FA51C5">
        <w:rPr>
          <w:lang w:eastAsia="en-CA"/>
        </w:rPr>
        <w:t xml:space="preserve">. </w:t>
      </w:r>
      <w:r w:rsidRPr="00692E08">
        <w:rPr>
          <w:lang w:eastAsia="en-CA"/>
        </w:rPr>
        <w:t xml:space="preserve">2012. </w:t>
      </w:r>
      <w:r w:rsidRPr="00692E08">
        <w:rPr>
          <w:bCs/>
          <w:lang w:eastAsia="en-CA"/>
        </w:rPr>
        <w:t>Assessment of Eastern Georges Bank Haddock for 2012. TRAC Reference Document 2012/06</w:t>
      </w:r>
      <w:r>
        <w:rPr>
          <w:rFonts w:ascii="Arial-BoldMT" w:hAnsi="Arial-BoldMT" w:cs="Arial-BoldMT"/>
          <w:bCs/>
          <w:lang w:eastAsia="en-CA"/>
        </w:rPr>
        <w:t>.</w:t>
      </w:r>
    </w:p>
    <w:p w14:paraId="5175C7E2" w14:textId="77777777" w:rsidR="008C0CF5" w:rsidRPr="008C0CF5" w:rsidRDefault="008C0CF5" w:rsidP="00692E08">
      <w:pPr>
        <w:rPr>
          <w:lang w:val="en-CA"/>
        </w:rPr>
      </w:pPr>
    </w:p>
    <w:p w14:paraId="70A8D849" w14:textId="60303416" w:rsidR="004737D7" w:rsidRDefault="002372CD" w:rsidP="00CC2932">
      <w:pPr>
        <w:pStyle w:val="ref"/>
        <w:spacing w:after="0"/>
        <w:jc w:val="both"/>
        <w:rPr>
          <w:i/>
        </w:rPr>
      </w:pPr>
      <w:r w:rsidRPr="00CF6978">
        <w:rPr>
          <w:lang w:val="en-CA"/>
        </w:rPr>
        <w:t>Clark, K</w:t>
      </w:r>
      <w:r w:rsidR="002B73E4" w:rsidRPr="00CF6978">
        <w:rPr>
          <w:lang w:val="en-CA"/>
        </w:rPr>
        <w:t>.</w:t>
      </w:r>
      <w:r w:rsidR="006455EC">
        <w:rPr>
          <w:lang w:val="en-CA"/>
        </w:rPr>
        <w:t>J</w:t>
      </w:r>
      <w:r w:rsidR="002B73E4" w:rsidRPr="00CF6978">
        <w:rPr>
          <w:lang w:val="en-CA"/>
        </w:rPr>
        <w:t>,</w:t>
      </w:r>
      <w:r w:rsidR="0092764C" w:rsidRPr="00CF6978">
        <w:rPr>
          <w:lang w:val="en-CA"/>
        </w:rPr>
        <w:t xml:space="preserve"> </w:t>
      </w:r>
      <w:r w:rsidR="002B73E4" w:rsidRPr="00CF6978">
        <w:rPr>
          <w:lang w:val="en-CA"/>
        </w:rPr>
        <w:t xml:space="preserve">and E.N. Brooks, </w:t>
      </w:r>
      <w:r w:rsidR="0092764C" w:rsidRPr="00CF6978">
        <w:rPr>
          <w:lang w:val="en-CA"/>
        </w:rPr>
        <w:t xml:space="preserve">editors. </w:t>
      </w:r>
      <w:r w:rsidR="00B63183" w:rsidRPr="004E029A">
        <w:rPr>
          <w:lang w:val="en-CA"/>
        </w:rPr>
        <w:t>2017</w:t>
      </w:r>
      <w:r w:rsidR="006724EE" w:rsidRPr="004E029A">
        <w:t xml:space="preserve">. </w:t>
      </w:r>
      <w:r w:rsidR="00E43356" w:rsidRPr="004E029A">
        <w:t>Proceedings of the Transboundary Resources Assessment Committee (TRAC): Eastern Georges Bank Cod and Haddock, and Georges Bank Yellowtail Flounder</w:t>
      </w:r>
      <w:r w:rsidR="006724EE" w:rsidRPr="004E029A">
        <w:t>:</w:t>
      </w:r>
      <w:r w:rsidR="00E43356" w:rsidRPr="004E029A">
        <w:t xml:space="preserve"> Report of Meeting held </w:t>
      </w:r>
      <w:r w:rsidRPr="004E029A">
        <w:t>11</w:t>
      </w:r>
      <w:r w:rsidR="004304CE">
        <w:t>–</w:t>
      </w:r>
      <w:r w:rsidRPr="004E029A">
        <w:t xml:space="preserve">14 </w:t>
      </w:r>
      <w:r w:rsidR="00E43356" w:rsidRPr="004E029A">
        <w:t>Ju</w:t>
      </w:r>
      <w:r w:rsidR="00020B73" w:rsidRPr="004E029A">
        <w:t>ly</w:t>
      </w:r>
      <w:r w:rsidR="00E43356" w:rsidRPr="004E029A">
        <w:t xml:space="preserve"> </w:t>
      </w:r>
      <w:r w:rsidRPr="004E029A">
        <w:t>2017</w:t>
      </w:r>
      <w:r w:rsidR="00E43356" w:rsidRPr="004E029A">
        <w:t xml:space="preserve">. TRAC Proceedings </w:t>
      </w:r>
      <w:r w:rsidR="00B63183" w:rsidRPr="004E029A">
        <w:t>2017</w:t>
      </w:r>
      <w:r w:rsidR="00E43356" w:rsidRPr="004E029A">
        <w:t>/</w:t>
      </w:r>
      <w:r w:rsidR="00F8320D" w:rsidRPr="004E029A">
        <w:t>01</w:t>
      </w:r>
      <w:r w:rsidR="00DB5BAF" w:rsidRPr="004E029A">
        <w:rPr>
          <w:i/>
        </w:rPr>
        <w:t>.</w:t>
      </w:r>
    </w:p>
    <w:p w14:paraId="3364453A" w14:textId="229EBFB5" w:rsidR="006455EC" w:rsidRDefault="006455EC" w:rsidP="00CC2932">
      <w:pPr>
        <w:pStyle w:val="ref"/>
        <w:spacing w:after="0"/>
        <w:jc w:val="both"/>
        <w:rPr>
          <w:i/>
        </w:rPr>
      </w:pPr>
    </w:p>
    <w:p w14:paraId="36B07D35" w14:textId="6CADAFB6" w:rsidR="006455EC" w:rsidRPr="004E029A" w:rsidRDefault="006455EC" w:rsidP="006455EC">
      <w:pPr>
        <w:pStyle w:val="ref"/>
        <w:spacing w:after="0"/>
        <w:jc w:val="both"/>
        <w:rPr>
          <w:i/>
        </w:rPr>
      </w:pPr>
      <w:r w:rsidRPr="00CF6978">
        <w:rPr>
          <w:lang w:val="en-CA"/>
        </w:rPr>
        <w:t>Clark, K.</w:t>
      </w:r>
      <w:r>
        <w:rPr>
          <w:lang w:val="en-CA"/>
        </w:rPr>
        <w:t>J</w:t>
      </w:r>
      <w:r w:rsidRPr="00CF6978">
        <w:rPr>
          <w:lang w:val="en-CA"/>
        </w:rPr>
        <w:t xml:space="preserve">, and </w:t>
      </w:r>
      <w:r>
        <w:rPr>
          <w:lang w:val="en-CA"/>
        </w:rPr>
        <w:t>T. Trinko-Lake</w:t>
      </w:r>
      <w:r w:rsidRPr="00CF6978">
        <w:rPr>
          <w:lang w:val="en-CA"/>
        </w:rPr>
        <w:t xml:space="preserve">, editors. </w:t>
      </w:r>
      <w:r>
        <w:rPr>
          <w:lang w:val="en-CA"/>
        </w:rPr>
        <w:t>2019</w:t>
      </w:r>
      <w:r w:rsidRPr="004E029A">
        <w:t xml:space="preserve">. Proceedings of the Transboundary Resources Assessment Committee (TRAC): Eastern Georges Bank Cod and Haddock, and Georges Bank Yellowtail Flounder: Report of Meeting held </w:t>
      </w:r>
      <w:r>
        <w:t>9</w:t>
      </w:r>
      <w:r w:rsidR="00032A8B">
        <w:t>–</w:t>
      </w:r>
      <w:r>
        <w:t>11</w:t>
      </w:r>
      <w:r w:rsidRPr="004E029A">
        <w:t xml:space="preserve"> July </w:t>
      </w:r>
      <w:r>
        <w:t>2019</w:t>
      </w:r>
      <w:r w:rsidRPr="004E029A">
        <w:t xml:space="preserve">. TRAC Proceedings </w:t>
      </w:r>
      <w:r>
        <w:t>2019</w:t>
      </w:r>
      <w:r w:rsidRPr="004E029A">
        <w:t>/01</w:t>
      </w:r>
      <w:r w:rsidRPr="004E029A">
        <w:rPr>
          <w:i/>
        </w:rPr>
        <w:t>.</w:t>
      </w:r>
    </w:p>
    <w:p w14:paraId="187E53D2" w14:textId="77777777" w:rsidR="004737D7" w:rsidRPr="004E029A" w:rsidRDefault="004737D7" w:rsidP="00CC2932">
      <w:pPr>
        <w:pStyle w:val="ref"/>
        <w:spacing w:after="0"/>
        <w:jc w:val="both"/>
      </w:pPr>
    </w:p>
    <w:p w14:paraId="416256F6" w14:textId="1237084D" w:rsidR="00E43356" w:rsidRPr="004E029A" w:rsidRDefault="004737D7" w:rsidP="00CC2932">
      <w:pPr>
        <w:pStyle w:val="ref"/>
        <w:spacing w:after="0"/>
        <w:jc w:val="both"/>
      </w:pPr>
      <w:r w:rsidRPr="004E029A">
        <w:t>Legault, C.M., L. Alade and H.H. Stone.</w:t>
      </w:r>
      <w:r w:rsidR="004304CE">
        <w:t xml:space="preserve"> </w:t>
      </w:r>
      <w:r w:rsidRPr="004E029A">
        <w:t>2010.</w:t>
      </w:r>
      <w:r w:rsidR="004304CE">
        <w:t xml:space="preserve"> </w:t>
      </w:r>
      <w:r w:rsidRPr="004E029A">
        <w:t xml:space="preserve">Stock </w:t>
      </w:r>
      <w:r w:rsidR="00F8320D" w:rsidRPr="004E029A">
        <w:t>As</w:t>
      </w:r>
      <w:r w:rsidRPr="004E029A">
        <w:t xml:space="preserve">sessment of Georges Bank (5Zjmnh) </w:t>
      </w:r>
      <w:r w:rsidR="00F8320D" w:rsidRPr="004E029A">
        <w:t>Y</w:t>
      </w:r>
      <w:r w:rsidRPr="004E029A">
        <w:t xml:space="preserve">ellowtail </w:t>
      </w:r>
      <w:r w:rsidR="00F8320D" w:rsidRPr="004E029A">
        <w:t>F</w:t>
      </w:r>
      <w:r w:rsidRPr="004E029A">
        <w:t>lounder for 2010.</w:t>
      </w:r>
      <w:r w:rsidR="004304CE">
        <w:t xml:space="preserve"> </w:t>
      </w:r>
      <w:r w:rsidRPr="004E029A">
        <w:t>TRAC Reference Document 2010/06.</w:t>
      </w:r>
      <w:r w:rsidR="00DB5BAF" w:rsidRPr="004E029A">
        <w:t xml:space="preserve"> </w:t>
      </w:r>
    </w:p>
    <w:p w14:paraId="74AEF3A1" w14:textId="77777777" w:rsidR="00BA1978" w:rsidRPr="004E029A" w:rsidRDefault="00BA1978" w:rsidP="00CC2932">
      <w:pPr>
        <w:pStyle w:val="ref"/>
        <w:spacing w:after="0"/>
        <w:jc w:val="both"/>
      </w:pPr>
    </w:p>
    <w:p w14:paraId="76C566A3" w14:textId="36D7F2DB" w:rsidR="004C0F17" w:rsidRPr="00CF6978" w:rsidRDefault="00B63183" w:rsidP="00CC2932">
      <w:pPr>
        <w:pStyle w:val="ref"/>
        <w:spacing w:after="0"/>
        <w:jc w:val="both"/>
      </w:pPr>
      <w:r w:rsidRPr="004E029A">
        <w:rPr>
          <w:lang w:val="sv-SE"/>
        </w:rPr>
        <w:t xml:space="preserve">Barrett, M.A., </w:t>
      </w:r>
      <w:r w:rsidR="00AB2372" w:rsidRPr="004E029A">
        <w:rPr>
          <w:lang w:val="sv-SE"/>
        </w:rPr>
        <w:t>E.N. Brooks,.</w:t>
      </w:r>
      <w:r w:rsidRPr="009553DE">
        <w:rPr>
          <w:lang w:val="sv-SE"/>
        </w:rPr>
        <w:t xml:space="preserve"> </w:t>
      </w:r>
      <w:r w:rsidR="00AB2372" w:rsidRPr="0072021F">
        <w:rPr>
          <w:lang w:val="sv-SE"/>
        </w:rPr>
        <w:t xml:space="preserve">and Y. Wang. </w:t>
      </w:r>
      <w:r w:rsidRPr="0072021F">
        <w:rPr>
          <w:lang w:val="sv-SE"/>
        </w:rPr>
        <w:t>2017</w:t>
      </w:r>
      <w:r w:rsidR="00AB2372" w:rsidRPr="00CF6978">
        <w:rPr>
          <w:lang w:val="sv-SE"/>
        </w:rPr>
        <w:t xml:space="preserve">. Assessment of Haddock on Eastern Georges Bank for </w:t>
      </w:r>
      <w:r w:rsidRPr="00CF6978">
        <w:rPr>
          <w:lang w:val="sv-SE"/>
        </w:rPr>
        <w:t>2017</w:t>
      </w:r>
      <w:r w:rsidR="00AB2372" w:rsidRPr="00CF6978">
        <w:rPr>
          <w:lang w:val="sv-SE"/>
        </w:rPr>
        <w:t xml:space="preserve">. TRAC Reference Document </w:t>
      </w:r>
      <w:r w:rsidRPr="00CF6978">
        <w:rPr>
          <w:lang w:val="sv-SE"/>
        </w:rPr>
        <w:t>2017</w:t>
      </w:r>
      <w:r w:rsidR="00AB2372" w:rsidRPr="00CF6978">
        <w:rPr>
          <w:lang w:val="sv-SE"/>
        </w:rPr>
        <w:t>/02.</w:t>
      </w:r>
      <w:r w:rsidR="00DB5BAF" w:rsidRPr="00CF6978">
        <w:rPr>
          <w:i/>
        </w:rPr>
        <w:t xml:space="preserve"> </w:t>
      </w:r>
    </w:p>
    <w:p w14:paraId="0DFF84DD" w14:textId="77777777" w:rsidR="004450A0" w:rsidRPr="00CF6978" w:rsidRDefault="004450A0" w:rsidP="006724EE">
      <w:pPr>
        <w:pStyle w:val="ref"/>
        <w:spacing w:after="0"/>
        <w:ind w:left="0" w:firstLine="0"/>
        <w:jc w:val="both"/>
      </w:pPr>
    </w:p>
    <w:p w14:paraId="1E98B953" w14:textId="77777777" w:rsidR="004C0F17" w:rsidRPr="00AE14C3" w:rsidRDefault="004C0F17" w:rsidP="006724EE">
      <w:pPr>
        <w:pStyle w:val="Heading5"/>
        <w:spacing w:after="0"/>
        <w:rPr>
          <w:sz w:val="24"/>
          <w:szCs w:val="24"/>
        </w:rPr>
      </w:pPr>
      <w:r w:rsidRPr="00AE14C3">
        <w:rPr>
          <w:sz w:val="24"/>
          <w:szCs w:val="24"/>
        </w:rPr>
        <w:t>Correct Citation</w:t>
      </w:r>
    </w:p>
    <w:p w14:paraId="640A70FA" w14:textId="77777777" w:rsidR="006724EE" w:rsidRPr="00CF6978" w:rsidRDefault="006724EE" w:rsidP="006724EE">
      <w:pPr>
        <w:pStyle w:val="ref"/>
        <w:spacing w:after="0"/>
        <w:ind w:left="0" w:firstLine="0"/>
      </w:pPr>
    </w:p>
    <w:p w14:paraId="7F9D2020" w14:textId="6DEC5F85" w:rsidR="004C0F17" w:rsidRPr="004E029A" w:rsidRDefault="004C0F17" w:rsidP="006724EE">
      <w:pPr>
        <w:pStyle w:val="ref"/>
        <w:spacing w:after="0"/>
        <w:ind w:left="0" w:firstLine="0"/>
      </w:pPr>
      <w:r w:rsidRPr="00CF6978">
        <w:t xml:space="preserve">TRAC. </w:t>
      </w:r>
      <w:r w:rsidR="00B63183" w:rsidRPr="00CF6978">
        <w:t>201</w:t>
      </w:r>
      <w:r w:rsidR="00CC5249">
        <w:t>9</w:t>
      </w:r>
      <w:r w:rsidRPr="00CF6978">
        <w:t xml:space="preserve">. Eastern Georges Bank Haddock. TRAC Status Report </w:t>
      </w:r>
      <w:r w:rsidR="00B63183" w:rsidRPr="004E029A">
        <w:t>201</w:t>
      </w:r>
      <w:r w:rsidR="00CC5249">
        <w:t>9</w:t>
      </w:r>
      <w:r w:rsidRPr="004E029A">
        <w:t>/</w:t>
      </w:r>
      <w:r w:rsidR="00F73428">
        <w:t>01</w:t>
      </w:r>
      <w:r w:rsidRPr="004E029A">
        <w:t>.</w:t>
      </w:r>
    </w:p>
    <w:p w14:paraId="49E66EC0" w14:textId="77777777" w:rsidR="004C0F17" w:rsidRDefault="004C0F17" w:rsidP="006724EE"/>
    <w:p w14:paraId="283390CC" w14:textId="77777777" w:rsidR="004C0F17" w:rsidRDefault="004C0F17" w:rsidP="006724EE">
      <w:pPr>
        <w:sectPr w:rsidR="004C0F17" w:rsidSect="00C36001">
          <w:type w:val="continuous"/>
          <w:pgSz w:w="12240" w:h="15840" w:code="1"/>
          <w:pgMar w:top="1440" w:right="1440" w:bottom="1080" w:left="1440" w:header="720" w:footer="720" w:gutter="0"/>
          <w:cols w:space="720"/>
          <w:titlePg/>
          <w:docGrid w:linePitch="360"/>
        </w:sectPr>
      </w:pPr>
    </w:p>
    <w:tbl>
      <w:tblPr>
        <w:tblW w:w="13428" w:type="dxa"/>
        <w:tblLayout w:type="fixed"/>
        <w:tblLook w:val="01E0" w:firstRow="1" w:lastRow="1" w:firstColumn="1" w:lastColumn="1" w:noHBand="0" w:noVBand="0"/>
      </w:tblPr>
      <w:tblGrid>
        <w:gridCol w:w="6588"/>
        <w:gridCol w:w="6840"/>
      </w:tblGrid>
      <w:tr w:rsidR="004C0F17" w:rsidRPr="00B103EC" w14:paraId="786E1292" w14:textId="77777777" w:rsidTr="00CB6D7E">
        <w:trPr>
          <w:trHeight w:val="3899"/>
        </w:trPr>
        <w:tc>
          <w:tcPr>
            <w:tcW w:w="6588" w:type="dxa"/>
          </w:tcPr>
          <w:p w14:paraId="0B7748D3" w14:textId="12323F51" w:rsidR="004C0F17" w:rsidRPr="0072021F" w:rsidRDefault="004B4FEA" w:rsidP="0072021F">
            <w:pPr>
              <w:jc w:val="center"/>
              <w:rPr>
                <w:b/>
              </w:rPr>
            </w:pPr>
            <w:r>
              <w:rPr>
                <w:b/>
                <w:noProof/>
              </w:rPr>
              <mc:AlternateContent>
                <mc:Choice Requires="wps">
                  <w:drawing>
                    <wp:anchor distT="0" distB="0" distL="114300" distR="114300" simplePos="0" relativeHeight="251661312" behindDoc="0" locked="0" layoutInCell="1" allowOverlap="1" wp14:anchorId="1324200F" wp14:editId="55D26FE4">
                      <wp:simplePos x="0" y="0"/>
                      <wp:positionH relativeFrom="column">
                        <wp:posOffset>3432810</wp:posOffset>
                      </wp:positionH>
                      <wp:positionV relativeFrom="paragraph">
                        <wp:posOffset>1514583</wp:posOffset>
                      </wp:positionV>
                      <wp:extent cx="189865" cy="18986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8986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B5A00" w14:textId="77777777" w:rsidR="00200C70" w:rsidRPr="00AE14C3" w:rsidRDefault="00200C70" w:rsidP="004B4FEA">
                                  <w:pPr>
                                    <w:rPr>
                                      <w:lang w:val="en-CA"/>
                                    </w:rPr>
                                  </w:pPr>
                                  <w:r>
                                    <w:rPr>
                                      <w:lang w:val="en-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200F" id="_x0000_t202" coordsize="21600,21600" o:spt="202" path="m,l,21600r21600,l21600,xe">
                      <v:stroke joinstyle="miter"/>
                      <v:path gradientshapeok="t" o:connecttype="rect"/>
                    </v:shapetype>
                    <v:shape id="Text Box 78" o:spid="_x0000_s1109" type="#_x0000_t202" style="position:absolute;left:0;text-align:left;margin-left:270.3pt;margin-top:119.25pt;width:14.9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" filled="f" stroked="f" strokeweight=".5pt">
                      <v:textbox>
                        <w:txbxContent>
                          <w:p w14:paraId="1FCB5A00" w14:textId="77777777" w:rsidR="00200C70" w:rsidRPr="00AE14C3" w:rsidRDefault="00200C70" w:rsidP="004B4FEA">
                            <w:pPr>
                              <w:rPr>
                                <w:lang w:val="en-CA"/>
                              </w:rPr>
                            </w:pPr>
                            <w:r>
                              <w:rPr>
                                <w:lang w:val="en-CA"/>
                              </w:rPr>
                              <w:t>*</w:t>
                            </w:r>
                          </w:p>
                        </w:txbxContent>
                      </v:textbox>
                    </v:shape>
                  </w:pict>
                </mc:Fallback>
              </mc:AlternateContent>
            </w:r>
            <w:r w:rsidR="00AC62BC" w:rsidRPr="00AC62BC">
              <w:rPr>
                <w:b/>
                <w:noProof/>
              </w:rPr>
              <w:drawing>
                <wp:inline distT="0" distB="0" distL="0" distR="0" wp14:anchorId="3BC15311" wp14:editId="1E4A16FF">
                  <wp:extent cx="4182846" cy="2311400"/>
                  <wp:effectExtent l="0" t="0" r="8255" b="0"/>
                  <wp:docPr id="9" name="Picture 9" descr="Figure 1"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85964" cy="2313123"/>
                          </a:xfrm>
                          <a:prstGeom prst="rect">
                            <a:avLst/>
                          </a:prstGeom>
                          <a:noFill/>
                          <a:ln>
                            <a:noFill/>
                          </a:ln>
                        </pic:spPr>
                      </pic:pic>
                    </a:graphicData>
                  </a:graphic>
                </wp:inline>
              </w:drawing>
            </w:r>
          </w:p>
        </w:tc>
        <w:tc>
          <w:tcPr>
            <w:tcW w:w="6840" w:type="dxa"/>
          </w:tcPr>
          <w:p w14:paraId="78D4026D" w14:textId="7BDACB23" w:rsidR="004C0F17" w:rsidRPr="00923CE7" w:rsidRDefault="00C36001" w:rsidP="00C36001">
            <w:pPr>
              <w:jc w:val="center"/>
              <w:rPr>
                <w:b/>
              </w:rPr>
            </w:pPr>
            <w:r w:rsidRPr="00AC62BC">
              <w:rPr>
                <w:b/>
                <w:noProof/>
              </w:rPr>
              <w:drawing>
                <wp:inline distT="0" distB="0" distL="0" distR="0" wp14:anchorId="13AFE891" wp14:editId="5E94EED5">
                  <wp:extent cx="4203700" cy="2819400"/>
                  <wp:effectExtent l="0" t="0" r="6350" b="0"/>
                  <wp:docPr id="8" name="Picture 8" descr="Figure 2"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03700" cy="2819400"/>
                          </a:xfrm>
                          <a:prstGeom prst="rect">
                            <a:avLst/>
                          </a:prstGeom>
                          <a:noFill/>
                          <a:ln>
                            <a:noFill/>
                          </a:ln>
                        </pic:spPr>
                      </pic:pic>
                    </a:graphicData>
                  </a:graphic>
                </wp:inline>
              </w:drawing>
            </w:r>
            <w:r w:rsidR="00587216">
              <w:rPr>
                <w:b/>
              </w:rPr>
              <w:t xml:space="preserve"> </w:t>
            </w:r>
          </w:p>
        </w:tc>
      </w:tr>
      <w:tr w:rsidR="00A23F99" w14:paraId="48AD29FA" w14:textId="77777777" w:rsidTr="001C25FB">
        <w:trPr>
          <w:trHeight w:val="512"/>
        </w:trPr>
        <w:tc>
          <w:tcPr>
            <w:tcW w:w="6588" w:type="dxa"/>
          </w:tcPr>
          <w:p w14:paraId="31CB585C" w14:textId="38FE1FD8" w:rsidR="00A23F99" w:rsidRPr="009D4535" w:rsidRDefault="00B4023E" w:rsidP="00FA51C5">
            <w:pPr>
              <w:jc w:val="both"/>
            </w:pPr>
            <w:r w:rsidRPr="00B4023E">
              <w:rPr>
                <w:i/>
                <w:sz w:val="22"/>
                <w:szCs w:val="22"/>
              </w:rPr>
              <w:t>Figure 1</w:t>
            </w:r>
            <w:r w:rsidRPr="00B4023E">
              <w:rPr>
                <w:sz w:val="22"/>
                <w:szCs w:val="22"/>
              </w:rPr>
              <w:t xml:space="preserve">. </w:t>
            </w:r>
            <w:r w:rsidR="00A23F99" w:rsidRPr="003E2A83">
              <w:rPr>
                <w:i/>
                <w:sz w:val="22"/>
                <w:szCs w:val="22"/>
              </w:rPr>
              <w:t>Catches</w:t>
            </w:r>
            <w:r w:rsidR="00BA235F">
              <w:rPr>
                <w:i/>
                <w:sz w:val="22"/>
                <w:szCs w:val="22"/>
              </w:rPr>
              <w:t xml:space="preserve"> and quota for</w:t>
            </w:r>
            <w:r w:rsidR="00A23F99" w:rsidRPr="001C25FB">
              <w:rPr>
                <w:i/>
                <w:sz w:val="22"/>
                <w:szCs w:val="22"/>
              </w:rPr>
              <w:t xml:space="preserve"> </w:t>
            </w:r>
            <w:r w:rsidR="00813D3A">
              <w:rPr>
                <w:i/>
                <w:sz w:val="22"/>
                <w:szCs w:val="22"/>
              </w:rPr>
              <w:t>Eastern Georges Bank (</w:t>
            </w:r>
            <w:r w:rsidR="005F2F7F">
              <w:rPr>
                <w:i/>
                <w:sz w:val="22"/>
                <w:szCs w:val="22"/>
              </w:rPr>
              <w:t>EGB</w:t>
            </w:r>
            <w:r w:rsidR="00813D3A">
              <w:rPr>
                <w:i/>
                <w:sz w:val="22"/>
                <w:szCs w:val="22"/>
              </w:rPr>
              <w:t>)</w:t>
            </w:r>
            <w:r w:rsidR="005F2F7F">
              <w:rPr>
                <w:i/>
                <w:sz w:val="22"/>
                <w:szCs w:val="22"/>
              </w:rPr>
              <w:t xml:space="preserve"> haddock</w:t>
            </w:r>
            <w:r w:rsidR="00A23F99" w:rsidRPr="001C25FB">
              <w:rPr>
                <w:i/>
                <w:sz w:val="22"/>
                <w:szCs w:val="22"/>
              </w:rPr>
              <w:t>.</w:t>
            </w:r>
            <w:r w:rsidR="004304CE">
              <w:rPr>
                <w:b/>
              </w:rPr>
              <w:t xml:space="preserve"> </w:t>
            </w:r>
          </w:p>
        </w:tc>
        <w:tc>
          <w:tcPr>
            <w:tcW w:w="6840" w:type="dxa"/>
          </w:tcPr>
          <w:p w14:paraId="1EC0FCF5" w14:textId="77777777" w:rsidR="00A23F99" w:rsidRDefault="00A23F99">
            <w:pPr>
              <w:rPr>
                <w:i/>
                <w:sz w:val="22"/>
                <w:szCs w:val="22"/>
              </w:rPr>
            </w:pPr>
            <w:r w:rsidRPr="001C25FB">
              <w:rPr>
                <w:i/>
                <w:sz w:val="22"/>
                <w:szCs w:val="22"/>
              </w:rPr>
              <w:t xml:space="preserve">Figure 2. </w:t>
            </w:r>
            <w:r w:rsidR="007B22A4" w:rsidRPr="00E519B8">
              <w:rPr>
                <w:i/>
                <w:sz w:val="22"/>
                <w:szCs w:val="22"/>
              </w:rPr>
              <w:t>Scaled total biomass indices from</w:t>
            </w:r>
            <w:r w:rsidR="007B22A4">
              <w:rPr>
                <w:i/>
                <w:sz w:val="22"/>
                <w:szCs w:val="22"/>
              </w:rPr>
              <w:t xml:space="preserve"> </w:t>
            </w:r>
            <w:r w:rsidR="007B22A4" w:rsidRPr="00E519B8">
              <w:rPr>
                <w:i/>
                <w:sz w:val="22"/>
                <w:szCs w:val="22"/>
              </w:rPr>
              <w:t xml:space="preserve">research surveys for </w:t>
            </w:r>
            <w:r w:rsidR="007B22A4">
              <w:rPr>
                <w:i/>
                <w:sz w:val="22"/>
                <w:szCs w:val="22"/>
              </w:rPr>
              <w:t>EGB haddock</w:t>
            </w:r>
            <w:r w:rsidR="007B22A4" w:rsidRPr="00E519B8">
              <w:rPr>
                <w:i/>
                <w:sz w:val="22"/>
                <w:szCs w:val="22"/>
              </w:rPr>
              <w:t>.</w:t>
            </w:r>
            <w:r w:rsidR="009948BE">
              <w:rPr>
                <w:i/>
                <w:sz w:val="22"/>
                <w:szCs w:val="22"/>
              </w:rPr>
              <w:t xml:space="preserve"> Indices are not adjusted by catchability.</w:t>
            </w:r>
          </w:p>
          <w:p w14:paraId="285A3F00" w14:textId="77777777" w:rsidR="00C36001" w:rsidRDefault="00C36001">
            <w:pPr>
              <w:rPr>
                <w:sz w:val="22"/>
                <w:szCs w:val="22"/>
              </w:rPr>
            </w:pPr>
          </w:p>
          <w:p w14:paraId="61099BDC" w14:textId="7BE7B107" w:rsidR="00C36001" w:rsidRPr="00C36001" w:rsidRDefault="00C36001">
            <w:pPr>
              <w:rPr>
                <w:sz w:val="22"/>
                <w:szCs w:val="22"/>
              </w:rPr>
            </w:pPr>
          </w:p>
        </w:tc>
      </w:tr>
      <w:tr w:rsidR="004C0F17" w14:paraId="3D8AC059" w14:textId="77777777" w:rsidTr="001C25FB">
        <w:trPr>
          <w:trHeight w:val="3890"/>
        </w:trPr>
        <w:tc>
          <w:tcPr>
            <w:tcW w:w="6588" w:type="dxa"/>
          </w:tcPr>
          <w:p w14:paraId="36303A9B" w14:textId="63D56531" w:rsidR="004C0F17" w:rsidRPr="00DC470D" w:rsidRDefault="00D3288E" w:rsidP="00A23F99">
            <w:pPr>
              <w:jc w:val="center"/>
            </w:pPr>
            <w:r w:rsidRPr="00D3288E">
              <w:rPr>
                <w:noProof/>
              </w:rPr>
              <w:drawing>
                <wp:inline distT="0" distB="0" distL="0" distR="0" wp14:anchorId="2A326895" wp14:editId="4FB13A90">
                  <wp:extent cx="2313432" cy="2944368"/>
                  <wp:effectExtent l="0" t="0" r="0" b="8890"/>
                  <wp:docPr id="66" name="Picture 66" descr="Figure 3"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432" cy="2944368"/>
                          </a:xfrm>
                          <a:prstGeom prst="rect">
                            <a:avLst/>
                          </a:prstGeom>
                          <a:noFill/>
                          <a:ln>
                            <a:noFill/>
                          </a:ln>
                        </pic:spPr>
                      </pic:pic>
                    </a:graphicData>
                  </a:graphic>
                </wp:inline>
              </w:drawing>
            </w:r>
            <w:r w:rsidRPr="00D3288E">
              <w:t xml:space="preserve"> </w:t>
            </w:r>
            <w:r w:rsidR="002B6792">
              <w:rPr>
                <w:b/>
                <w:noProof/>
              </w:rPr>
              <mc:AlternateContent>
                <mc:Choice Requires="wps">
                  <w:drawing>
                    <wp:anchor distT="0" distB="0" distL="114300" distR="114300" simplePos="0" relativeHeight="251663360" behindDoc="0" locked="0" layoutInCell="1" allowOverlap="1" wp14:anchorId="3E39A884" wp14:editId="488C4AB7">
                      <wp:simplePos x="0" y="0"/>
                      <wp:positionH relativeFrom="column">
                        <wp:posOffset>3403600</wp:posOffset>
                      </wp:positionH>
                      <wp:positionV relativeFrom="paragraph">
                        <wp:posOffset>968375</wp:posOffset>
                      </wp:positionV>
                      <wp:extent cx="189865" cy="18986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8986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85D3D" w14:textId="4B34A4A7" w:rsidR="00200C70" w:rsidRPr="00AE14C3" w:rsidRDefault="00200C70" w:rsidP="00150B4A">
                                  <w:pPr>
                                    <w:rPr>
                                      <w:color w:val="244061" w:themeColor="accent1" w:themeShade="80"/>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A884" id="Text Box 75" o:spid="_x0000_s1110" type="#_x0000_t202" style="position:absolute;left:0;text-align:left;margin-left:268pt;margin-top:76.25pt;width:14.9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" filled="f" stroked="f" strokeweight=".5pt">
                      <v:textbox>
                        <w:txbxContent>
                          <w:p w14:paraId="0D985D3D" w14:textId="4B34A4A7" w:rsidR="00200C70" w:rsidRPr="00AE14C3" w:rsidRDefault="00200C70" w:rsidP="00150B4A">
                            <w:pPr>
                              <w:rPr>
                                <w:color w:val="244061" w:themeColor="accent1" w:themeShade="80"/>
                                <w:lang w:val="en-CA"/>
                              </w:rPr>
                            </w:pPr>
                          </w:p>
                        </w:txbxContent>
                      </v:textbox>
                    </v:shape>
                  </w:pict>
                </mc:Fallback>
              </mc:AlternateContent>
            </w:r>
          </w:p>
        </w:tc>
        <w:tc>
          <w:tcPr>
            <w:tcW w:w="6840" w:type="dxa"/>
          </w:tcPr>
          <w:p w14:paraId="73451D87" w14:textId="32475A7E" w:rsidR="004C0F17" w:rsidRPr="00BC11F7" w:rsidRDefault="00FA51C5" w:rsidP="00EC2528">
            <w:pPr>
              <w:jc w:val="both"/>
            </w:pPr>
            <w:r w:rsidRPr="00FA51C5">
              <w:rPr>
                <w:noProof/>
              </w:rPr>
              <w:drawing>
                <wp:inline distT="0" distB="0" distL="0" distR="0" wp14:anchorId="2E022797" wp14:editId="4AAD663C">
                  <wp:extent cx="3486150" cy="2448731"/>
                  <wp:effectExtent l="0" t="0" r="0" b="8890"/>
                  <wp:docPr id="65" name="Picture 65" descr="Figure 4"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89301" cy="2450944"/>
                          </a:xfrm>
                          <a:prstGeom prst="rect">
                            <a:avLst/>
                          </a:prstGeom>
                          <a:noFill/>
                          <a:ln>
                            <a:noFill/>
                          </a:ln>
                        </pic:spPr>
                      </pic:pic>
                    </a:graphicData>
                  </a:graphic>
                </wp:inline>
              </w:drawing>
            </w:r>
          </w:p>
        </w:tc>
      </w:tr>
      <w:tr w:rsidR="00A23F99" w:rsidRPr="00F3121B" w14:paraId="69E7682D" w14:textId="77777777" w:rsidTr="001C25FB">
        <w:trPr>
          <w:trHeight w:val="287"/>
        </w:trPr>
        <w:tc>
          <w:tcPr>
            <w:tcW w:w="6588" w:type="dxa"/>
          </w:tcPr>
          <w:p w14:paraId="0F01FD5D" w14:textId="06B2B465" w:rsidR="00A23F99" w:rsidRPr="001C25FB" w:rsidRDefault="00E519B8" w:rsidP="00D3288E">
            <w:pPr>
              <w:rPr>
                <w:i/>
              </w:rPr>
            </w:pPr>
            <w:r>
              <w:rPr>
                <w:i/>
                <w:sz w:val="22"/>
                <w:szCs w:val="22"/>
              </w:rPr>
              <w:t>F</w:t>
            </w:r>
            <w:r w:rsidR="00A23F99" w:rsidRPr="001C25FB">
              <w:rPr>
                <w:i/>
                <w:sz w:val="22"/>
                <w:szCs w:val="22"/>
              </w:rPr>
              <w:t xml:space="preserve">igure 3. </w:t>
            </w:r>
            <w:r w:rsidR="00D3288E">
              <w:rPr>
                <w:i/>
                <w:sz w:val="22"/>
                <w:szCs w:val="22"/>
              </w:rPr>
              <w:t>Fall survey catch at age in numbers</w:t>
            </w:r>
            <w:r w:rsidR="009D3E99">
              <w:rPr>
                <w:i/>
                <w:sz w:val="22"/>
                <w:szCs w:val="22"/>
              </w:rPr>
              <w:t xml:space="preserve"> </w:t>
            </w:r>
            <w:r w:rsidR="007B22A4" w:rsidRPr="001C25FB">
              <w:rPr>
                <w:i/>
                <w:sz w:val="22"/>
                <w:szCs w:val="22"/>
              </w:rPr>
              <w:t>for EGB haddock</w:t>
            </w:r>
            <w:r w:rsidR="00D3288E">
              <w:rPr>
                <w:i/>
                <w:sz w:val="22"/>
                <w:szCs w:val="22"/>
              </w:rPr>
              <w:t xml:space="preserve">, </w:t>
            </w:r>
            <w:r w:rsidR="004304CE">
              <w:rPr>
                <w:i/>
                <w:sz w:val="22"/>
                <w:szCs w:val="22"/>
              </w:rPr>
              <w:t xml:space="preserve">    </w:t>
            </w:r>
            <w:r w:rsidR="00D3288E">
              <w:rPr>
                <w:i/>
                <w:sz w:val="22"/>
                <w:szCs w:val="22"/>
              </w:rPr>
              <w:t>2000</w:t>
            </w:r>
            <w:r w:rsidR="00032A8B">
              <w:rPr>
                <w:i/>
                <w:sz w:val="22"/>
                <w:szCs w:val="22"/>
              </w:rPr>
              <w:t>–</w:t>
            </w:r>
            <w:r w:rsidR="00D3288E">
              <w:rPr>
                <w:i/>
                <w:sz w:val="22"/>
                <w:szCs w:val="22"/>
              </w:rPr>
              <w:t>2018</w:t>
            </w:r>
            <w:r w:rsidR="007B22A4" w:rsidRPr="001C25FB">
              <w:rPr>
                <w:i/>
                <w:sz w:val="22"/>
                <w:szCs w:val="22"/>
              </w:rPr>
              <w:t>.</w:t>
            </w:r>
            <w:r w:rsidR="004304CE">
              <w:rPr>
                <w:i/>
                <w:sz w:val="22"/>
                <w:szCs w:val="22"/>
                <w:lang w:val="en-CA"/>
              </w:rPr>
              <w:t xml:space="preserve"> </w:t>
            </w:r>
          </w:p>
        </w:tc>
        <w:tc>
          <w:tcPr>
            <w:tcW w:w="6840" w:type="dxa"/>
          </w:tcPr>
          <w:p w14:paraId="5A6182E5" w14:textId="4A5246D3" w:rsidR="00C85F5C" w:rsidRPr="001C25FB" w:rsidRDefault="00A23F99" w:rsidP="00CB6D7E">
            <w:pPr>
              <w:rPr>
                <w:i/>
                <w:sz w:val="22"/>
                <w:szCs w:val="22"/>
                <w:lang w:val="en-CA"/>
              </w:rPr>
            </w:pPr>
            <w:r w:rsidRPr="001C25FB">
              <w:rPr>
                <w:i/>
                <w:sz w:val="22"/>
                <w:szCs w:val="22"/>
                <w:lang w:val="en-CA"/>
              </w:rPr>
              <w:t>Figure 4.</w:t>
            </w:r>
            <w:r w:rsidR="004304CE">
              <w:rPr>
                <w:i/>
                <w:sz w:val="22"/>
                <w:szCs w:val="22"/>
                <w:lang w:val="en-CA"/>
              </w:rPr>
              <w:t xml:space="preserve"> </w:t>
            </w:r>
            <w:r w:rsidR="00D50FE8" w:rsidRPr="00AE14C3">
              <w:rPr>
                <w:rFonts w:cs="Arial"/>
                <w:i/>
                <w:sz w:val="22"/>
                <w:szCs w:val="22"/>
              </w:rPr>
              <w:t xml:space="preserve">Mean length at age for selected year classes of </w:t>
            </w:r>
            <w:r w:rsidR="002B6792">
              <w:rPr>
                <w:rFonts w:cs="Arial"/>
                <w:i/>
                <w:noProof/>
                <w:sz w:val="22"/>
                <w:szCs w:val="22"/>
              </w:rPr>
              <w:t xml:space="preserve">EGB </w:t>
            </w:r>
            <w:r w:rsidR="00D50FE8" w:rsidRPr="00AE14C3">
              <w:rPr>
                <w:rFonts w:cs="Arial"/>
                <w:i/>
                <w:sz w:val="22"/>
                <w:szCs w:val="22"/>
              </w:rPr>
              <w:t>haddock sampled from the DFO survey</w:t>
            </w:r>
            <w:r w:rsidR="00D50FE8" w:rsidRPr="00AE14C3">
              <w:rPr>
                <w:rFonts w:cs="Arial"/>
                <w:sz w:val="22"/>
                <w:szCs w:val="22"/>
              </w:rPr>
              <w:t>.</w:t>
            </w:r>
            <w:r w:rsidR="00184EE3">
              <w:rPr>
                <w:rFonts w:cs="Arial"/>
                <w:sz w:val="22"/>
                <w:szCs w:val="22"/>
              </w:rPr>
              <w:t xml:space="preserve"> </w:t>
            </w:r>
          </w:p>
        </w:tc>
      </w:tr>
    </w:tbl>
    <w:p w14:paraId="0DC31244" w14:textId="68B6CEAD" w:rsidR="00E519B8" w:rsidRDefault="00ED304B" w:rsidP="00AE14C3">
      <w:pPr>
        <w:rPr>
          <w:i/>
          <w:sz w:val="22"/>
          <w:szCs w:val="22"/>
          <w:lang w:val="en-CA"/>
        </w:rPr>
      </w:pPr>
      <w:r w:rsidRPr="00ED304B">
        <w:t xml:space="preserve"> </w:t>
      </w:r>
      <w:r w:rsidR="00DD40E3">
        <w:tab/>
      </w:r>
      <w:r w:rsidR="00DD40E3">
        <w:tab/>
      </w:r>
    </w:p>
    <w:p w14:paraId="34859137" w14:textId="6321600A" w:rsidR="003B5E10" w:rsidRDefault="00204696" w:rsidP="00F8320D">
      <w:pPr>
        <w:tabs>
          <w:tab w:val="left" w:pos="6390"/>
        </w:tabs>
        <w:rPr>
          <w:i/>
          <w:sz w:val="22"/>
          <w:szCs w:val="22"/>
          <w:lang w:val="en-CA"/>
        </w:rPr>
      </w:pPr>
      <w:r w:rsidRPr="00204696">
        <w:rPr>
          <w:noProof/>
        </w:rPr>
        <w:drawing>
          <wp:inline distT="0" distB="0" distL="0" distR="0" wp14:anchorId="04128FD2" wp14:editId="3DA1CE86">
            <wp:extent cx="5099050" cy="2384787"/>
            <wp:effectExtent l="0" t="0" r="6350" b="0"/>
            <wp:docPr id="82" name="Picture 82" descr="Figure 5"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4013" cy="2387108"/>
                    </a:xfrm>
                    <a:prstGeom prst="rect">
                      <a:avLst/>
                    </a:prstGeom>
                    <a:noFill/>
                    <a:ln>
                      <a:noFill/>
                    </a:ln>
                  </pic:spPr>
                </pic:pic>
              </a:graphicData>
            </a:graphic>
          </wp:inline>
        </w:drawing>
      </w:r>
    </w:p>
    <w:p w14:paraId="5FEC4AFE" w14:textId="04F74C7C" w:rsidR="008858AE" w:rsidRDefault="005C2753" w:rsidP="00692E08">
      <w:pPr>
        <w:tabs>
          <w:tab w:val="left" w:pos="6390"/>
        </w:tabs>
        <w:rPr>
          <w:i/>
          <w:sz w:val="22"/>
          <w:szCs w:val="22"/>
          <w:lang w:val="en-CA"/>
        </w:rPr>
      </w:pPr>
      <w:r w:rsidRPr="001C25FB">
        <w:rPr>
          <w:i/>
          <w:sz w:val="22"/>
          <w:szCs w:val="22"/>
          <w:lang w:val="en-CA"/>
        </w:rPr>
        <w:t xml:space="preserve">Figure </w:t>
      </w:r>
      <w:r>
        <w:rPr>
          <w:i/>
          <w:sz w:val="22"/>
          <w:szCs w:val="22"/>
          <w:lang w:val="en-CA"/>
        </w:rPr>
        <w:t>5</w:t>
      </w:r>
      <w:r w:rsidRPr="001C25FB">
        <w:rPr>
          <w:i/>
          <w:sz w:val="22"/>
          <w:szCs w:val="22"/>
          <w:lang w:val="en-CA"/>
        </w:rPr>
        <w:t>.</w:t>
      </w:r>
      <w:r w:rsidR="003B5E10">
        <w:rPr>
          <w:i/>
          <w:sz w:val="22"/>
          <w:szCs w:val="22"/>
          <w:lang w:val="en-CA"/>
        </w:rPr>
        <w:t xml:space="preserve"> </w:t>
      </w:r>
      <w:r w:rsidR="0026217A">
        <w:rPr>
          <w:i/>
          <w:sz w:val="22"/>
          <w:szCs w:val="22"/>
          <w:lang w:val="en-CA"/>
        </w:rPr>
        <w:t xml:space="preserve">Relative fishing mortality </w:t>
      </w:r>
      <w:r w:rsidR="009948BE">
        <w:rPr>
          <w:i/>
          <w:sz w:val="22"/>
          <w:szCs w:val="22"/>
          <w:lang w:val="en-CA"/>
        </w:rPr>
        <w:t>(bars) and average survey biomass (solid line).</w:t>
      </w:r>
      <w:r w:rsidR="009E4563">
        <w:rPr>
          <w:i/>
          <w:sz w:val="22"/>
          <w:szCs w:val="22"/>
          <w:lang w:val="en-CA"/>
        </w:rPr>
        <w:tab/>
      </w:r>
      <w:r w:rsidR="004304CE">
        <w:rPr>
          <w:i/>
          <w:sz w:val="22"/>
          <w:szCs w:val="22"/>
          <w:lang w:val="en-CA"/>
        </w:rPr>
        <w:t xml:space="preserve"> </w:t>
      </w:r>
      <w:r w:rsidR="009E4563">
        <w:rPr>
          <w:i/>
          <w:sz w:val="22"/>
          <w:szCs w:val="22"/>
          <w:lang w:val="en-CA"/>
        </w:rPr>
        <w:t xml:space="preserve"> </w:t>
      </w:r>
    </w:p>
    <w:p w14:paraId="05A4A69C" w14:textId="7ADDDC84" w:rsidR="00ED304B" w:rsidRPr="00D279DC" w:rsidRDefault="00ED304B" w:rsidP="00CB6D7E"/>
    <w:sectPr w:rsidR="00ED304B" w:rsidRPr="00D279DC" w:rsidSect="00C36001">
      <w:headerReference w:type="default" r:id="rId20"/>
      <w:pgSz w:w="15840" w:h="12240" w:orient="landscape" w:code="1"/>
      <w:pgMar w:top="1080" w:right="1440" w:bottom="1080" w:left="1440" w:header="720" w:footer="720" w:gutter="0"/>
      <w:cols w:space="720" w:equalWidth="0">
        <w:col w:w="129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020C3" w14:textId="77777777" w:rsidR="00200C70" w:rsidRDefault="00200C70">
      <w:r>
        <w:separator/>
      </w:r>
    </w:p>
  </w:endnote>
  <w:endnote w:type="continuationSeparator" w:id="0">
    <w:p w14:paraId="0E0CABF8" w14:textId="77777777" w:rsidR="00200C70" w:rsidRDefault="0020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AB6F" w14:textId="77777777" w:rsidR="00200C70" w:rsidRDefault="00200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A5E7326" w14:textId="77777777" w:rsidR="00200C70" w:rsidRDefault="00200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813C" w14:textId="2E22164D" w:rsidR="00200C70" w:rsidRDefault="00200C70">
    <w:pPr>
      <w:pStyle w:val="Footer"/>
      <w:pBdr>
        <w:top w:val="single" w:sz="4" w:space="1" w:color="auto"/>
      </w:pBdr>
      <w:jc w:val="center"/>
    </w:pPr>
    <w:r>
      <w:rPr>
        <w:rStyle w:val="PageNumber"/>
      </w:rPr>
      <w:fldChar w:fldCharType="begin"/>
    </w:r>
    <w:r>
      <w:rPr>
        <w:rStyle w:val="PageNumber"/>
      </w:rPr>
      <w:instrText xml:space="preserve"> PAGE </w:instrText>
    </w:r>
    <w:r>
      <w:rPr>
        <w:rStyle w:val="PageNumber"/>
      </w:rPr>
      <w:fldChar w:fldCharType="separate"/>
    </w:r>
    <w:r w:rsidR="0034711D">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7" w:type="dxa"/>
      <w:tblInd w:w="81" w:type="dxa"/>
      <w:tblBorders>
        <w:top w:val="single" w:sz="4" w:space="0" w:color="auto"/>
      </w:tblBorders>
      <w:tblLayout w:type="fixed"/>
      <w:tblLook w:val="01E0" w:firstRow="1" w:lastRow="1" w:firstColumn="1" w:lastColumn="1" w:noHBand="0" w:noVBand="0"/>
    </w:tblPr>
    <w:tblGrid>
      <w:gridCol w:w="3447"/>
      <w:gridCol w:w="630"/>
      <w:gridCol w:w="540"/>
      <w:gridCol w:w="630"/>
      <w:gridCol w:w="4140"/>
    </w:tblGrid>
    <w:tr w:rsidR="00200C70" w:rsidRPr="000004FB" w14:paraId="07DE85E2" w14:textId="77777777">
      <w:tc>
        <w:tcPr>
          <w:tcW w:w="4077" w:type="dxa"/>
          <w:gridSpan w:val="2"/>
          <w:tcBorders>
            <w:top w:val="single" w:sz="4" w:space="0" w:color="auto"/>
            <w:bottom w:val="nil"/>
          </w:tcBorders>
        </w:tcPr>
        <w:p w14:paraId="03ABFB37" w14:textId="77777777" w:rsidR="00200C70" w:rsidRPr="000004FB" w:rsidRDefault="00200C70">
          <w:pPr>
            <w:pStyle w:val="Footer"/>
            <w:rPr>
              <w:rFonts w:cs="Arial"/>
              <w:spacing w:val="-3"/>
              <w:sz w:val="16"/>
              <w:szCs w:val="16"/>
              <w:lang w:val="fr-CA"/>
            </w:rPr>
          </w:pPr>
          <w:r w:rsidRPr="000004FB">
            <w:rPr>
              <w:rFonts w:cs="Arial"/>
              <w:spacing w:val="-3"/>
              <w:sz w:val="16"/>
              <w:szCs w:val="16"/>
              <w:lang w:val="fr-CA"/>
            </w:rPr>
            <w:t>Ce document est disponible sur l’Internet à :</w:t>
          </w:r>
        </w:p>
      </w:tc>
      <w:tc>
        <w:tcPr>
          <w:tcW w:w="540" w:type="dxa"/>
          <w:tcBorders>
            <w:top w:val="single" w:sz="4" w:space="0" w:color="auto"/>
            <w:bottom w:val="nil"/>
          </w:tcBorders>
        </w:tcPr>
        <w:p w14:paraId="77D10D46" w14:textId="77777777" w:rsidR="00200C70" w:rsidRPr="000004FB" w:rsidRDefault="00200C70">
          <w:pPr>
            <w:pStyle w:val="Footer"/>
            <w:jc w:val="center"/>
            <w:rPr>
              <w:rFonts w:cs="Arial"/>
              <w:spacing w:val="-3"/>
              <w:sz w:val="16"/>
              <w:szCs w:val="16"/>
              <w:lang w:val="fr-CA"/>
            </w:rPr>
          </w:pPr>
        </w:p>
      </w:tc>
      <w:tc>
        <w:tcPr>
          <w:tcW w:w="4770" w:type="dxa"/>
          <w:gridSpan w:val="2"/>
          <w:tcBorders>
            <w:top w:val="single" w:sz="4" w:space="0" w:color="auto"/>
            <w:bottom w:val="nil"/>
          </w:tcBorders>
        </w:tcPr>
        <w:p w14:paraId="29F71B49" w14:textId="77777777" w:rsidR="00200C70" w:rsidRPr="000004FB" w:rsidRDefault="00200C70">
          <w:pPr>
            <w:pStyle w:val="Footer"/>
            <w:jc w:val="right"/>
            <w:rPr>
              <w:rFonts w:cs="Arial"/>
              <w:spacing w:val="-3"/>
              <w:sz w:val="16"/>
              <w:szCs w:val="16"/>
              <w:lang w:val="en-CA"/>
            </w:rPr>
          </w:pPr>
          <w:r w:rsidRPr="000004FB">
            <w:rPr>
              <w:rFonts w:cs="Arial"/>
              <w:spacing w:val="-3"/>
              <w:sz w:val="16"/>
              <w:szCs w:val="16"/>
              <w:lang w:val="en-CA"/>
            </w:rPr>
            <w:t>This document is available on the Internet at :</w:t>
          </w:r>
        </w:p>
      </w:tc>
    </w:tr>
    <w:tr w:rsidR="00200C70" w:rsidRPr="000004FB" w14:paraId="12F4568A" w14:textId="77777777">
      <w:tc>
        <w:tcPr>
          <w:tcW w:w="9387" w:type="dxa"/>
          <w:gridSpan w:val="5"/>
          <w:tcBorders>
            <w:top w:val="nil"/>
            <w:bottom w:val="single" w:sz="4" w:space="0" w:color="auto"/>
          </w:tcBorders>
        </w:tcPr>
        <w:p w14:paraId="7EC2D1B7" w14:textId="77777777" w:rsidR="00200C70" w:rsidRPr="000004FB" w:rsidRDefault="0034711D" w:rsidP="00B139DA">
          <w:pPr>
            <w:pStyle w:val="Footer"/>
            <w:jc w:val="center"/>
            <w:rPr>
              <w:rFonts w:cs="Arial"/>
              <w:spacing w:val="-3"/>
              <w:sz w:val="16"/>
              <w:szCs w:val="16"/>
              <w:lang w:val="en-CA"/>
            </w:rPr>
          </w:pPr>
          <w:hyperlink r:id="rId1" w:tooltip="Transboundary Resources Assessment Committee (TRAC)" w:history="1">
            <w:r w:rsidR="00200C70" w:rsidRPr="00B139DA">
              <w:rPr>
                <w:rStyle w:val="Hyperlink"/>
                <w:rFonts w:cs="Arial"/>
                <w:spacing w:val="-3"/>
                <w:sz w:val="16"/>
                <w:szCs w:val="16"/>
                <w:lang w:val="en-CA"/>
              </w:rPr>
              <w:t>http://www.bio.gc.ca/info/intercol/trac-cert/index-en.php</w:t>
            </w:r>
          </w:hyperlink>
        </w:p>
      </w:tc>
    </w:tr>
    <w:tr w:rsidR="00200C70" w:rsidRPr="000004FB" w14:paraId="3177B6C2" w14:textId="77777777">
      <w:tc>
        <w:tcPr>
          <w:tcW w:w="3447" w:type="dxa"/>
          <w:tcBorders>
            <w:top w:val="single" w:sz="4" w:space="0" w:color="auto"/>
          </w:tcBorders>
        </w:tcPr>
        <w:p w14:paraId="42A8A5C1" w14:textId="77777777" w:rsidR="00200C70" w:rsidRPr="000004FB" w:rsidRDefault="00200C70">
          <w:pPr>
            <w:pStyle w:val="Footer"/>
            <w:rPr>
              <w:rFonts w:cs="Arial"/>
              <w:spacing w:val="-3"/>
              <w:lang w:val="en-CA"/>
            </w:rPr>
          </w:pPr>
        </w:p>
        <w:p w14:paraId="5AEBAABD" w14:textId="77777777" w:rsidR="00200C70" w:rsidRPr="00CF322D" w:rsidRDefault="00200C70">
          <w:pPr>
            <w:pStyle w:val="Footer"/>
            <w:rPr>
              <w:rFonts w:cs="Arial"/>
              <w:spacing w:val="-3"/>
            </w:rPr>
          </w:pPr>
          <w:r>
            <w:rPr>
              <w:rFonts w:cs="Arial"/>
              <w:noProof/>
              <w:lang w:val="en-US" w:eastAsia="en-US"/>
            </w:rPr>
            <w:drawing>
              <wp:inline distT="0" distB="0" distL="0" distR="0" wp14:anchorId="6238F771" wp14:editId="3E799439">
                <wp:extent cx="800100" cy="190500"/>
                <wp:effectExtent l="0" t="0" r="0" b="0"/>
                <wp:docPr id="2" name="Picture 2" descr="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ADA ©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p>
      </w:tc>
      <w:tc>
        <w:tcPr>
          <w:tcW w:w="1800" w:type="dxa"/>
          <w:gridSpan w:val="3"/>
          <w:tcBorders>
            <w:top w:val="single" w:sz="4" w:space="0" w:color="auto"/>
          </w:tcBorders>
        </w:tcPr>
        <w:p w14:paraId="1E01F565" w14:textId="77777777" w:rsidR="00200C70" w:rsidRPr="00CF322D" w:rsidRDefault="00200C70">
          <w:pPr>
            <w:pStyle w:val="Footer"/>
            <w:jc w:val="center"/>
            <w:rPr>
              <w:rFonts w:cs="Arial"/>
              <w:spacing w:val="-3"/>
            </w:rPr>
          </w:pPr>
        </w:p>
        <w:p w14:paraId="4C2FEA46" w14:textId="3BD4B33B" w:rsidR="00200C70" w:rsidRPr="00CF322D" w:rsidRDefault="0034711D" w:rsidP="00200424">
          <w:pPr>
            <w:pStyle w:val="Footer"/>
            <w:jc w:val="center"/>
            <w:rPr>
              <w:rFonts w:cs="Arial"/>
              <w:spacing w:val="-3"/>
            </w:rPr>
          </w:pPr>
          <w:r>
            <w:rPr>
              <w:rFonts w:cs="Arial"/>
              <w:spacing w:val="-3"/>
              <w:lang w:val="en-CA"/>
            </w:rPr>
            <w:t>June 2020</w:t>
          </w:r>
        </w:p>
      </w:tc>
      <w:tc>
        <w:tcPr>
          <w:tcW w:w="4140" w:type="dxa"/>
          <w:tcBorders>
            <w:top w:val="single" w:sz="4" w:space="0" w:color="auto"/>
          </w:tcBorders>
        </w:tcPr>
        <w:p w14:paraId="653B5D50" w14:textId="77777777" w:rsidR="00200C70" w:rsidRPr="00CF322D" w:rsidRDefault="00200C70">
          <w:pPr>
            <w:pStyle w:val="Footer"/>
            <w:jc w:val="right"/>
            <w:rPr>
              <w:rFonts w:cs="Arial"/>
              <w:spacing w:val="-3"/>
            </w:rPr>
          </w:pPr>
          <w:r>
            <w:rPr>
              <w:rFonts w:cs="Arial"/>
              <w:noProof/>
              <w:spacing w:val="-3"/>
              <w:lang w:val="en-US" w:eastAsia="en-US"/>
            </w:rPr>
            <w:drawing>
              <wp:inline distT="0" distB="0" distL="0" distR="0" wp14:anchorId="5938374E" wp14:editId="5CAE9B0D">
                <wp:extent cx="381000" cy="381000"/>
                <wp:effectExtent l="0" t="0" r="0" b="0"/>
                <wp:docPr id="3" name="Picture 3"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58AAEB25" w14:textId="77777777" w:rsidR="00200C70" w:rsidRDefault="00200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B7B6" w14:textId="77777777" w:rsidR="00200C70" w:rsidRDefault="00200C70">
      <w:r>
        <w:separator/>
      </w:r>
    </w:p>
  </w:footnote>
  <w:footnote w:type="continuationSeparator" w:id="0">
    <w:p w14:paraId="36720395" w14:textId="77777777" w:rsidR="00200C70" w:rsidRDefault="0020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2F92" w14:textId="716453BB" w:rsidR="00200C70" w:rsidRDefault="00200C70" w:rsidP="0084721B">
    <w:pPr>
      <w:pStyle w:val="Header"/>
      <w:pBdr>
        <w:bottom w:val="single" w:sz="4" w:space="1" w:color="auto"/>
      </w:pBdr>
      <w:tabs>
        <w:tab w:val="clear" w:pos="4320"/>
        <w:tab w:val="clear" w:pos="8640"/>
        <w:tab w:val="right" w:pos="9252"/>
      </w:tabs>
    </w:pPr>
    <w:r>
      <w:rPr>
        <w:b/>
      </w:rPr>
      <w:t>EGB Haddock</w:t>
    </w:r>
    <w:r>
      <w:rPr>
        <w:b/>
      </w:rPr>
      <w:tab/>
      <w:t>TRAC Status Report 2019/0</w:t>
    </w:r>
    <w:r w:rsidR="00F73428">
      <w:rPr>
        <w:b/>
      </w:rPr>
      <w:t>1</w:t>
    </w:r>
  </w:p>
  <w:p w14:paraId="4916D78B" w14:textId="77777777" w:rsidR="00200C70" w:rsidRDefault="00200C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5" w:type="dxa"/>
      <w:tblLayout w:type="fixed"/>
      <w:tblCellMar>
        <w:left w:w="0" w:type="dxa"/>
        <w:right w:w="0" w:type="dxa"/>
      </w:tblCellMar>
      <w:tblLook w:val="01E0" w:firstRow="1" w:lastRow="1" w:firstColumn="1" w:lastColumn="1" w:noHBand="0" w:noVBand="0"/>
    </w:tblPr>
    <w:tblGrid>
      <w:gridCol w:w="4428"/>
      <w:gridCol w:w="4937"/>
    </w:tblGrid>
    <w:tr w:rsidR="00200C70" w14:paraId="54AB7CDE" w14:textId="77777777">
      <w:tc>
        <w:tcPr>
          <w:tcW w:w="4428" w:type="dxa"/>
        </w:tcPr>
        <w:p w14:paraId="2EBDA2F2" w14:textId="77777777" w:rsidR="00200C70" w:rsidRDefault="00200C70">
          <w:pPr>
            <w:pStyle w:val="Header"/>
            <w:tabs>
              <w:tab w:val="clear" w:pos="8640"/>
              <w:tab w:val="right" w:pos="8825"/>
            </w:tabs>
            <w:rPr>
              <w:b/>
            </w:rPr>
          </w:pPr>
          <w:r w:rsidRPr="00B139DA">
            <w:rPr>
              <w:noProof/>
            </w:rPr>
            <w:drawing>
              <wp:inline distT="0" distB="0" distL="0" distR="0" wp14:anchorId="102E051E" wp14:editId="50870D57">
                <wp:extent cx="2493364" cy="460350"/>
                <wp:effectExtent l="0" t="0" r="2540" b="0"/>
                <wp:docPr id="7" name="Picture 7" descr="C:\Users\RondeauI\Desktop\Templates&amp;Forms\e_es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eauI\Desktop\Templates&amp;Forms\e_eso_b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21" cy="460416"/>
                        </a:xfrm>
                        <a:prstGeom prst="rect">
                          <a:avLst/>
                        </a:prstGeom>
                        <a:noFill/>
                        <a:ln>
                          <a:noFill/>
                        </a:ln>
                      </pic:spPr>
                    </pic:pic>
                  </a:graphicData>
                </a:graphic>
              </wp:inline>
            </w:drawing>
          </w:r>
        </w:p>
      </w:tc>
      <w:tc>
        <w:tcPr>
          <w:tcW w:w="4937" w:type="dxa"/>
        </w:tcPr>
        <w:p w14:paraId="3C20E2D9" w14:textId="77777777" w:rsidR="00200C70" w:rsidRPr="00606708" w:rsidRDefault="00200C70">
          <w:pPr>
            <w:pStyle w:val="Header"/>
            <w:jc w:val="right"/>
            <w:rPr>
              <w:b/>
            </w:rPr>
          </w:pPr>
          <w:r>
            <w:rPr>
              <w:b/>
              <w:noProof/>
            </w:rPr>
            <w:drawing>
              <wp:inline distT="0" distB="0" distL="0" distR="0" wp14:anchorId="68179A58" wp14:editId="6C8916B4">
                <wp:extent cx="271462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266700"/>
                        </a:xfrm>
                        <a:prstGeom prst="rect">
                          <a:avLst/>
                        </a:prstGeom>
                        <a:noFill/>
                        <a:ln>
                          <a:noFill/>
                        </a:ln>
                      </pic:spPr>
                    </pic:pic>
                  </a:graphicData>
                </a:graphic>
              </wp:inline>
            </w:drawing>
          </w:r>
        </w:p>
      </w:tc>
    </w:tr>
    <w:tr w:rsidR="00200C70" w14:paraId="6C4871CC" w14:textId="77777777">
      <w:tc>
        <w:tcPr>
          <w:tcW w:w="9365" w:type="dxa"/>
          <w:gridSpan w:val="2"/>
        </w:tcPr>
        <w:p w14:paraId="51E228EA" w14:textId="77777777" w:rsidR="00200C70" w:rsidRDefault="00200C70">
          <w:pPr>
            <w:pStyle w:val="Header"/>
            <w:tabs>
              <w:tab w:val="clear" w:pos="4320"/>
              <w:tab w:val="center" w:pos="4428"/>
            </w:tabs>
            <w:spacing w:before="60"/>
            <w:jc w:val="center"/>
            <w:rPr>
              <w:b/>
            </w:rPr>
          </w:pPr>
          <w:r>
            <w:rPr>
              <w:b/>
            </w:rPr>
            <w:t xml:space="preserve">Transboundary Resources Assessment Committee </w:t>
          </w:r>
        </w:p>
      </w:tc>
    </w:tr>
    <w:tr w:rsidR="00200C70" w14:paraId="3C8E23C9" w14:textId="77777777">
      <w:tc>
        <w:tcPr>
          <w:tcW w:w="9365" w:type="dxa"/>
          <w:gridSpan w:val="2"/>
          <w:tcBorders>
            <w:bottom w:val="single" w:sz="4" w:space="0" w:color="auto"/>
          </w:tcBorders>
        </w:tcPr>
        <w:p w14:paraId="32428251" w14:textId="2B45602A" w:rsidR="00F73428" w:rsidRDefault="00871080" w:rsidP="00F73428">
          <w:pPr>
            <w:pStyle w:val="Header"/>
            <w:tabs>
              <w:tab w:val="clear" w:pos="4320"/>
              <w:tab w:val="center" w:pos="4428"/>
            </w:tabs>
            <w:spacing w:before="60"/>
            <w:jc w:val="right"/>
            <w:rPr>
              <w:b/>
            </w:rPr>
          </w:pPr>
          <w:r>
            <w:rPr>
              <w:b/>
            </w:rPr>
            <w:t>Status Report 2019/</w:t>
          </w:r>
          <w:r w:rsidR="00F73428">
            <w:rPr>
              <w:b/>
            </w:rPr>
            <w:t>01</w:t>
          </w:r>
        </w:p>
      </w:tc>
    </w:tr>
  </w:tbl>
  <w:p w14:paraId="33FF9F00" w14:textId="77777777" w:rsidR="00200C70" w:rsidRDefault="00200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0"/>
    </w:tblGrid>
    <w:tr w:rsidR="00200C70" w14:paraId="225462D5" w14:textId="77777777">
      <w:tc>
        <w:tcPr>
          <w:tcW w:w="13068" w:type="dxa"/>
          <w:tcBorders>
            <w:top w:val="nil"/>
            <w:left w:val="nil"/>
            <w:bottom w:val="single" w:sz="4" w:space="0" w:color="auto"/>
            <w:right w:val="nil"/>
          </w:tcBorders>
        </w:tcPr>
        <w:p w14:paraId="4FC060F4" w14:textId="068C5780" w:rsidR="00200C70" w:rsidRPr="00067959" w:rsidRDefault="00200C70" w:rsidP="00A52CBD">
          <w:pPr>
            <w:pStyle w:val="Header"/>
            <w:tabs>
              <w:tab w:val="clear" w:pos="4320"/>
              <w:tab w:val="left" w:pos="240"/>
              <w:tab w:val="left" w:pos="2325"/>
              <w:tab w:val="left" w:pos="5325"/>
            </w:tabs>
            <w:jc w:val="right"/>
            <w:rPr>
              <w:b/>
            </w:rPr>
          </w:pPr>
          <w:r>
            <w:rPr>
              <w:b/>
            </w:rPr>
            <w:t>TRAC Status Report 2019/02</w:t>
          </w:r>
        </w:p>
      </w:tc>
    </w:tr>
  </w:tbl>
  <w:p w14:paraId="1A605854" w14:textId="77777777" w:rsidR="00200C70" w:rsidRDefault="00200C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36CF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0EDB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767A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327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C5E5B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322E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B8D2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F455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48E7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763D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B517E"/>
    <w:multiLevelType w:val="hybridMultilevel"/>
    <w:tmpl w:val="067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B0805"/>
    <w:multiLevelType w:val="hybridMultilevel"/>
    <w:tmpl w:val="ADF64CD0"/>
    <w:lvl w:ilvl="0" w:tplc="207EE77A">
      <w:start w:val="1"/>
      <w:numFmt w:val="bullet"/>
      <w:lvlText w:val=""/>
      <w:lvlJc w:val="left"/>
      <w:pPr>
        <w:tabs>
          <w:tab w:val="num" w:pos="720"/>
        </w:tabs>
        <w:ind w:left="720" w:hanging="360"/>
      </w:pPr>
      <w:rPr>
        <w:rFonts w:ascii="Symbol" w:hAnsi="Symbol" w:hint="default"/>
      </w:rPr>
    </w:lvl>
    <w:lvl w:ilvl="1" w:tplc="B480403C" w:tentative="1">
      <w:start w:val="1"/>
      <w:numFmt w:val="bullet"/>
      <w:lvlText w:val="o"/>
      <w:lvlJc w:val="left"/>
      <w:pPr>
        <w:tabs>
          <w:tab w:val="num" w:pos="1440"/>
        </w:tabs>
        <w:ind w:left="1440" w:hanging="360"/>
      </w:pPr>
      <w:rPr>
        <w:rFonts w:ascii="Courier New" w:hAnsi="Courier New" w:cs="Courier New" w:hint="default"/>
      </w:rPr>
    </w:lvl>
    <w:lvl w:ilvl="2" w:tplc="8F481FCC" w:tentative="1">
      <w:start w:val="1"/>
      <w:numFmt w:val="bullet"/>
      <w:lvlText w:val=""/>
      <w:lvlJc w:val="left"/>
      <w:pPr>
        <w:tabs>
          <w:tab w:val="num" w:pos="2160"/>
        </w:tabs>
        <w:ind w:left="2160" w:hanging="360"/>
      </w:pPr>
      <w:rPr>
        <w:rFonts w:ascii="Wingdings" w:hAnsi="Wingdings" w:hint="default"/>
      </w:rPr>
    </w:lvl>
    <w:lvl w:ilvl="3" w:tplc="27C638D6" w:tentative="1">
      <w:start w:val="1"/>
      <w:numFmt w:val="bullet"/>
      <w:lvlText w:val=""/>
      <w:lvlJc w:val="left"/>
      <w:pPr>
        <w:tabs>
          <w:tab w:val="num" w:pos="2880"/>
        </w:tabs>
        <w:ind w:left="2880" w:hanging="360"/>
      </w:pPr>
      <w:rPr>
        <w:rFonts w:ascii="Symbol" w:hAnsi="Symbol" w:hint="default"/>
      </w:rPr>
    </w:lvl>
    <w:lvl w:ilvl="4" w:tplc="C73CE43A" w:tentative="1">
      <w:start w:val="1"/>
      <w:numFmt w:val="bullet"/>
      <w:lvlText w:val="o"/>
      <w:lvlJc w:val="left"/>
      <w:pPr>
        <w:tabs>
          <w:tab w:val="num" w:pos="3600"/>
        </w:tabs>
        <w:ind w:left="3600" w:hanging="360"/>
      </w:pPr>
      <w:rPr>
        <w:rFonts w:ascii="Courier New" w:hAnsi="Courier New" w:cs="Courier New" w:hint="default"/>
      </w:rPr>
    </w:lvl>
    <w:lvl w:ilvl="5" w:tplc="40A8C5B6" w:tentative="1">
      <w:start w:val="1"/>
      <w:numFmt w:val="bullet"/>
      <w:lvlText w:val=""/>
      <w:lvlJc w:val="left"/>
      <w:pPr>
        <w:tabs>
          <w:tab w:val="num" w:pos="4320"/>
        </w:tabs>
        <w:ind w:left="4320" w:hanging="360"/>
      </w:pPr>
      <w:rPr>
        <w:rFonts w:ascii="Wingdings" w:hAnsi="Wingdings" w:hint="default"/>
      </w:rPr>
    </w:lvl>
    <w:lvl w:ilvl="6" w:tplc="61E893A0" w:tentative="1">
      <w:start w:val="1"/>
      <w:numFmt w:val="bullet"/>
      <w:lvlText w:val=""/>
      <w:lvlJc w:val="left"/>
      <w:pPr>
        <w:tabs>
          <w:tab w:val="num" w:pos="5040"/>
        </w:tabs>
        <w:ind w:left="5040" w:hanging="360"/>
      </w:pPr>
      <w:rPr>
        <w:rFonts w:ascii="Symbol" w:hAnsi="Symbol" w:hint="default"/>
      </w:rPr>
    </w:lvl>
    <w:lvl w:ilvl="7" w:tplc="ED6A98F6" w:tentative="1">
      <w:start w:val="1"/>
      <w:numFmt w:val="bullet"/>
      <w:lvlText w:val="o"/>
      <w:lvlJc w:val="left"/>
      <w:pPr>
        <w:tabs>
          <w:tab w:val="num" w:pos="5760"/>
        </w:tabs>
        <w:ind w:left="5760" w:hanging="360"/>
      </w:pPr>
      <w:rPr>
        <w:rFonts w:ascii="Courier New" w:hAnsi="Courier New" w:cs="Courier New" w:hint="default"/>
      </w:rPr>
    </w:lvl>
    <w:lvl w:ilvl="8" w:tplc="AA0408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16BFD"/>
    <w:multiLevelType w:val="hybridMultilevel"/>
    <w:tmpl w:val="4E06C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B54A7A"/>
    <w:multiLevelType w:val="hybridMultilevel"/>
    <w:tmpl w:val="CCD0C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F1172D"/>
    <w:multiLevelType w:val="hybridMultilevel"/>
    <w:tmpl w:val="B61CD92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532BE"/>
    <w:multiLevelType w:val="hybridMultilevel"/>
    <w:tmpl w:val="B850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1358E"/>
    <w:multiLevelType w:val="hybridMultilevel"/>
    <w:tmpl w:val="2AD6C03E"/>
    <w:lvl w:ilvl="0" w:tplc="FFFFFFFF">
      <w:start w:val="1"/>
      <w:numFmt w:val="bullet"/>
      <w:lvlText w:val=""/>
      <w:lvlJc w:val="left"/>
      <w:pPr>
        <w:tabs>
          <w:tab w:val="num" w:pos="360"/>
        </w:tabs>
        <w:ind w:left="360" w:hanging="360"/>
      </w:pPr>
      <w:rPr>
        <w:rFonts w:ascii="Symbol" w:hAnsi="Symbol" w:hint="default"/>
      </w:rPr>
    </w:lvl>
    <w:lvl w:ilvl="1" w:tplc="EB68A77E">
      <w:numFmt w:val="bullet"/>
      <w:lvlText w:val="•"/>
      <w:lvlJc w:val="left"/>
      <w:pPr>
        <w:ind w:left="1800" w:hanging="720"/>
      </w:pPr>
      <w:rPr>
        <w:rFonts w:ascii="Times New Roman" w:eastAsia="Times New Roman" w:hAnsi="Times New Roman" w:cs="Times New Roman"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51872"/>
    <w:multiLevelType w:val="hybridMultilevel"/>
    <w:tmpl w:val="0B285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514958"/>
    <w:multiLevelType w:val="hybridMultilevel"/>
    <w:tmpl w:val="D4DCB99C"/>
    <w:lvl w:ilvl="0" w:tplc="FFFFFFFF">
      <w:start w:val="1"/>
      <w:numFmt w:val="bullet"/>
      <w:lvlText w:val=""/>
      <w:lvlJc w:val="left"/>
      <w:pPr>
        <w:tabs>
          <w:tab w:val="num" w:pos="360"/>
        </w:tabs>
        <w:ind w:left="360" w:hanging="360"/>
      </w:pPr>
      <w:rPr>
        <w:rFonts w:ascii="Symbol" w:hAnsi="Symbol" w:hint="default"/>
      </w:rPr>
    </w:lvl>
    <w:lvl w:ilvl="1" w:tplc="B6EAB1A4">
      <w:start w:val="1"/>
      <w:numFmt w:val="bullet"/>
      <w:lvlText w:val=""/>
      <w:lvlJc w:val="left"/>
      <w:pPr>
        <w:tabs>
          <w:tab w:val="num" w:pos="1403"/>
        </w:tabs>
        <w:ind w:left="1403" w:hanging="683"/>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FD20FB"/>
    <w:multiLevelType w:val="hybridMultilevel"/>
    <w:tmpl w:val="A4F4BB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35B6B07"/>
    <w:multiLevelType w:val="hybridMultilevel"/>
    <w:tmpl w:val="52E45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BC7D8E"/>
    <w:multiLevelType w:val="hybridMultilevel"/>
    <w:tmpl w:val="F3BE5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F1153C"/>
    <w:multiLevelType w:val="hybridMultilevel"/>
    <w:tmpl w:val="97A4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4"/>
  </w:num>
  <w:num w:numId="14">
    <w:abstractNumId w:val="17"/>
  </w:num>
  <w:num w:numId="15">
    <w:abstractNumId w:val="16"/>
  </w:num>
  <w:num w:numId="16">
    <w:abstractNumId w:val="21"/>
  </w:num>
  <w:num w:numId="17">
    <w:abstractNumId w:val="19"/>
  </w:num>
  <w:num w:numId="18">
    <w:abstractNumId w:val="12"/>
  </w:num>
  <w:num w:numId="19">
    <w:abstractNumId w:val="15"/>
  </w:num>
  <w:num w:numId="20">
    <w:abstractNumId w:val="13"/>
  </w:num>
  <w:num w:numId="21">
    <w:abstractNumId w:val="10"/>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5A"/>
    <w:rsid w:val="00006CF1"/>
    <w:rsid w:val="000100CA"/>
    <w:rsid w:val="00015C38"/>
    <w:rsid w:val="000170C7"/>
    <w:rsid w:val="00020B73"/>
    <w:rsid w:val="00031A82"/>
    <w:rsid w:val="00032A8B"/>
    <w:rsid w:val="000364B9"/>
    <w:rsid w:val="00036D8A"/>
    <w:rsid w:val="00036FFD"/>
    <w:rsid w:val="000373DF"/>
    <w:rsid w:val="00043232"/>
    <w:rsid w:val="0004511B"/>
    <w:rsid w:val="000568EE"/>
    <w:rsid w:val="000658A9"/>
    <w:rsid w:val="00067959"/>
    <w:rsid w:val="000748CF"/>
    <w:rsid w:val="00075047"/>
    <w:rsid w:val="000763F8"/>
    <w:rsid w:val="00077A0B"/>
    <w:rsid w:val="000876A8"/>
    <w:rsid w:val="000937B5"/>
    <w:rsid w:val="000955EF"/>
    <w:rsid w:val="000969D0"/>
    <w:rsid w:val="000A0AA6"/>
    <w:rsid w:val="000A29EF"/>
    <w:rsid w:val="000A635B"/>
    <w:rsid w:val="000A7B23"/>
    <w:rsid w:val="000B1448"/>
    <w:rsid w:val="000C00A7"/>
    <w:rsid w:val="000C4721"/>
    <w:rsid w:val="000C6E34"/>
    <w:rsid w:val="000D5850"/>
    <w:rsid w:val="000E1ECD"/>
    <w:rsid w:val="000E4CAD"/>
    <w:rsid w:val="000E4DEF"/>
    <w:rsid w:val="000E59DD"/>
    <w:rsid w:val="000E5CAD"/>
    <w:rsid w:val="001003CB"/>
    <w:rsid w:val="00100C59"/>
    <w:rsid w:val="001075B0"/>
    <w:rsid w:val="00107FC0"/>
    <w:rsid w:val="00113B67"/>
    <w:rsid w:val="00115418"/>
    <w:rsid w:val="00115EA1"/>
    <w:rsid w:val="00120120"/>
    <w:rsid w:val="00120B07"/>
    <w:rsid w:val="001231BC"/>
    <w:rsid w:val="00123D3E"/>
    <w:rsid w:val="001262FB"/>
    <w:rsid w:val="00134133"/>
    <w:rsid w:val="00136C9A"/>
    <w:rsid w:val="00141973"/>
    <w:rsid w:val="00147735"/>
    <w:rsid w:val="00150B4A"/>
    <w:rsid w:val="00152A23"/>
    <w:rsid w:val="0015361F"/>
    <w:rsid w:val="00155D49"/>
    <w:rsid w:val="00160A25"/>
    <w:rsid w:val="00164195"/>
    <w:rsid w:val="00167E13"/>
    <w:rsid w:val="0017060E"/>
    <w:rsid w:val="001716D8"/>
    <w:rsid w:val="001745EB"/>
    <w:rsid w:val="00176380"/>
    <w:rsid w:val="00177720"/>
    <w:rsid w:val="0018221B"/>
    <w:rsid w:val="00184EE3"/>
    <w:rsid w:val="001912D6"/>
    <w:rsid w:val="00191647"/>
    <w:rsid w:val="00191BCC"/>
    <w:rsid w:val="00191DAB"/>
    <w:rsid w:val="00192D8F"/>
    <w:rsid w:val="00193BA6"/>
    <w:rsid w:val="00194C41"/>
    <w:rsid w:val="001A2CB0"/>
    <w:rsid w:val="001B08E1"/>
    <w:rsid w:val="001B27EE"/>
    <w:rsid w:val="001B53FE"/>
    <w:rsid w:val="001B7616"/>
    <w:rsid w:val="001C25FB"/>
    <w:rsid w:val="001C608D"/>
    <w:rsid w:val="001C73BF"/>
    <w:rsid w:val="001D0277"/>
    <w:rsid w:val="001D0DB9"/>
    <w:rsid w:val="001D133C"/>
    <w:rsid w:val="001D6239"/>
    <w:rsid w:val="001D7F21"/>
    <w:rsid w:val="001E2352"/>
    <w:rsid w:val="001E6A6C"/>
    <w:rsid w:val="001F3899"/>
    <w:rsid w:val="001F5500"/>
    <w:rsid w:val="00200424"/>
    <w:rsid w:val="00200697"/>
    <w:rsid w:val="00200C70"/>
    <w:rsid w:val="00204696"/>
    <w:rsid w:val="0020493E"/>
    <w:rsid w:val="00204AF6"/>
    <w:rsid w:val="00205478"/>
    <w:rsid w:val="0020573B"/>
    <w:rsid w:val="002069E2"/>
    <w:rsid w:val="0021239F"/>
    <w:rsid w:val="00213FD9"/>
    <w:rsid w:val="00214C6A"/>
    <w:rsid w:val="002150DD"/>
    <w:rsid w:val="0021645D"/>
    <w:rsid w:val="002167EB"/>
    <w:rsid w:val="002242FC"/>
    <w:rsid w:val="00224391"/>
    <w:rsid w:val="002335CA"/>
    <w:rsid w:val="00234C04"/>
    <w:rsid w:val="002367FB"/>
    <w:rsid w:val="00237077"/>
    <w:rsid w:val="002372CD"/>
    <w:rsid w:val="00240022"/>
    <w:rsid w:val="00245EB6"/>
    <w:rsid w:val="00255BC3"/>
    <w:rsid w:val="002605C7"/>
    <w:rsid w:val="00260C85"/>
    <w:rsid w:val="0026217A"/>
    <w:rsid w:val="002668E2"/>
    <w:rsid w:val="0027064A"/>
    <w:rsid w:val="00270DF0"/>
    <w:rsid w:val="0027226F"/>
    <w:rsid w:val="00273020"/>
    <w:rsid w:val="00273AD5"/>
    <w:rsid w:val="002741A6"/>
    <w:rsid w:val="00274E65"/>
    <w:rsid w:val="00276041"/>
    <w:rsid w:val="0027707C"/>
    <w:rsid w:val="00277C41"/>
    <w:rsid w:val="0028198A"/>
    <w:rsid w:val="00291A46"/>
    <w:rsid w:val="00293E07"/>
    <w:rsid w:val="002949A2"/>
    <w:rsid w:val="002A36A4"/>
    <w:rsid w:val="002A4969"/>
    <w:rsid w:val="002A5B22"/>
    <w:rsid w:val="002B121F"/>
    <w:rsid w:val="002B3142"/>
    <w:rsid w:val="002B35F2"/>
    <w:rsid w:val="002B4918"/>
    <w:rsid w:val="002B55E6"/>
    <w:rsid w:val="002B6792"/>
    <w:rsid w:val="002B73E4"/>
    <w:rsid w:val="002C32FD"/>
    <w:rsid w:val="002D4CBF"/>
    <w:rsid w:val="002D54F8"/>
    <w:rsid w:val="002D6C2C"/>
    <w:rsid w:val="002D7DB5"/>
    <w:rsid w:val="002D7F5D"/>
    <w:rsid w:val="002E1606"/>
    <w:rsid w:val="002E2E5E"/>
    <w:rsid w:val="002E55F3"/>
    <w:rsid w:val="002E645D"/>
    <w:rsid w:val="002E7359"/>
    <w:rsid w:val="002F2147"/>
    <w:rsid w:val="002F63B2"/>
    <w:rsid w:val="00302E15"/>
    <w:rsid w:val="003036CF"/>
    <w:rsid w:val="003064D2"/>
    <w:rsid w:val="00307848"/>
    <w:rsid w:val="003114EE"/>
    <w:rsid w:val="003120AB"/>
    <w:rsid w:val="0031478C"/>
    <w:rsid w:val="00316D99"/>
    <w:rsid w:val="00317761"/>
    <w:rsid w:val="003224E0"/>
    <w:rsid w:val="0032300D"/>
    <w:rsid w:val="0032555C"/>
    <w:rsid w:val="00326E74"/>
    <w:rsid w:val="00331409"/>
    <w:rsid w:val="00344FDE"/>
    <w:rsid w:val="003458A8"/>
    <w:rsid w:val="0034711D"/>
    <w:rsid w:val="00350E6B"/>
    <w:rsid w:val="00352606"/>
    <w:rsid w:val="00355CEF"/>
    <w:rsid w:val="0035766D"/>
    <w:rsid w:val="00357F40"/>
    <w:rsid w:val="0036428D"/>
    <w:rsid w:val="00373D58"/>
    <w:rsid w:val="00374D24"/>
    <w:rsid w:val="00377420"/>
    <w:rsid w:val="00382959"/>
    <w:rsid w:val="0038703B"/>
    <w:rsid w:val="00393DEA"/>
    <w:rsid w:val="003A0030"/>
    <w:rsid w:val="003A76F2"/>
    <w:rsid w:val="003B5E10"/>
    <w:rsid w:val="003B6F18"/>
    <w:rsid w:val="003C06A2"/>
    <w:rsid w:val="003C13BE"/>
    <w:rsid w:val="003C2382"/>
    <w:rsid w:val="003C3C0E"/>
    <w:rsid w:val="003C432C"/>
    <w:rsid w:val="003C440B"/>
    <w:rsid w:val="003C46CC"/>
    <w:rsid w:val="003C7E45"/>
    <w:rsid w:val="003D1773"/>
    <w:rsid w:val="003D4AD6"/>
    <w:rsid w:val="003D5A69"/>
    <w:rsid w:val="003E2A83"/>
    <w:rsid w:val="003E2AD9"/>
    <w:rsid w:val="003E4EBB"/>
    <w:rsid w:val="003E59B0"/>
    <w:rsid w:val="003E6C7E"/>
    <w:rsid w:val="003F0372"/>
    <w:rsid w:val="003F248B"/>
    <w:rsid w:val="003F5B1C"/>
    <w:rsid w:val="003F5F2D"/>
    <w:rsid w:val="004038AB"/>
    <w:rsid w:val="00404464"/>
    <w:rsid w:val="00412CA0"/>
    <w:rsid w:val="0042078D"/>
    <w:rsid w:val="00423F11"/>
    <w:rsid w:val="00426FCD"/>
    <w:rsid w:val="0042712B"/>
    <w:rsid w:val="004304CE"/>
    <w:rsid w:val="004364B1"/>
    <w:rsid w:val="00437CB0"/>
    <w:rsid w:val="00441741"/>
    <w:rsid w:val="00444CCA"/>
    <w:rsid w:val="004450A0"/>
    <w:rsid w:val="00445937"/>
    <w:rsid w:val="00446844"/>
    <w:rsid w:val="00446CA9"/>
    <w:rsid w:val="00454825"/>
    <w:rsid w:val="0045617D"/>
    <w:rsid w:val="004561C8"/>
    <w:rsid w:val="00461366"/>
    <w:rsid w:val="00463E08"/>
    <w:rsid w:val="004644D0"/>
    <w:rsid w:val="00465120"/>
    <w:rsid w:val="00466218"/>
    <w:rsid w:val="004731A1"/>
    <w:rsid w:val="0047377E"/>
    <w:rsid w:val="004737D7"/>
    <w:rsid w:val="004751BC"/>
    <w:rsid w:val="00475E97"/>
    <w:rsid w:val="00480EF6"/>
    <w:rsid w:val="0048147B"/>
    <w:rsid w:val="00482E51"/>
    <w:rsid w:val="00484CAB"/>
    <w:rsid w:val="00494AC8"/>
    <w:rsid w:val="004951ED"/>
    <w:rsid w:val="004A6CFA"/>
    <w:rsid w:val="004B2522"/>
    <w:rsid w:val="004B4C2D"/>
    <w:rsid w:val="004B4FEA"/>
    <w:rsid w:val="004B5339"/>
    <w:rsid w:val="004B60B6"/>
    <w:rsid w:val="004B6891"/>
    <w:rsid w:val="004B7DD3"/>
    <w:rsid w:val="004B7F2C"/>
    <w:rsid w:val="004C0F17"/>
    <w:rsid w:val="004C7706"/>
    <w:rsid w:val="004D04BC"/>
    <w:rsid w:val="004D33DA"/>
    <w:rsid w:val="004D4AF6"/>
    <w:rsid w:val="004D5125"/>
    <w:rsid w:val="004D5B1D"/>
    <w:rsid w:val="004E029A"/>
    <w:rsid w:val="004E2ED2"/>
    <w:rsid w:val="004E3791"/>
    <w:rsid w:val="004E4781"/>
    <w:rsid w:val="004E6DA5"/>
    <w:rsid w:val="004F0202"/>
    <w:rsid w:val="004F07B2"/>
    <w:rsid w:val="004F1090"/>
    <w:rsid w:val="004F2F65"/>
    <w:rsid w:val="00511F0E"/>
    <w:rsid w:val="0051327C"/>
    <w:rsid w:val="00513D34"/>
    <w:rsid w:val="005143F3"/>
    <w:rsid w:val="00517744"/>
    <w:rsid w:val="00517B32"/>
    <w:rsid w:val="0052002A"/>
    <w:rsid w:val="005250DE"/>
    <w:rsid w:val="005253E3"/>
    <w:rsid w:val="005303D2"/>
    <w:rsid w:val="0053047F"/>
    <w:rsid w:val="0053466A"/>
    <w:rsid w:val="00535171"/>
    <w:rsid w:val="00536703"/>
    <w:rsid w:val="0054166C"/>
    <w:rsid w:val="00541697"/>
    <w:rsid w:val="005435D3"/>
    <w:rsid w:val="0054565B"/>
    <w:rsid w:val="005538DF"/>
    <w:rsid w:val="00556957"/>
    <w:rsid w:val="005642E2"/>
    <w:rsid w:val="00573C8D"/>
    <w:rsid w:val="005757B9"/>
    <w:rsid w:val="005765A3"/>
    <w:rsid w:val="00576A6E"/>
    <w:rsid w:val="00577590"/>
    <w:rsid w:val="0058081B"/>
    <w:rsid w:val="00580E01"/>
    <w:rsid w:val="005854BC"/>
    <w:rsid w:val="00585FE9"/>
    <w:rsid w:val="00587216"/>
    <w:rsid w:val="005910CE"/>
    <w:rsid w:val="005921A2"/>
    <w:rsid w:val="00596BFC"/>
    <w:rsid w:val="005979C5"/>
    <w:rsid w:val="005A0A0E"/>
    <w:rsid w:val="005B0CDC"/>
    <w:rsid w:val="005B2BD0"/>
    <w:rsid w:val="005B2E28"/>
    <w:rsid w:val="005B3BF7"/>
    <w:rsid w:val="005C15B9"/>
    <w:rsid w:val="005C2753"/>
    <w:rsid w:val="005C2E4E"/>
    <w:rsid w:val="005C4239"/>
    <w:rsid w:val="005C4909"/>
    <w:rsid w:val="005C726A"/>
    <w:rsid w:val="005D2286"/>
    <w:rsid w:val="005D2305"/>
    <w:rsid w:val="005D45F9"/>
    <w:rsid w:val="005E2B1B"/>
    <w:rsid w:val="005E327B"/>
    <w:rsid w:val="005E3A92"/>
    <w:rsid w:val="005E4259"/>
    <w:rsid w:val="005E46D9"/>
    <w:rsid w:val="005E59C9"/>
    <w:rsid w:val="005E5FA4"/>
    <w:rsid w:val="005E6BD4"/>
    <w:rsid w:val="005F061C"/>
    <w:rsid w:val="005F2F7F"/>
    <w:rsid w:val="005F5A52"/>
    <w:rsid w:val="005F5F4E"/>
    <w:rsid w:val="0060506C"/>
    <w:rsid w:val="00607A39"/>
    <w:rsid w:val="006136E0"/>
    <w:rsid w:val="00616AD4"/>
    <w:rsid w:val="0062034D"/>
    <w:rsid w:val="00621178"/>
    <w:rsid w:val="00622BFF"/>
    <w:rsid w:val="00622E35"/>
    <w:rsid w:val="00626F1C"/>
    <w:rsid w:val="00631A74"/>
    <w:rsid w:val="006368B4"/>
    <w:rsid w:val="0064127C"/>
    <w:rsid w:val="0064132A"/>
    <w:rsid w:val="00643DB9"/>
    <w:rsid w:val="006447B2"/>
    <w:rsid w:val="0064537E"/>
    <w:rsid w:val="006455EC"/>
    <w:rsid w:val="00646A62"/>
    <w:rsid w:val="00651A54"/>
    <w:rsid w:val="00656747"/>
    <w:rsid w:val="00662B56"/>
    <w:rsid w:val="00664D3D"/>
    <w:rsid w:val="00666962"/>
    <w:rsid w:val="00667B0E"/>
    <w:rsid w:val="00671794"/>
    <w:rsid w:val="006724EE"/>
    <w:rsid w:val="00673171"/>
    <w:rsid w:val="00677244"/>
    <w:rsid w:val="00677319"/>
    <w:rsid w:val="006844AF"/>
    <w:rsid w:val="006860DD"/>
    <w:rsid w:val="00686AF2"/>
    <w:rsid w:val="00690E92"/>
    <w:rsid w:val="00690F95"/>
    <w:rsid w:val="00692E08"/>
    <w:rsid w:val="00694CA1"/>
    <w:rsid w:val="00697E12"/>
    <w:rsid w:val="006A256A"/>
    <w:rsid w:val="006A4A97"/>
    <w:rsid w:val="006A5323"/>
    <w:rsid w:val="006B64F8"/>
    <w:rsid w:val="006C1945"/>
    <w:rsid w:val="006C1B86"/>
    <w:rsid w:val="006C1E5A"/>
    <w:rsid w:val="006D2A12"/>
    <w:rsid w:val="006D4404"/>
    <w:rsid w:val="006D4FA0"/>
    <w:rsid w:val="006D5F59"/>
    <w:rsid w:val="006D6009"/>
    <w:rsid w:val="006D6133"/>
    <w:rsid w:val="006E34D9"/>
    <w:rsid w:val="006F58FF"/>
    <w:rsid w:val="006F5A97"/>
    <w:rsid w:val="00700AC8"/>
    <w:rsid w:val="00711B1A"/>
    <w:rsid w:val="0071520E"/>
    <w:rsid w:val="007161B1"/>
    <w:rsid w:val="00717FDD"/>
    <w:rsid w:val="0072021F"/>
    <w:rsid w:val="007230E3"/>
    <w:rsid w:val="0072357E"/>
    <w:rsid w:val="0072387D"/>
    <w:rsid w:val="00725416"/>
    <w:rsid w:val="00726936"/>
    <w:rsid w:val="007346C6"/>
    <w:rsid w:val="00734C08"/>
    <w:rsid w:val="007378DF"/>
    <w:rsid w:val="007431F4"/>
    <w:rsid w:val="00745D81"/>
    <w:rsid w:val="00745EB7"/>
    <w:rsid w:val="00760387"/>
    <w:rsid w:val="00761C59"/>
    <w:rsid w:val="00763618"/>
    <w:rsid w:val="00763C3F"/>
    <w:rsid w:val="00767C35"/>
    <w:rsid w:val="007712CE"/>
    <w:rsid w:val="007767DF"/>
    <w:rsid w:val="007827A8"/>
    <w:rsid w:val="007927EB"/>
    <w:rsid w:val="00792DC4"/>
    <w:rsid w:val="007977EC"/>
    <w:rsid w:val="007A2716"/>
    <w:rsid w:val="007A3BAD"/>
    <w:rsid w:val="007A5075"/>
    <w:rsid w:val="007A6722"/>
    <w:rsid w:val="007A69D2"/>
    <w:rsid w:val="007A6D6A"/>
    <w:rsid w:val="007A730F"/>
    <w:rsid w:val="007B22A4"/>
    <w:rsid w:val="007B65E9"/>
    <w:rsid w:val="007B77D5"/>
    <w:rsid w:val="007C117A"/>
    <w:rsid w:val="007C28DD"/>
    <w:rsid w:val="007C545E"/>
    <w:rsid w:val="007C651F"/>
    <w:rsid w:val="007C729B"/>
    <w:rsid w:val="007D2D4A"/>
    <w:rsid w:val="007D346D"/>
    <w:rsid w:val="007D3CAE"/>
    <w:rsid w:val="007D4850"/>
    <w:rsid w:val="007E24E2"/>
    <w:rsid w:val="007E385A"/>
    <w:rsid w:val="007E4A19"/>
    <w:rsid w:val="007E5DB7"/>
    <w:rsid w:val="007F16DC"/>
    <w:rsid w:val="007F2574"/>
    <w:rsid w:val="007F3D0D"/>
    <w:rsid w:val="007F7C27"/>
    <w:rsid w:val="00802757"/>
    <w:rsid w:val="00806A7D"/>
    <w:rsid w:val="00812A94"/>
    <w:rsid w:val="00813587"/>
    <w:rsid w:val="00813D3A"/>
    <w:rsid w:val="008149EA"/>
    <w:rsid w:val="008171DC"/>
    <w:rsid w:val="008221AE"/>
    <w:rsid w:val="0082231A"/>
    <w:rsid w:val="008326E1"/>
    <w:rsid w:val="00832EF0"/>
    <w:rsid w:val="00834993"/>
    <w:rsid w:val="00836C86"/>
    <w:rsid w:val="00841B41"/>
    <w:rsid w:val="00842CB3"/>
    <w:rsid w:val="008439CD"/>
    <w:rsid w:val="008465CC"/>
    <w:rsid w:val="0084721B"/>
    <w:rsid w:val="008508EC"/>
    <w:rsid w:val="00851006"/>
    <w:rsid w:val="008546A6"/>
    <w:rsid w:val="008549AE"/>
    <w:rsid w:val="00855D8F"/>
    <w:rsid w:val="00857843"/>
    <w:rsid w:val="00857BBC"/>
    <w:rsid w:val="0086172E"/>
    <w:rsid w:val="00863487"/>
    <w:rsid w:val="00863FAB"/>
    <w:rsid w:val="00866911"/>
    <w:rsid w:val="008674C1"/>
    <w:rsid w:val="00871080"/>
    <w:rsid w:val="00871488"/>
    <w:rsid w:val="00872C97"/>
    <w:rsid w:val="008732CB"/>
    <w:rsid w:val="008858AE"/>
    <w:rsid w:val="00887A26"/>
    <w:rsid w:val="0089040C"/>
    <w:rsid w:val="00891045"/>
    <w:rsid w:val="00892AFD"/>
    <w:rsid w:val="00895147"/>
    <w:rsid w:val="008A3CE0"/>
    <w:rsid w:val="008A4E18"/>
    <w:rsid w:val="008A5EC8"/>
    <w:rsid w:val="008A74D2"/>
    <w:rsid w:val="008C0CF5"/>
    <w:rsid w:val="008D00CE"/>
    <w:rsid w:val="008D014F"/>
    <w:rsid w:val="008D19E4"/>
    <w:rsid w:val="008D55BD"/>
    <w:rsid w:val="008D5E00"/>
    <w:rsid w:val="008D6928"/>
    <w:rsid w:val="008E531A"/>
    <w:rsid w:val="008E747D"/>
    <w:rsid w:val="008E7B8E"/>
    <w:rsid w:val="008F3047"/>
    <w:rsid w:val="008F4F1A"/>
    <w:rsid w:val="008F5CBE"/>
    <w:rsid w:val="0090076B"/>
    <w:rsid w:val="00901E24"/>
    <w:rsid w:val="009110DE"/>
    <w:rsid w:val="00913477"/>
    <w:rsid w:val="009166FC"/>
    <w:rsid w:val="00916A04"/>
    <w:rsid w:val="009206A4"/>
    <w:rsid w:val="0092181D"/>
    <w:rsid w:val="00921944"/>
    <w:rsid w:val="00923CE7"/>
    <w:rsid w:val="00926365"/>
    <w:rsid w:val="0092764C"/>
    <w:rsid w:val="00930534"/>
    <w:rsid w:val="009350B4"/>
    <w:rsid w:val="009358CD"/>
    <w:rsid w:val="009376A0"/>
    <w:rsid w:val="00940CFE"/>
    <w:rsid w:val="0094301D"/>
    <w:rsid w:val="00945377"/>
    <w:rsid w:val="00945FF7"/>
    <w:rsid w:val="009526F4"/>
    <w:rsid w:val="009553DE"/>
    <w:rsid w:val="00955541"/>
    <w:rsid w:val="0096128A"/>
    <w:rsid w:val="009642ED"/>
    <w:rsid w:val="00965D59"/>
    <w:rsid w:val="00965F6A"/>
    <w:rsid w:val="00970387"/>
    <w:rsid w:val="0097164B"/>
    <w:rsid w:val="00981ACC"/>
    <w:rsid w:val="009831C8"/>
    <w:rsid w:val="009868D7"/>
    <w:rsid w:val="00986BDD"/>
    <w:rsid w:val="00987C95"/>
    <w:rsid w:val="00990E5E"/>
    <w:rsid w:val="009910EE"/>
    <w:rsid w:val="00992DF2"/>
    <w:rsid w:val="009948BE"/>
    <w:rsid w:val="009966E7"/>
    <w:rsid w:val="009973E2"/>
    <w:rsid w:val="009A0AB7"/>
    <w:rsid w:val="009A20BE"/>
    <w:rsid w:val="009A23DE"/>
    <w:rsid w:val="009A2E9C"/>
    <w:rsid w:val="009A31AD"/>
    <w:rsid w:val="009A364C"/>
    <w:rsid w:val="009B0ED0"/>
    <w:rsid w:val="009B2A82"/>
    <w:rsid w:val="009B4EC3"/>
    <w:rsid w:val="009B529C"/>
    <w:rsid w:val="009B61A5"/>
    <w:rsid w:val="009B76FE"/>
    <w:rsid w:val="009C0FB8"/>
    <w:rsid w:val="009C3AB2"/>
    <w:rsid w:val="009C43BA"/>
    <w:rsid w:val="009C6B5A"/>
    <w:rsid w:val="009D2D1B"/>
    <w:rsid w:val="009D3E99"/>
    <w:rsid w:val="009D4535"/>
    <w:rsid w:val="009D7498"/>
    <w:rsid w:val="009D7C3F"/>
    <w:rsid w:val="009E0792"/>
    <w:rsid w:val="009E2840"/>
    <w:rsid w:val="009E337B"/>
    <w:rsid w:val="009E4563"/>
    <w:rsid w:val="009E4DAB"/>
    <w:rsid w:val="009F1E58"/>
    <w:rsid w:val="009F4D81"/>
    <w:rsid w:val="009F6C70"/>
    <w:rsid w:val="009F7CBC"/>
    <w:rsid w:val="00A059F0"/>
    <w:rsid w:val="00A05BC8"/>
    <w:rsid w:val="00A12817"/>
    <w:rsid w:val="00A12D97"/>
    <w:rsid w:val="00A13289"/>
    <w:rsid w:val="00A15963"/>
    <w:rsid w:val="00A20421"/>
    <w:rsid w:val="00A23F99"/>
    <w:rsid w:val="00A27771"/>
    <w:rsid w:val="00A3291E"/>
    <w:rsid w:val="00A367ED"/>
    <w:rsid w:val="00A43158"/>
    <w:rsid w:val="00A43F5F"/>
    <w:rsid w:val="00A47E2E"/>
    <w:rsid w:val="00A50E30"/>
    <w:rsid w:val="00A51465"/>
    <w:rsid w:val="00A52CBD"/>
    <w:rsid w:val="00A54D10"/>
    <w:rsid w:val="00A55E65"/>
    <w:rsid w:val="00A569ED"/>
    <w:rsid w:val="00A6089F"/>
    <w:rsid w:val="00A62188"/>
    <w:rsid w:val="00A62E07"/>
    <w:rsid w:val="00A6425B"/>
    <w:rsid w:val="00A6467D"/>
    <w:rsid w:val="00A646B4"/>
    <w:rsid w:val="00A66A35"/>
    <w:rsid w:val="00A67C09"/>
    <w:rsid w:val="00A721E7"/>
    <w:rsid w:val="00A72F3B"/>
    <w:rsid w:val="00A76E77"/>
    <w:rsid w:val="00A775B0"/>
    <w:rsid w:val="00A86132"/>
    <w:rsid w:val="00A87349"/>
    <w:rsid w:val="00A91D58"/>
    <w:rsid w:val="00A93C5B"/>
    <w:rsid w:val="00A94579"/>
    <w:rsid w:val="00A945B1"/>
    <w:rsid w:val="00A97B02"/>
    <w:rsid w:val="00AA0A5F"/>
    <w:rsid w:val="00AA1AAD"/>
    <w:rsid w:val="00AA2D4A"/>
    <w:rsid w:val="00AB16E6"/>
    <w:rsid w:val="00AB2372"/>
    <w:rsid w:val="00AB3CC6"/>
    <w:rsid w:val="00AC0595"/>
    <w:rsid w:val="00AC33AB"/>
    <w:rsid w:val="00AC40B3"/>
    <w:rsid w:val="00AC62BC"/>
    <w:rsid w:val="00AC6583"/>
    <w:rsid w:val="00AD0A59"/>
    <w:rsid w:val="00AD6BB1"/>
    <w:rsid w:val="00AE006A"/>
    <w:rsid w:val="00AE03EA"/>
    <w:rsid w:val="00AE098F"/>
    <w:rsid w:val="00AE14C3"/>
    <w:rsid w:val="00AE1773"/>
    <w:rsid w:val="00AE1F03"/>
    <w:rsid w:val="00AE452F"/>
    <w:rsid w:val="00AE7B11"/>
    <w:rsid w:val="00B02AE4"/>
    <w:rsid w:val="00B05A72"/>
    <w:rsid w:val="00B07AAE"/>
    <w:rsid w:val="00B103EC"/>
    <w:rsid w:val="00B10561"/>
    <w:rsid w:val="00B123C1"/>
    <w:rsid w:val="00B1362B"/>
    <w:rsid w:val="00B139DA"/>
    <w:rsid w:val="00B16753"/>
    <w:rsid w:val="00B22DC4"/>
    <w:rsid w:val="00B26ECC"/>
    <w:rsid w:val="00B27C33"/>
    <w:rsid w:val="00B32F27"/>
    <w:rsid w:val="00B34C18"/>
    <w:rsid w:val="00B35F90"/>
    <w:rsid w:val="00B374A7"/>
    <w:rsid w:val="00B37A4D"/>
    <w:rsid w:val="00B4023E"/>
    <w:rsid w:val="00B423B7"/>
    <w:rsid w:val="00B423F5"/>
    <w:rsid w:val="00B46AAD"/>
    <w:rsid w:val="00B4725C"/>
    <w:rsid w:val="00B5736D"/>
    <w:rsid w:val="00B62165"/>
    <w:rsid w:val="00B63183"/>
    <w:rsid w:val="00B6680F"/>
    <w:rsid w:val="00B668E0"/>
    <w:rsid w:val="00B70447"/>
    <w:rsid w:val="00B709B8"/>
    <w:rsid w:val="00B753E4"/>
    <w:rsid w:val="00B75404"/>
    <w:rsid w:val="00B81972"/>
    <w:rsid w:val="00B85BD3"/>
    <w:rsid w:val="00B9227B"/>
    <w:rsid w:val="00B93F82"/>
    <w:rsid w:val="00BA0DA5"/>
    <w:rsid w:val="00BA1978"/>
    <w:rsid w:val="00BA235F"/>
    <w:rsid w:val="00BA2E1B"/>
    <w:rsid w:val="00BA5334"/>
    <w:rsid w:val="00BA6337"/>
    <w:rsid w:val="00BA7CEF"/>
    <w:rsid w:val="00BB0344"/>
    <w:rsid w:val="00BB3B6C"/>
    <w:rsid w:val="00BB3F30"/>
    <w:rsid w:val="00BB55B4"/>
    <w:rsid w:val="00BC0DD4"/>
    <w:rsid w:val="00BC11F7"/>
    <w:rsid w:val="00BC3672"/>
    <w:rsid w:val="00BC50FC"/>
    <w:rsid w:val="00BC63CA"/>
    <w:rsid w:val="00BD06BA"/>
    <w:rsid w:val="00BD1FAB"/>
    <w:rsid w:val="00BD4A8D"/>
    <w:rsid w:val="00BE2BFB"/>
    <w:rsid w:val="00BE2DEE"/>
    <w:rsid w:val="00BE36DD"/>
    <w:rsid w:val="00BE7674"/>
    <w:rsid w:val="00BF04E0"/>
    <w:rsid w:val="00BF48CD"/>
    <w:rsid w:val="00C02993"/>
    <w:rsid w:val="00C06DD7"/>
    <w:rsid w:val="00C171D5"/>
    <w:rsid w:val="00C179E0"/>
    <w:rsid w:val="00C212C2"/>
    <w:rsid w:val="00C21812"/>
    <w:rsid w:val="00C21CBC"/>
    <w:rsid w:val="00C2225C"/>
    <w:rsid w:val="00C232F4"/>
    <w:rsid w:val="00C23688"/>
    <w:rsid w:val="00C25B45"/>
    <w:rsid w:val="00C27A1D"/>
    <w:rsid w:val="00C27AEE"/>
    <w:rsid w:val="00C30C12"/>
    <w:rsid w:val="00C323B1"/>
    <w:rsid w:val="00C34342"/>
    <w:rsid w:val="00C355D7"/>
    <w:rsid w:val="00C36001"/>
    <w:rsid w:val="00C40974"/>
    <w:rsid w:val="00C416BF"/>
    <w:rsid w:val="00C44F57"/>
    <w:rsid w:val="00C45E33"/>
    <w:rsid w:val="00C47BFF"/>
    <w:rsid w:val="00C52811"/>
    <w:rsid w:val="00C53003"/>
    <w:rsid w:val="00C572CC"/>
    <w:rsid w:val="00C579DA"/>
    <w:rsid w:val="00C61186"/>
    <w:rsid w:val="00C62855"/>
    <w:rsid w:val="00C639D2"/>
    <w:rsid w:val="00C64A81"/>
    <w:rsid w:val="00C66CC7"/>
    <w:rsid w:val="00C67994"/>
    <w:rsid w:val="00C7195D"/>
    <w:rsid w:val="00C74299"/>
    <w:rsid w:val="00C75585"/>
    <w:rsid w:val="00C756B0"/>
    <w:rsid w:val="00C758EF"/>
    <w:rsid w:val="00C76B63"/>
    <w:rsid w:val="00C8058B"/>
    <w:rsid w:val="00C844DA"/>
    <w:rsid w:val="00C8570B"/>
    <w:rsid w:val="00C85724"/>
    <w:rsid w:val="00C85F5C"/>
    <w:rsid w:val="00C86E14"/>
    <w:rsid w:val="00C903FE"/>
    <w:rsid w:val="00C91931"/>
    <w:rsid w:val="00C95F3E"/>
    <w:rsid w:val="00CA5A0F"/>
    <w:rsid w:val="00CA5D2A"/>
    <w:rsid w:val="00CA6A20"/>
    <w:rsid w:val="00CB0222"/>
    <w:rsid w:val="00CB6D7E"/>
    <w:rsid w:val="00CC23D6"/>
    <w:rsid w:val="00CC2932"/>
    <w:rsid w:val="00CC426C"/>
    <w:rsid w:val="00CC5084"/>
    <w:rsid w:val="00CC5249"/>
    <w:rsid w:val="00CC5317"/>
    <w:rsid w:val="00CC670D"/>
    <w:rsid w:val="00CC730B"/>
    <w:rsid w:val="00CD16EC"/>
    <w:rsid w:val="00CD7AA8"/>
    <w:rsid w:val="00CE16DB"/>
    <w:rsid w:val="00CE5E8E"/>
    <w:rsid w:val="00CF2344"/>
    <w:rsid w:val="00CF2A26"/>
    <w:rsid w:val="00CF322D"/>
    <w:rsid w:val="00CF5647"/>
    <w:rsid w:val="00CF6978"/>
    <w:rsid w:val="00CF77A1"/>
    <w:rsid w:val="00D03D1D"/>
    <w:rsid w:val="00D06B85"/>
    <w:rsid w:val="00D13B60"/>
    <w:rsid w:val="00D14682"/>
    <w:rsid w:val="00D159F2"/>
    <w:rsid w:val="00D202A5"/>
    <w:rsid w:val="00D20C9A"/>
    <w:rsid w:val="00D249A1"/>
    <w:rsid w:val="00D250F5"/>
    <w:rsid w:val="00D269E0"/>
    <w:rsid w:val="00D26E15"/>
    <w:rsid w:val="00D279DC"/>
    <w:rsid w:val="00D31227"/>
    <w:rsid w:val="00D31298"/>
    <w:rsid w:val="00D316EB"/>
    <w:rsid w:val="00D3288E"/>
    <w:rsid w:val="00D35D0E"/>
    <w:rsid w:val="00D4007F"/>
    <w:rsid w:val="00D4047B"/>
    <w:rsid w:val="00D4199F"/>
    <w:rsid w:val="00D43B9A"/>
    <w:rsid w:val="00D45C0A"/>
    <w:rsid w:val="00D50622"/>
    <w:rsid w:val="00D50EC2"/>
    <w:rsid w:val="00D50FE8"/>
    <w:rsid w:val="00D54289"/>
    <w:rsid w:val="00D5609C"/>
    <w:rsid w:val="00D569B7"/>
    <w:rsid w:val="00D62E1E"/>
    <w:rsid w:val="00D64B19"/>
    <w:rsid w:val="00D671AA"/>
    <w:rsid w:val="00D7221F"/>
    <w:rsid w:val="00D72533"/>
    <w:rsid w:val="00D81D90"/>
    <w:rsid w:val="00D86CA8"/>
    <w:rsid w:val="00D92B5A"/>
    <w:rsid w:val="00D94BAA"/>
    <w:rsid w:val="00D97FAA"/>
    <w:rsid w:val="00DA0CC5"/>
    <w:rsid w:val="00DA53E3"/>
    <w:rsid w:val="00DB4370"/>
    <w:rsid w:val="00DB44E6"/>
    <w:rsid w:val="00DB529E"/>
    <w:rsid w:val="00DB5BAF"/>
    <w:rsid w:val="00DC470D"/>
    <w:rsid w:val="00DC6C65"/>
    <w:rsid w:val="00DD0E20"/>
    <w:rsid w:val="00DD26BD"/>
    <w:rsid w:val="00DD34F6"/>
    <w:rsid w:val="00DD40E3"/>
    <w:rsid w:val="00DD42B7"/>
    <w:rsid w:val="00DE2B5C"/>
    <w:rsid w:val="00DE35E7"/>
    <w:rsid w:val="00DE3847"/>
    <w:rsid w:val="00DE45B2"/>
    <w:rsid w:val="00DE4FCD"/>
    <w:rsid w:val="00DE5F2D"/>
    <w:rsid w:val="00DE7297"/>
    <w:rsid w:val="00DF3079"/>
    <w:rsid w:val="00DF6034"/>
    <w:rsid w:val="00DF6042"/>
    <w:rsid w:val="00E007AF"/>
    <w:rsid w:val="00E007D0"/>
    <w:rsid w:val="00E02B09"/>
    <w:rsid w:val="00E04971"/>
    <w:rsid w:val="00E10228"/>
    <w:rsid w:val="00E10A76"/>
    <w:rsid w:val="00E12889"/>
    <w:rsid w:val="00E12A1D"/>
    <w:rsid w:val="00E21504"/>
    <w:rsid w:val="00E32E43"/>
    <w:rsid w:val="00E33DDC"/>
    <w:rsid w:val="00E34297"/>
    <w:rsid w:val="00E37C59"/>
    <w:rsid w:val="00E40304"/>
    <w:rsid w:val="00E43356"/>
    <w:rsid w:val="00E50770"/>
    <w:rsid w:val="00E519B8"/>
    <w:rsid w:val="00E5269F"/>
    <w:rsid w:val="00E6197F"/>
    <w:rsid w:val="00E645DE"/>
    <w:rsid w:val="00E666A3"/>
    <w:rsid w:val="00E66C33"/>
    <w:rsid w:val="00E77E32"/>
    <w:rsid w:val="00E86F1F"/>
    <w:rsid w:val="00E907A9"/>
    <w:rsid w:val="00E9139E"/>
    <w:rsid w:val="00E91D4F"/>
    <w:rsid w:val="00E91DDA"/>
    <w:rsid w:val="00E93103"/>
    <w:rsid w:val="00E95F33"/>
    <w:rsid w:val="00E96D17"/>
    <w:rsid w:val="00E975A7"/>
    <w:rsid w:val="00EA16EB"/>
    <w:rsid w:val="00EA3CE8"/>
    <w:rsid w:val="00EA6F7E"/>
    <w:rsid w:val="00EB227D"/>
    <w:rsid w:val="00EB2BE2"/>
    <w:rsid w:val="00EB53EC"/>
    <w:rsid w:val="00EB71C1"/>
    <w:rsid w:val="00EB77D3"/>
    <w:rsid w:val="00EC2528"/>
    <w:rsid w:val="00EC2B99"/>
    <w:rsid w:val="00EC2DBD"/>
    <w:rsid w:val="00EC3583"/>
    <w:rsid w:val="00EC66F9"/>
    <w:rsid w:val="00EC67C0"/>
    <w:rsid w:val="00EC7060"/>
    <w:rsid w:val="00ED0CF2"/>
    <w:rsid w:val="00ED304B"/>
    <w:rsid w:val="00ED3A15"/>
    <w:rsid w:val="00ED57AE"/>
    <w:rsid w:val="00ED5B53"/>
    <w:rsid w:val="00EE0E63"/>
    <w:rsid w:val="00EE15BA"/>
    <w:rsid w:val="00EE3493"/>
    <w:rsid w:val="00EE5031"/>
    <w:rsid w:val="00EE6567"/>
    <w:rsid w:val="00EF1558"/>
    <w:rsid w:val="00EF2C6A"/>
    <w:rsid w:val="00EF5F34"/>
    <w:rsid w:val="00F01450"/>
    <w:rsid w:val="00F04D8C"/>
    <w:rsid w:val="00F06159"/>
    <w:rsid w:val="00F10181"/>
    <w:rsid w:val="00F118B1"/>
    <w:rsid w:val="00F13734"/>
    <w:rsid w:val="00F143C1"/>
    <w:rsid w:val="00F14B3C"/>
    <w:rsid w:val="00F20E63"/>
    <w:rsid w:val="00F22BEA"/>
    <w:rsid w:val="00F2467F"/>
    <w:rsid w:val="00F25970"/>
    <w:rsid w:val="00F27CE1"/>
    <w:rsid w:val="00F3121B"/>
    <w:rsid w:val="00F34B13"/>
    <w:rsid w:val="00F356B3"/>
    <w:rsid w:val="00F36787"/>
    <w:rsid w:val="00F40D41"/>
    <w:rsid w:val="00F422B0"/>
    <w:rsid w:val="00F433F0"/>
    <w:rsid w:val="00F43654"/>
    <w:rsid w:val="00F44C4E"/>
    <w:rsid w:val="00F47349"/>
    <w:rsid w:val="00F5066D"/>
    <w:rsid w:val="00F51891"/>
    <w:rsid w:val="00F52A7A"/>
    <w:rsid w:val="00F5639E"/>
    <w:rsid w:val="00F57420"/>
    <w:rsid w:val="00F6020B"/>
    <w:rsid w:val="00F60873"/>
    <w:rsid w:val="00F609B7"/>
    <w:rsid w:val="00F61DB0"/>
    <w:rsid w:val="00F6259A"/>
    <w:rsid w:val="00F66833"/>
    <w:rsid w:val="00F6687A"/>
    <w:rsid w:val="00F6720C"/>
    <w:rsid w:val="00F73428"/>
    <w:rsid w:val="00F74754"/>
    <w:rsid w:val="00F75882"/>
    <w:rsid w:val="00F75903"/>
    <w:rsid w:val="00F77966"/>
    <w:rsid w:val="00F813ED"/>
    <w:rsid w:val="00F8320D"/>
    <w:rsid w:val="00F83354"/>
    <w:rsid w:val="00F84B06"/>
    <w:rsid w:val="00F85E58"/>
    <w:rsid w:val="00F85EB2"/>
    <w:rsid w:val="00F8677E"/>
    <w:rsid w:val="00F9003A"/>
    <w:rsid w:val="00F926EB"/>
    <w:rsid w:val="00F92C89"/>
    <w:rsid w:val="00F93D38"/>
    <w:rsid w:val="00F94212"/>
    <w:rsid w:val="00F943EE"/>
    <w:rsid w:val="00F94A7A"/>
    <w:rsid w:val="00F97AC8"/>
    <w:rsid w:val="00FA04DA"/>
    <w:rsid w:val="00FA0719"/>
    <w:rsid w:val="00FA13EE"/>
    <w:rsid w:val="00FA173D"/>
    <w:rsid w:val="00FA259E"/>
    <w:rsid w:val="00FA2D05"/>
    <w:rsid w:val="00FA3C83"/>
    <w:rsid w:val="00FA51C5"/>
    <w:rsid w:val="00FA55E0"/>
    <w:rsid w:val="00FA5CBD"/>
    <w:rsid w:val="00FA6D21"/>
    <w:rsid w:val="00FB1968"/>
    <w:rsid w:val="00FB306F"/>
    <w:rsid w:val="00FB406F"/>
    <w:rsid w:val="00FC09EE"/>
    <w:rsid w:val="00FC2471"/>
    <w:rsid w:val="00FC2668"/>
    <w:rsid w:val="00FC331E"/>
    <w:rsid w:val="00FC4E0F"/>
    <w:rsid w:val="00FD12D5"/>
    <w:rsid w:val="00FD1B92"/>
    <w:rsid w:val="00FD2983"/>
    <w:rsid w:val="00FD7E7F"/>
    <w:rsid w:val="00FE245E"/>
    <w:rsid w:val="00FE27E6"/>
    <w:rsid w:val="00FE6AFB"/>
    <w:rsid w:val="00FE795C"/>
    <w:rsid w:val="00FF1129"/>
    <w:rsid w:val="00FF2022"/>
    <w:rsid w:val="00FF2F0B"/>
    <w:rsid w:val="00FF4B1D"/>
    <w:rsid w:val="00FF4C8B"/>
    <w:rsid w:val="00FF5367"/>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551C31"/>
  <w15:docId w15:val="{03FCE754-DD39-494B-ACCE-52E9A4D5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690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customStyle="1" w:styleId="ref">
    <w:name w:val="ref"/>
    <w:basedOn w:val="Normal"/>
    <w:pPr>
      <w:spacing w:after="240"/>
      <w:ind w:left="720" w:hanging="7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374A7"/>
    <w:rPr>
      <w:sz w:val="24"/>
      <w:szCs w:val="24"/>
    </w:rPr>
  </w:style>
  <w:style w:type="paragraph" w:styleId="Revision">
    <w:name w:val="Revision"/>
    <w:hidden/>
    <w:uiPriority w:val="99"/>
    <w:semiHidden/>
    <w:rsid w:val="00446CA9"/>
    <w:rPr>
      <w:sz w:val="24"/>
      <w:szCs w:val="24"/>
      <w:lang w:val="en-US" w:eastAsia="en-US"/>
    </w:rPr>
  </w:style>
  <w:style w:type="paragraph" w:styleId="ListParagraph">
    <w:name w:val="List Paragraph"/>
    <w:basedOn w:val="Normal"/>
    <w:uiPriority w:val="34"/>
    <w:qFormat/>
    <w:rsid w:val="003C46CC"/>
    <w:pPr>
      <w:ind w:left="720"/>
    </w:pPr>
  </w:style>
  <w:style w:type="character" w:customStyle="1" w:styleId="BodyTextChar">
    <w:name w:val="Body Text Char"/>
    <w:basedOn w:val="DefaultParagraphFont"/>
    <w:link w:val="BodyText"/>
    <w:rsid w:val="00C76B63"/>
    <w:rPr>
      <w:sz w:val="24"/>
      <w:szCs w:val="24"/>
      <w:lang w:val="en-US" w:eastAsia="en-US"/>
    </w:rPr>
  </w:style>
  <w:style w:type="character" w:styleId="Hyperlink">
    <w:name w:val="Hyperlink"/>
    <w:basedOn w:val="DefaultParagraphFont"/>
    <w:uiPriority w:val="99"/>
    <w:unhideWhenUsed/>
    <w:rsid w:val="00B139DA"/>
    <w:rPr>
      <w:color w:val="0000FF" w:themeColor="hyperlink"/>
      <w:u w:val="single"/>
    </w:rPr>
  </w:style>
  <w:style w:type="character" w:styleId="FollowedHyperlink">
    <w:name w:val="FollowedHyperlink"/>
    <w:basedOn w:val="DefaultParagraphFont"/>
    <w:uiPriority w:val="99"/>
    <w:semiHidden/>
    <w:unhideWhenUsed/>
    <w:rsid w:val="00B139DA"/>
    <w:rPr>
      <w:color w:val="800080" w:themeColor="followedHyperlink"/>
      <w:u w:val="single"/>
    </w:rPr>
  </w:style>
  <w:style w:type="paragraph" w:styleId="PlainText">
    <w:name w:val="Plain Text"/>
    <w:basedOn w:val="Normal"/>
    <w:link w:val="PlainTextChar"/>
    <w:uiPriority w:val="99"/>
    <w:semiHidden/>
    <w:unhideWhenUsed/>
    <w:rsid w:val="00382959"/>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semiHidden/>
    <w:rsid w:val="00382959"/>
    <w:rPr>
      <w:rFonts w:ascii="Calibri" w:eastAsiaTheme="minorHAnsi" w:hAnsi="Calibri" w:cstheme="minorBidi"/>
      <w:sz w:val="22"/>
      <w:szCs w:val="21"/>
      <w:lang w:eastAsia="en-US"/>
    </w:rPr>
  </w:style>
  <w:style w:type="character" w:customStyle="1" w:styleId="CommentTextChar">
    <w:name w:val="Comment Text Char"/>
    <w:basedOn w:val="DefaultParagraphFont"/>
    <w:link w:val="CommentText"/>
    <w:uiPriority w:val="99"/>
    <w:semiHidden/>
    <w:rsid w:val="00E96D17"/>
    <w:rPr>
      <w:lang w:val="en-US" w:eastAsia="en-US"/>
    </w:rPr>
  </w:style>
  <w:style w:type="character" w:customStyle="1" w:styleId="Heading1Char">
    <w:name w:val="Heading 1 Char"/>
    <w:basedOn w:val="DefaultParagraphFont"/>
    <w:link w:val="Heading1"/>
    <w:uiPriority w:val="9"/>
    <w:rsid w:val="00690E92"/>
    <w:rPr>
      <w:rFonts w:asciiTheme="majorHAnsi" w:eastAsiaTheme="majorEastAsia" w:hAnsiTheme="majorHAnsi" w:cstheme="majorBidi"/>
      <w:color w:val="365F91" w:themeColor="accent1" w:themeShade="BF"/>
      <w:sz w:val="32"/>
      <w:szCs w:val="32"/>
      <w:lang w:val="en-US" w:eastAsia="en-US"/>
    </w:rPr>
  </w:style>
  <w:style w:type="character" w:customStyle="1" w:styleId="gmail-m-899228257240709375msocommentreference">
    <w:name w:val="gmail-m_-899228257240709375msocommentreference"/>
    <w:basedOn w:val="DefaultParagraphFont"/>
    <w:rsid w:val="0095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1717">
      <w:bodyDiv w:val="1"/>
      <w:marLeft w:val="0"/>
      <w:marRight w:val="0"/>
      <w:marTop w:val="0"/>
      <w:marBottom w:val="0"/>
      <w:divBdr>
        <w:top w:val="none" w:sz="0" w:space="0" w:color="auto"/>
        <w:left w:val="none" w:sz="0" w:space="0" w:color="auto"/>
        <w:bottom w:val="none" w:sz="0" w:space="0" w:color="auto"/>
        <w:right w:val="none" w:sz="0" w:space="0" w:color="auto"/>
      </w:divBdr>
    </w:div>
    <w:div w:id="277228038">
      <w:bodyDiv w:val="1"/>
      <w:marLeft w:val="0"/>
      <w:marRight w:val="0"/>
      <w:marTop w:val="0"/>
      <w:marBottom w:val="0"/>
      <w:divBdr>
        <w:top w:val="none" w:sz="0" w:space="0" w:color="auto"/>
        <w:left w:val="none" w:sz="0" w:space="0" w:color="auto"/>
        <w:bottom w:val="none" w:sz="0" w:space="0" w:color="auto"/>
        <w:right w:val="none" w:sz="0" w:space="0" w:color="auto"/>
      </w:divBdr>
    </w:div>
    <w:div w:id="314257768">
      <w:bodyDiv w:val="1"/>
      <w:marLeft w:val="0"/>
      <w:marRight w:val="0"/>
      <w:marTop w:val="0"/>
      <w:marBottom w:val="0"/>
      <w:divBdr>
        <w:top w:val="none" w:sz="0" w:space="0" w:color="auto"/>
        <w:left w:val="none" w:sz="0" w:space="0" w:color="auto"/>
        <w:bottom w:val="none" w:sz="0" w:space="0" w:color="auto"/>
        <w:right w:val="none" w:sz="0" w:space="0" w:color="auto"/>
      </w:divBdr>
    </w:div>
    <w:div w:id="629475051">
      <w:bodyDiv w:val="1"/>
      <w:marLeft w:val="0"/>
      <w:marRight w:val="0"/>
      <w:marTop w:val="0"/>
      <w:marBottom w:val="0"/>
      <w:divBdr>
        <w:top w:val="none" w:sz="0" w:space="0" w:color="auto"/>
        <w:left w:val="none" w:sz="0" w:space="0" w:color="auto"/>
        <w:bottom w:val="none" w:sz="0" w:space="0" w:color="auto"/>
        <w:right w:val="none" w:sz="0" w:space="0" w:color="auto"/>
      </w:divBdr>
    </w:div>
    <w:div w:id="647828005">
      <w:bodyDiv w:val="1"/>
      <w:marLeft w:val="0"/>
      <w:marRight w:val="0"/>
      <w:marTop w:val="0"/>
      <w:marBottom w:val="0"/>
      <w:divBdr>
        <w:top w:val="none" w:sz="0" w:space="0" w:color="auto"/>
        <w:left w:val="none" w:sz="0" w:space="0" w:color="auto"/>
        <w:bottom w:val="none" w:sz="0" w:space="0" w:color="auto"/>
        <w:right w:val="none" w:sz="0" w:space="0" w:color="auto"/>
      </w:divBdr>
    </w:div>
    <w:div w:id="955133712">
      <w:bodyDiv w:val="1"/>
      <w:marLeft w:val="0"/>
      <w:marRight w:val="0"/>
      <w:marTop w:val="0"/>
      <w:marBottom w:val="0"/>
      <w:divBdr>
        <w:top w:val="none" w:sz="0" w:space="0" w:color="auto"/>
        <w:left w:val="none" w:sz="0" w:space="0" w:color="auto"/>
        <w:bottom w:val="none" w:sz="0" w:space="0" w:color="auto"/>
        <w:right w:val="none" w:sz="0" w:space="0" w:color="auto"/>
      </w:divBdr>
      <w:divsChild>
        <w:div w:id="214584407">
          <w:marLeft w:val="0"/>
          <w:marRight w:val="0"/>
          <w:marTop w:val="86"/>
          <w:marBottom w:val="0"/>
          <w:divBdr>
            <w:top w:val="none" w:sz="0" w:space="0" w:color="auto"/>
            <w:left w:val="none" w:sz="0" w:space="0" w:color="auto"/>
            <w:bottom w:val="none" w:sz="0" w:space="0" w:color="auto"/>
            <w:right w:val="none" w:sz="0" w:space="0" w:color="auto"/>
          </w:divBdr>
        </w:div>
      </w:divsChild>
    </w:div>
    <w:div w:id="1396703630">
      <w:bodyDiv w:val="1"/>
      <w:marLeft w:val="0"/>
      <w:marRight w:val="0"/>
      <w:marTop w:val="0"/>
      <w:marBottom w:val="0"/>
      <w:divBdr>
        <w:top w:val="none" w:sz="0" w:space="0" w:color="auto"/>
        <w:left w:val="none" w:sz="0" w:space="0" w:color="auto"/>
        <w:bottom w:val="none" w:sz="0" w:space="0" w:color="auto"/>
        <w:right w:val="none" w:sz="0" w:space="0" w:color="auto"/>
      </w:divBdr>
      <w:divsChild>
        <w:div w:id="1761638517">
          <w:marLeft w:val="0"/>
          <w:marRight w:val="0"/>
          <w:marTop w:val="0"/>
          <w:marBottom w:val="0"/>
          <w:divBdr>
            <w:top w:val="none" w:sz="0" w:space="0" w:color="auto"/>
            <w:left w:val="none" w:sz="0" w:space="0" w:color="auto"/>
            <w:bottom w:val="none" w:sz="0" w:space="0" w:color="auto"/>
            <w:right w:val="none" w:sz="0" w:space="0" w:color="auto"/>
          </w:divBdr>
        </w:div>
      </w:divsChild>
    </w:div>
    <w:div w:id="1516530251">
      <w:bodyDiv w:val="1"/>
      <w:marLeft w:val="0"/>
      <w:marRight w:val="0"/>
      <w:marTop w:val="0"/>
      <w:marBottom w:val="0"/>
      <w:divBdr>
        <w:top w:val="none" w:sz="0" w:space="0" w:color="auto"/>
        <w:left w:val="none" w:sz="0" w:space="0" w:color="auto"/>
        <w:bottom w:val="none" w:sz="0" w:space="0" w:color="auto"/>
        <w:right w:val="none" w:sz="0" w:space="0" w:color="auto"/>
      </w:divBdr>
    </w:div>
    <w:div w:id="1573195305">
      <w:bodyDiv w:val="1"/>
      <w:marLeft w:val="0"/>
      <w:marRight w:val="0"/>
      <w:marTop w:val="0"/>
      <w:marBottom w:val="0"/>
      <w:divBdr>
        <w:top w:val="none" w:sz="0" w:space="0" w:color="auto"/>
        <w:left w:val="none" w:sz="0" w:space="0" w:color="auto"/>
        <w:bottom w:val="none" w:sz="0" w:space="0" w:color="auto"/>
        <w:right w:val="none" w:sz="0" w:space="0" w:color="auto"/>
      </w:divBdr>
    </w:div>
    <w:div w:id="1812164792">
      <w:bodyDiv w:val="1"/>
      <w:marLeft w:val="0"/>
      <w:marRight w:val="0"/>
      <w:marTop w:val="0"/>
      <w:marBottom w:val="0"/>
      <w:divBdr>
        <w:top w:val="none" w:sz="0" w:space="0" w:color="auto"/>
        <w:left w:val="none" w:sz="0" w:space="0" w:color="auto"/>
        <w:bottom w:val="none" w:sz="0" w:space="0" w:color="auto"/>
        <w:right w:val="none" w:sz="0" w:space="0" w:color="auto"/>
      </w:divBdr>
    </w:div>
    <w:div w:id="1897933043">
      <w:bodyDiv w:val="1"/>
      <w:marLeft w:val="0"/>
      <w:marRight w:val="0"/>
      <w:marTop w:val="0"/>
      <w:marBottom w:val="0"/>
      <w:divBdr>
        <w:top w:val="none" w:sz="0" w:space="0" w:color="auto"/>
        <w:left w:val="none" w:sz="0" w:space="0" w:color="auto"/>
        <w:bottom w:val="none" w:sz="0" w:space="0" w:color="auto"/>
        <w:right w:val="none" w:sz="0" w:space="0" w:color="auto"/>
      </w:divBdr>
    </w:div>
    <w:div w:id="1993943223">
      <w:bodyDiv w:val="1"/>
      <w:marLeft w:val="0"/>
      <w:marRight w:val="0"/>
      <w:marTop w:val="0"/>
      <w:marBottom w:val="0"/>
      <w:divBdr>
        <w:top w:val="none" w:sz="0" w:space="0" w:color="auto"/>
        <w:left w:val="none" w:sz="0" w:space="0" w:color="auto"/>
        <w:bottom w:val="none" w:sz="0" w:space="0" w:color="auto"/>
        <w:right w:val="none" w:sz="0" w:space="0" w:color="auto"/>
      </w:divBdr>
    </w:div>
    <w:div w:id="21203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efsc.noaa.gov/saw/trac/trac-process-overview-2017.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bio.gc.ca/info/intercol/trac-cert/index-en.ph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82FE-8F81-496B-817E-7A8B3561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3088</Words>
  <Characters>15494</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Eastern Georges Bank Haddock</vt:lpstr>
    </vt:vector>
  </TitlesOfParts>
  <Company>DFO</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Georges Bank Haddock</dc:title>
  <dc:creator>Stratis Gavaris</dc:creator>
  <dc:description>Table has been revised with correct values. LVE June 11, 2009</dc:description>
  <cp:lastModifiedBy>Maclean, Christina</cp:lastModifiedBy>
  <cp:revision>12</cp:revision>
  <cp:lastPrinted>2019-10-07T13:31:00Z</cp:lastPrinted>
  <dcterms:created xsi:type="dcterms:W3CDTF">2019-07-25T10:19:00Z</dcterms:created>
  <dcterms:modified xsi:type="dcterms:W3CDTF">2020-06-10T19:17:00Z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2020-06-10T18:57:02Z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0d9442cb-12f6-40fc-ad33-0000e29e924f</vt:lpwstr>
  </property>
</Properties>
</file>