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F1CD" w14:textId="77777777" w:rsidR="00062915" w:rsidRPr="00062915" w:rsidRDefault="00062915" w:rsidP="00062915">
      <w:pPr>
        <w:pStyle w:val="CoverDocumenttitle"/>
        <w:spacing w:before="3240"/>
        <w:rPr>
          <w:lang w:val="fr-FR"/>
        </w:rPr>
      </w:pPr>
      <w:r w:rsidRPr="00122E99">
        <w:rPr>
          <w:lang w:val="fr-FR"/>
        </w:rPr>
        <w:t>Évaluation de l’aiglefin de l’est du banc de Georges pour 2017</w:t>
      </w:r>
    </w:p>
    <w:p w14:paraId="35E81712" w14:textId="77777777" w:rsidR="00062915" w:rsidRPr="00B44703" w:rsidRDefault="00062915" w:rsidP="00062915">
      <w:pPr>
        <w:spacing w:before="480" w:after="480"/>
        <w:jc w:val="center"/>
        <w:rPr>
          <w:rFonts w:cs="Arial"/>
          <w:szCs w:val="24"/>
        </w:rPr>
      </w:pPr>
      <w:r w:rsidRPr="00B44703">
        <w:t>M.A. Barrett</w:t>
      </w:r>
      <w:r w:rsidRPr="00B44703">
        <w:rPr>
          <w:szCs w:val="24"/>
          <w:vertAlign w:val="superscript"/>
        </w:rPr>
        <w:t>1</w:t>
      </w:r>
      <w:r w:rsidRPr="00B44703">
        <w:t>, E.N. Brooks</w:t>
      </w:r>
      <w:r w:rsidRPr="00B44703">
        <w:rPr>
          <w:szCs w:val="24"/>
          <w:vertAlign w:val="superscript"/>
        </w:rPr>
        <w:t>2</w:t>
      </w:r>
      <w:r w:rsidRPr="00B44703">
        <w:t xml:space="preserve"> et Y. Wang</w:t>
      </w:r>
      <w:r w:rsidRPr="00B44703">
        <w:rPr>
          <w:szCs w:val="24"/>
          <w:vertAlign w:val="superscript"/>
        </w:rPr>
        <w:t>1</w:t>
      </w:r>
    </w:p>
    <w:p w14:paraId="23C9DFF6" w14:textId="77777777" w:rsidR="00062915" w:rsidRPr="00122E99" w:rsidRDefault="00062915" w:rsidP="00062915">
      <w:pPr>
        <w:spacing w:after="120"/>
        <w:jc w:val="center"/>
        <w:rPr>
          <w:rFonts w:cs="Arial"/>
          <w:szCs w:val="24"/>
          <w:lang w:val="fr-FR"/>
        </w:rPr>
      </w:pPr>
      <w:r w:rsidRPr="00B44703">
        <w:rPr>
          <w:szCs w:val="24"/>
          <w:vertAlign w:val="superscript"/>
        </w:rPr>
        <w:t>1</w:t>
      </w:r>
      <w:r w:rsidRPr="00B44703">
        <w:t> Pêches et Océans Canada</w:t>
      </w:r>
      <w:r>
        <w:br/>
      </w:r>
      <w:r w:rsidRPr="00122E99">
        <w:rPr>
          <w:lang w:val="fr-FR"/>
        </w:rPr>
        <w:t>531, chemin Brandy Cove</w:t>
      </w:r>
      <w:r>
        <w:br/>
      </w:r>
      <w:r w:rsidRPr="00122E99">
        <w:rPr>
          <w:lang w:val="fr-FR"/>
        </w:rPr>
        <w:t>St. Andrews (Nouveau-Brunswick) E5B 2L9</w:t>
      </w:r>
      <w:r>
        <w:br/>
      </w:r>
      <w:r w:rsidRPr="0021250E">
        <w:rPr>
          <w:rFonts w:cs="Arial"/>
          <w:szCs w:val="24"/>
          <w:lang w:val="fr-FR"/>
        </w:rPr>
        <w:t>Canada</w:t>
      </w:r>
    </w:p>
    <w:p w14:paraId="12A1B2B7" w14:textId="0DDD9A76" w:rsidR="00062915" w:rsidRDefault="00062915" w:rsidP="00062915">
      <w:pPr>
        <w:autoSpaceDE w:val="0"/>
        <w:autoSpaceDN w:val="0"/>
        <w:adjustRightInd w:val="0"/>
        <w:jc w:val="center"/>
        <w:rPr>
          <w:lang w:val="en-US"/>
        </w:rPr>
      </w:pPr>
      <w:r w:rsidRPr="00F71707">
        <w:rPr>
          <w:szCs w:val="24"/>
          <w:vertAlign w:val="superscript"/>
          <w:lang w:val="en-US"/>
        </w:rPr>
        <w:t>2</w:t>
      </w:r>
      <w:r w:rsidRPr="00F71707">
        <w:rPr>
          <w:lang w:val="en-US"/>
        </w:rPr>
        <w:t xml:space="preserve"> NOAA/NMFS </w:t>
      </w:r>
      <w:r w:rsidRPr="00122E99">
        <w:rPr>
          <w:rFonts w:cs="Arial"/>
          <w:szCs w:val="24"/>
          <w:lang w:val="en-US"/>
        </w:rPr>
        <w:t>Northeast</w:t>
      </w:r>
      <w:r w:rsidRPr="00F71707">
        <w:rPr>
          <w:lang w:val="en-US"/>
        </w:rPr>
        <w:t xml:space="preserve"> Fisheries Science Center </w:t>
      </w:r>
      <w:r w:rsidRPr="0021250E">
        <w:rPr>
          <w:lang w:val="en-US"/>
        </w:rPr>
        <w:br/>
      </w:r>
      <w:r w:rsidRPr="00F71707">
        <w:rPr>
          <w:lang w:val="en-US"/>
        </w:rPr>
        <w:t>166 Water Street</w:t>
      </w:r>
      <w:r w:rsidRPr="0021250E">
        <w:rPr>
          <w:lang w:val="en-US"/>
        </w:rPr>
        <w:br/>
      </w:r>
      <w:r w:rsidRPr="00F71707">
        <w:rPr>
          <w:lang w:val="en-US"/>
        </w:rPr>
        <w:t>Woods Hole, MA 02543</w:t>
      </w:r>
      <w:r w:rsidRPr="0021250E">
        <w:rPr>
          <w:lang w:val="en-US"/>
        </w:rPr>
        <w:br/>
      </w:r>
      <w:proofErr w:type="spellStart"/>
      <w:r w:rsidRPr="0021250E">
        <w:rPr>
          <w:lang w:val="en-US"/>
        </w:rPr>
        <w:t>États</w:t>
      </w:r>
      <w:proofErr w:type="spellEnd"/>
      <w:r w:rsidRPr="0021250E">
        <w:rPr>
          <w:lang w:val="en-US"/>
        </w:rPr>
        <w:t>-Unis</w:t>
      </w:r>
    </w:p>
    <w:p w14:paraId="28E2DBFE" w14:textId="77777777" w:rsidR="00062915" w:rsidRDefault="00062915" w:rsidP="00062915">
      <w:pPr>
        <w:pStyle w:val="CoverDocumenttitle"/>
        <w:spacing w:before="3240"/>
      </w:pPr>
      <w:r>
        <w:lastRenderedPageBreak/>
        <w:t>Assessment of Haddock on Eastern Georges Bank for 2017</w:t>
      </w:r>
    </w:p>
    <w:p w14:paraId="221E713F" w14:textId="77777777" w:rsidR="00062915" w:rsidRPr="00062915" w:rsidRDefault="00062915" w:rsidP="00062915">
      <w:pPr>
        <w:spacing w:before="480" w:after="480"/>
        <w:jc w:val="center"/>
        <w:rPr>
          <w:rFonts w:cs="Arial"/>
          <w:szCs w:val="24"/>
          <w:lang w:val="en-US"/>
        </w:rPr>
      </w:pPr>
      <w:r w:rsidRPr="00062915">
        <w:rPr>
          <w:rFonts w:cs="Arial"/>
          <w:szCs w:val="24"/>
          <w:lang w:val="en-US"/>
        </w:rPr>
        <w:t>M.A. Barrett</w:t>
      </w:r>
      <w:r w:rsidRPr="00062915">
        <w:rPr>
          <w:rFonts w:cs="Arial"/>
          <w:szCs w:val="24"/>
          <w:vertAlign w:val="superscript"/>
          <w:lang w:val="en-US"/>
        </w:rPr>
        <w:t>1</w:t>
      </w:r>
      <w:r w:rsidRPr="00062915">
        <w:rPr>
          <w:rFonts w:cs="Arial"/>
          <w:szCs w:val="24"/>
          <w:lang w:val="en-US"/>
        </w:rPr>
        <w:t>, E.N. Brooks</w:t>
      </w:r>
      <w:r w:rsidRPr="00062915">
        <w:rPr>
          <w:rFonts w:cs="Arial"/>
          <w:szCs w:val="24"/>
          <w:vertAlign w:val="superscript"/>
          <w:lang w:val="en-US"/>
        </w:rPr>
        <w:t>2</w:t>
      </w:r>
      <w:r w:rsidRPr="00062915">
        <w:rPr>
          <w:rFonts w:cs="Arial"/>
          <w:szCs w:val="24"/>
          <w:lang w:val="en-US"/>
        </w:rPr>
        <w:t>, and Y. Wang</w:t>
      </w:r>
      <w:r w:rsidRPr="00062915">
        <w:rPr>
          <w:rFonts w:cs="Arial"/>
          <w:szCs w:val="24"/>
          <w:vertAlign w:val="superscript"/>
          <w:lang w:val="en-US"/>
        </w:rPr>
        <w:t>1</w:t>
      </w:r>
    </w:p>
    <w:p w14:paraId="04EB4CCA" w14:textId="77777777" w:rsidR="00062915" w:rsidRPr="00062915" w:rsidRDefault="00062915" w:rsidP="00062915">
      <w:pPr>
        <w:spacing w:before="120" w:after="120"/>
        <w:jc w:val="center"/>
        <w:rPr>
          <w:rFonts w:cs="Arial"/>
          <w:szCs w:val="24"/>
          <w:lang w:val="en-US"/>
        </w:rPr>
      </w:pPr>
      <w:r w:rsidRPr="00062915">
        <w:rPr>
          <w:rFonts w:cs="Arial"/>
          <w:szCs w:val="24"/>
          <w:vertAlign w:val="superscript"/>
          <w:lang w:val="en-US"/>
        </w:rPr>
        <w:t>1</w:t>
      </w:r>
      <w:r w:rsidRPr="00062915">
        <w:rPr>
          <w:rFonts w:cs="Arial"/>
          <w:szCs w:val="24"/>
          <w:lang w:val="en-US"/>
        </w:rPr>
        <w:t>Fisheries and Oceans Canada</w:t>
      </w:r>
      <w:r w:rsidRPr="00062915">
        <w:rPr>
          <w:lang w:val="en-US"/>
        </w:rPr>
        <w:br/>
      </w:r>
      <w:r w:rsidRPr="00062915">
        <w:rPr>
          <w:rFonts w:cs="Arial"/>
          <w:szCs w:val="24"/>
          <w:lang w:val="en-US"/>
        </w:rPr>
        <w:t>531 Brandy Cove Road</w:t>
      </w:r>
      <w:r w:rsidRPr="00062915">
        <w:rPr>
          <w:lang w:val="en-US"/>
        </w:rPr>
        <w:br/>
      </w:r>
      <w:r w:rsidRPr="00062915">
        <w:rPr>
          <w:rFonts w:cs="Arial"/>
          <w:szCs w:val="24"/>
          <w:lang w:val="en-US"/>
        </w:rPr>
        <w:t>St. Andrews, New Brunswick E5B 2L9</w:t>
      </w:r>
      <w:r w:rsidRPr="00062915">
        <w:rPr>
          <w:lang w:val="en-US"/>
        </w:rPr>
        <w:br/>
      </w:r>
      <w:r w:rsidRPr="00062915">
        <w:rPr>
          <w:rFonts w:cs="Arial"/>
          <w:szCs w:val="24"/>
          <w:lang w:val="en-US"/>
        </w:rPr>
        <w:t>Canada</w:t>
      </w:r>
    </w:p>
    <w:p w14:paraId="51ED9F1F" w14:textId="77777777" w:rsidR="00062915" w:rsidRPr="00062915" w:rsidRDefault="00062915" w:rsidP="00062915">
      <w:pPr>
        <w:autoSpaceDE w:val="0"/>
        <w:autoSpaceDN w:val="0"/>
        <w:adjustRightInd w:val="0"/>
        <w:jc w:val="center"/>
        <w:rPr>
          <w:rFonts w:cs="Arial"/>
          <w:szCs w:val="24"/>
          <w:lang w:val="en-US"/>
        </w:rPr>
      </w:pPr>
      <w:r w:rsidRPr="00062915">
        <w:rPr>
          <w:rFonts w:cs="Arial"/>
          <w:szCs w:val="24"/>
          <w:vertAlign w:val="superscript"/>
          <w:lang w:val="en-US"/>
        </w:rPr>
        <w:t>2</w:t>
      </w:r>
      <w:r w:rsidRPr="00062915">
        <w:rPr>
          <w:rFonts w:cs="Arial"/>
          <w:szCs w:val="24"/>
          <w:lang w:val="en-US"/>
        </w:rPr>
        <w:t>NOAA/NMFS Northeast Fisheries Science Center</w:t>
      </w:r>
      <w:r w:rsidRPr="00062915">
        <w:rPr>
          <w:lang w:val="en-US"/>
        </w:rPr>
        <w:br/>
      </w:r>
      <w:r w:rsidRPr="00062915">
        <w:rPr>
          <w:rFonts w:cs="Arial"/>
          <w:szCs w:val="24"/>
          <w:lang w:val="en-US"/>
        </w:rPr>
        <w:t>166 Water Street</w:t>
      </w:r>
      <w:r w:rsidRPr="00062915">
        <w:rPr>
          <w:lang w:val="en-US"/>
        </w:rPr>
        <w:br/>
      </w:r>
      <w:r w:rsidRPr="00062915">
        <w:rPr>
          <w:rFonts w:cs="Arial"/>
          <w:szCs w:val="24"/>
          <w:lang w:val="en-US"/>
        </w:rPr>
        <w:t>Woods Hole, MA 02543</w:t>
      </w:r>
      <w:r w:rsidRPr="00062915">
        <w:rPr>
          <w:lang w:val="en-US"/>
        </w:rPr>
        <w:br/>
      </w:r>
      <w:r w:rsidRPr="00062915">
        <w:rPr>
          <w:rFonts w:cs="Arial"/>
          <w:szCs w:val="24"/>
          <w:lang w:val="en-US"/>
        </w:rPr>
        <w:t>USA</w:t>
      </w:r>
    </w:p>
    <w:p w14:paraId="097B55FF" w14:textId="7498F890" w:rsidR="00062915" w:rsidRDefault="00062915">
      <w:pPr>
        <w:spacing w:after="160" w:line="259" w:lineRule="auto"/>
        <w:rPr>
          <w:rFonts w:cs="Arial"/>
          <w:szCs w:val="24"/>
          <w:lang w:val="en-US"/>
        </w:rPr>
      </w:pPr>
      <w:r>
        <w:rPr>
          <w:rFonts w:cs="Arial"/>
          <w:szCs w:val="24"/>
          <w:lang w:val="en-US"/>
        </w:rPr>
        <w:br w:type="page"/>
      </w:r>
    </w:p>
    <w:p w14:paraId="2B849823" w14:textId="77777777" w:rsidR="00062915" w:rsidRPr="0021250E" w:rsidRDefault="00062915" w:rsidP="00062915">
      <w:pPr>
        <w:autoSpaceDE w:val="0"/>
        <w:autoSpaceDN w:val="0"/>
        <w:adjustRightInd w:val="0"/>
        <w:jc w:val="center"/>
        <w:rPr>
          <w:rFonts w:cs="Arial"/>
          <w:szCs w:val="24"/>
          <w:lang w:val="en-US"/>
        </w:rPr>
      </w:pPr>
    </w:p>
    <w:tbl>
      <w:tblPr>
        <w:tblStyle w:val="TableGrid"/>
        <w:tblW w:w="0" w:type="auto"/>
        <w:tblLook w:val="04A0" w:firstRow="1" w:lastRow="0" w:firstColumn="1" w:lastColumn="0" w:noHBand="0" w:noVBand="1"/>
      </w:tblPr>
      <w:tblGrid>
        <w:gridCol w:w="4675"/>
        <w:gridCol w:w="4675"/>
      </w:tblGrid>
      <w:tr w:rsidR="00062915" w14:paraId="6668FB1B" w14:textId="77777777" w:rsidTr="00062915">
        <w:tc>
          <w:tcPr>
            <w:tcW w:w="4675" w:type="dxa"/>
          </w:tcPr>
          <w:p w14:paraId="396AD5F4" w14:textId="77777777" w:rsidR="00062915" w:rsidRPr="00062915" w:rsidRDefault="00062915" w:rsidP="00062915">
            <w:pPr>
              <w:spacing w:line="360" w:lineRule="auto"/>
              <w:jc w:val="center"/>
              <w:rPr>
                <w:rFonts w:cs="Arial"/>
                <w:b/>
                <w:bCs/>
              </w:rPr>
            </w:pPr>
            <w:bookmarkStart w:id="0" w:name="_Toc72222494"/>
            <w:r w:rsidRPr="00062915">
              <w:rPr>
                <w:b/>
                <w:bCs/>
              </w:rPr>
              <w:t>RÉSUMÉ</w:t>
            </w:r>
            <w:bookmarkEnd w:id="0"/>
          </w:p>
          <w:p w14:paraId="46965D10" w14:textId="77777777" w:rsidR="00062915" w:rsidRPr="00062915" w:rsidRDefault="00062915" w:rsidP="00062915">
            <w:pPr>
              <w:pStyle w:val="BodyText"/>
              <w:spacing w:before="120"/>
              <w:rPr>
                <w:sz w:val="22"/>
                <w:szCs w:val="22"/>
                <w:lang w:val="fr-FR"/>
              </w:rPr>
            </w:pPr>
            <w:r w:rsidRPr="00062915">
              <w:rPr>
                <w:sz w:val="22"/>
                <w:szCs w:val="22"/>
                <w:lang w:val="fr-FR"/>
              </w:rPr>
              <w:t>En 2016, le total des prises d’aiglefin de l’est du banc Georges s’élevait à 12 409 </w:t>
            </w:r>
            <w:proofErr w:type="spellStart"/>
            <w:r w:rsidRPr="00062915">
              <w:rPr>
                <w:sz w:val="22"/>
                <w:szCs w:val="22"/>
                <w:lang w:val="fr-FR"/>
              </w:rPr>
              <w:t>tm</w:t>
            </w:r>
            <w:proofErr w:type="spellEnd"/>
            <w:r w:rsidRPr="00062915">
              <w:rPr>
                <w:sz w:val="22"/>
                <w:szCs w:val="22"/>
                <w:lang w:val="fr-FR"/>
              </w:rPr>
              <w:t>, sur un quota combiné de 37 000 </w:t>
            </w:r>
            <w:proofErr w:type="spellStart"/>
            <w:r w:rsidRPr="00062915">
              <w:rPr>
                <w:sz w:val="22"/>
                <w:szCs w:val="22"/>
                <w:lang w:val="fr-FR"/>
              </w:rPr>
              <w:t>tm</w:t>
            </w:r>
            <w:proofErr w:type="spellEnd"/>
            <w:r w:rsidRPr="00062915">
              <w:rPr>
                <w:sz w:val="22"/>
                <w:szCs w:val="22"/>
                <w:lang w:val="fr-FR"/>
              </w:rPr>
              <w:t xml:space="preserve"> pour le Canada et les États-Unis. Les prises canadiennes sont passées de 14 648 </w:t>
            </w:r>
            <w:proofErr w:type="spellStart"/>
            <w:r w:rsidRPr="00062915">
              <w:rPr>
                <w:sz w:val="22"/>
                <w:szCs w:val="22"/>
                <w:lang w:val="fr-FR"/>
              </w:rPr>
              <w:t>tm</w:t>
            </w:r>
            <w:proofErr w:type="spellEnd"/>
            <w:r w:rsidRPr="00062915">
              <w:rPr>
                <w:sz w:val="22"/>
                <w:szCs w:val="22"/>
                <w:lang w:val="fr-FR"/>
              </w:rPr>
              <w:t xml:space="preserve"> en 2015 à 11 943 </w:t>
            </w:r>
            <w:proofErr w:type="spellStart"/>
            <w:r w:rsidRPr="00062915">
              <w:rPr>
                <w:sz w:val="22"/>
                <w:szCs w:val="22"/>
                <w:lang w:val="fr-FR"/>
              </w:rPr>
              <w:t>tm</w:t>
            </w:r>
            <w:proofErr w:type="spellEnd"/>
            <w:r w:rsidRPr="00062915">
              <w:rPr>
                <w:sz w:val="22"/>
                <w:szCs w:val="22"/>
                <w:lang w:val="fr-FR"/>
              </w:rPr>
              <w:t xml:space="preserve"> en 2016, tandis que les prises américaines sont passées de 1 921 </w:t>
            </w:r>
            <w:proofErr w:type="spellStart"/>
            <w:r w:rsidRPr="00062915">
              <w:rPr>
                <w:sz w:val="22"/>
                <w:szCs w:val="22"/>
                <w:lang w:val="fr-FR"/>
              </w:rPr>
              <w:t>tm</w:t>
            </w:r>
            <w:proofErr w:type="spellEnd"/>
            <w:r w:rsidRPr="00062915">
              <w:rPr>
                <w:sz w:val="22"/>
                <w:szCs w:val="22"/>
                <w:lang w:val="fr-FR"/>
              </w:rPr>
              <w:t xml:space="preserve"> en 2015 à 466 </w:t>
            </w:r>
            <w:proofErr w:type="spellStart"/>
            <w:r w:rsidRPr="00062915">
              <w:rPr>
                <w:sz w:val="22"/>
                <w:szCs w:val="22"/>
                <w:lang w:val="fr-FR"/>
              </w:rPr>
              <w:t>tm</w:t>
            </w:r>
            <w:proofErr w:type="spellEnd"/>
            <w:r w:rsidRPr="00062915">
              <w:rPr>
                <w:sz w:val="22"/>
                <w:szCs w:val="22"/>
                <w:lang w:val="fr-FR"/>
              </w:rPr>
              <w:t xml:space="preserve"> en 2016. On évalue les </w:t>
            </w:r>
            <w:r w:rsidRPr="00DC1512">
              <w:rPr>
                <w:sz w:val="22"/>
                <w:szCs w:val="22"/>
                <w:lang w:val="fr-FR"/>
              </w:rPr>
              <w:t>rejets</w:t>
            </w:r>
            <w:r w:rsidRPr="00062915">
              <w:rPr>
                <w:sz w:val="22"/>
                <w:szCs w:val="22"/>
                <w:lang w:val="fr-FR"/>
              </w:rPr>
              <w:t xml:space="preserve"> d’aiglefin dans la pêche canadienne du pétoncle et la pêche du poisson de fond des États-Unis à 8 </w:t>
            </w:r>
            <w:proofErr w:type="spellStart"/>
            <w:r w:rsidRPr="00062915">
              <w:rPr>
                <w:sz w:val="22"/>
                <w:szCs w:val="22"/>
                <w:lang w:val="fr-FR"/>
              </w:rPr>
              <w:t>tm</w:t>
            </w:r>
            <w:proofErr w:type="spellEnd"/>
            <w:r w:rsidRPr="00062915">
              <w:rPr>
                <w:sz w:val="22"/>
                <w:szCs w:val="22"/>
                <w:lang w:val="fr-FR"/>
              </w:rPr>
              <w:t xml:space="preserve"> et à 125 </w:t>
            </w:r>
            <w:proofErr w:type="spellStart"/>
            <w:r w:rsidRPr="00062915">
              <w:rPr>
                <w:sz w:val="22"/>
                <w:szCs w:val="22"/>
                <w:lang w:val="fr-FR"/>
              </w:rPr>
              <w:t>tm</w:t>
            </w:r>
            <w:proofErr w:type="spellEnd"/>
            <w:r w:rsidRPr="00062915">
              <w:rPr>
                <w:sz w:val="22"/>
                <w:szCs w:val="22"/>
                <w:lang w:val="fr-FR"/>
              </w:rPr>
              <w:t>, respectivement.</w:t>
            </w:r>
          </w:p>
          <w:p w14:paraId="117CF64D" w14:textId="77777777" w:rsidR="00062915" w:rsidRPr="00062915" w:rsidRDefault="00062915" w:rsidP="00062915">
            <w:pPr>
              <w:pStyle w:val="BodyText"/>
              <w:spacing w:before="120"/>
              <w:rPr>
                <w:sz w:val="22"/>
                <w:szCs w:val="22"/>
                <w:lang w:val="fr-FR"/>
              </w:rPr>
            </w:pPr>
            <w:r w:rsidRPr="00062915">
              <w:rPr>
                <w:sz w:val="22"/>
                <w:szCs w:val="22"/>
                <w:lang w:val="fr-FR"/>
              </w:rPr>
              <w:t>Au début de l’année 2017, la biomasse de la population adulte (âge 3+) est estimée à 274 482 </w:t>
            </w:r>
            <w:proofErr w:type="spellStart"/>
            <w:r w:rsidRPr="00062915">
              <w:rPr>
                <w:sz w:val="22"/>
                <w:szCs w:val="22"/>
                <w:lang w:val="fr-FR"/>
              </w:rPr>
              <w:t>tm</w:t>
            </w:r>
            <w:proofErr w:type="spellEnd"/>
            <w:r w:rsidRPr="00062915">
              <w:rPr>
                <w:sz w:val="22"/>
                <w:szCs w:val="22"/>
                <w:lang w:val="fr-FR"/>
              </w:rPr>
              <w:t xml:space="preserve">. L’estimation préliminaire pour la classe d’âge 2016 est de 111 millions de poissons d’âge 1. On estime actuellement la classe d’âge 2013 à 885 millions de poissons, ce qui en fait la cohorte la plus abondante des séries chronologiques 1931–1955 et 1969–2016. Les classes d’âge exceptionnelles 2003 et 2010, estimées à 196 millions et à 243 millions de poissons d’âge 1, respectivement, se classent au deuxième et au troisième rang en importance. Sauf pour les fortes classes d’âge de 2000 et 2011 et les classes d’âge exceptionnelles de 2003, 2010, 2013 et 2016, le recrutement a fluctué entre 1,8 et 27,1 millions d’individus depuis 1990. La mortalité par pêche des poissons pleinement recrutés a augmenté à des niveaux dépassant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lang w:val="fr-FR"/>
              </w:rPr>
              <w:t xml:space="preserve"> = 0,26 de 2010 à 2014, avant de baisser sous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lang w:val="fr-FR"/>
              </w:rPr>
              <w:t xml:space="preserve"> en 2015. En 2016, la mortalité par pêche (F) était évaluée à 0,10. Parmi les signes encourageants de productivité, on note l’élargissement de la structure par âge, la vaste répartition spatiale, la biomasse élevée, trois classes d’âge exceptionnelles et trois fortes classes d’âge depuis 2000. Parmi les signes négatifs, on note une détérioration importante de la condition et une diminution de la taille selon l’âge.</w:t>
            </w:r>
          </w:p>
          <w:p w14:paraId="02019708" w14:textId="77777777" w:rsidR="00062915" w:rsidRPr="00062915" w:rsidRDefault="00062915" w:rsidP="00062915">
            <w:pPr>
              <w:pStyle w:val="BodyText"/>
              <w:spacing w:before="120"/>
              <w:rPr>
                <w:sz w:val="22"/>
                <w:szCs w:val="22"/>
                <w:lang w:val="fr-FR"/>
              </w:rPr>
            </w:pPr>
            <w:r w:rsidRPr="00062915">
              <w:rPr>
                <w:sz w:val="22"/>
                <w:szCs w:val="22"/>
                <w:lang w:val="fr-FR"/>
              </w:rPr>
              <w:t>En supposant que les captures en 2017 sont égales au quota total de 50 000 </w:t>
            </w:r>
            <w:proofErr w:type="spellStart"/>
            <w:r w:rsidRPr="00062915">
              <w:rPr>
                <w:sz w:val="22"/>
                <w:szCs w:val="22"/>
                <w:lang w:val="fr-FR"/>
              </w:rPr>
              <w:t>tm</w:t>
            </w:r>
            <w:proofErr w:type="spellEnd"/>
            <w:r w:rsidRPr="00062915">
              <w:rPr>
                <w:sz w:val="22"/>
                <w:szCs w:val="22"/>
                <w:lang w:val="fr-FR"/>
              </w:rPr>
              <w:t xml:space="preserve"> et que F est égale à 0,26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lang w:val="fr-FR"/>
              </w:rPr>
              <w:t xml:space="preserve">) en 2018 et 2019, des </w:t>
            </w:r>
            <w:r w:rsidRPr="00062915">
              <w:rPr>
                <w:sz w:val="22"/>
                <w:szCs w:val="22"/>
                <w:lang w:val="fr-FR"/>
              </w:rPr>
              <w:lastRenderedPageBreak/>
              <w:t>prises combinées du Canada et des États-Unis s’élevant à 86 000 </w:t>
            </w:r>
            <w:proofErr w:type="spellStart"/>
            <w:r w:rsidRPr="00062915">
              <w:rPr>
                <w:sz w:val="22"/>
                <w:szCs w:val="22"/>
                <w:lang w:val="fr-FR"/>
              </w:rPr>
              <w:t>tm</w:t>
            </w:r>
            <w:proofErr w:type="spellEnd"/>
            <w:r w:rsidRPr="00062915">
              <w:rPr>
                <w:sz w:val="22"/>
                <w:szCs w:val="22"/>
                <w:lang w:val="fr-FR"/>
              </w:rPr>
              <w:t xml:space="preserve"> en 2018 se traduiraient par un risque neutre (50 %) que le taux de mortalité par pêche dépasse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lang w:val="fr-FR"/>
              </w:rPr>
              <w:t xml:space="preserve"> = 0,26 cette année-là. La classe d’âge de 2010 à l’âge 8 devrait constituer 11 % de la biomasse des prises et la classe d’âge de 2013 à l’âge 5 devrait constituer le pourcentage le plus élevé de la biomasse des prises avec 86 %. On prévoit qu’au début de 2019, en tenant compte d’un niveau de prises situé à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lang w:val="fr-FR"/>
              </w:rPr>
              <w:t>, la biomasse des adultes sera, selon les projections, de 243 000 </w:t>
            </w:r>
            <w:proofErr w:type="spellStart"/>
            <w:r w:rsidRPr="00062915">
              <w:rPr>
                <w:sz w:val="22"/>
                <w:szCs w:val="22"/>
                <w:lang w:val="fr-FR"/>
              </w:rPr>
              <w:t>tm</w:t>
            </w:r>
            <w:proofErr w:type="spellEnd"/>
            <w:r w:rsidRPr="00062915">
              <w:rPr>
                <w:sz w:val="22"/>
                <w:szCs w:val="22"/>
                <w:lang w:val="fr-FR"/>
              </w:rPr>
              <w:t xml:space="preserve">. </w:t>
            </w:r>
          </w:p>
          <w:p w14:paraId="120BC415" w14:textId="77777777" w:rsidR="00062915" w:rsidRPr="00062915" w:rsidRDefault="00062915" w:rsidP="00062915">
            <w:pPr>
              <w:pStyle w:val="BodyText"/>
              <w:spacing w:before="120"/>
              <w:rPr>
                <w:sz w:val="22"/>
                <w:szCs w:val="22"/>
                <w:lang w:val="fr-FR"/>
              </w:rPr>
            </w:pPr>
            <w:r w:rsidRPr="00062915">
              <w:rPr>
                <w:sz w:val="22"/>
                <w:szCs w:val="22"/>
                <w:lang w:val="fr-FR"/>
              </w:rPr>
              <w:t>Un total des prises combinées du Canada et des États-Unis de 53 000 </w:t>
            </w:r>
            <w:proofErr w:type="spellStart"/>
            <w:r w:rsidRPr="00062915">
              <w:rPr>
                <w:sz w:val="22"/>
                <w:szCs w:val="22"/>
                <w:lang w:val="fr-FR"/>
              </w:rPr>
              <w:t>tm</w:t>
            </w:r>
            <w:proofErr w:type="spellEnd"/>
            <w:r w:rsidRPr="00062915">
              <w:rPr>
                <w:sz w:val="22"/>
                <w:szCs w:val="22"/>
                <w:lang w:val="fr-FR"/>
              </w:rPr>
              <w:t xml:space="preserve"> en 2019 se traduirait par un risque neutre (50 %) que le taux de mortalité par pêche dépasse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vertAlign w:val="subscript"/>
                <w:lang w:val="fr-FR"/>
              </w:rPr>
              <w:t>.</w:t>
            </w:r>
            <w:r w:rsidRPr="00062915">
              <w:rPr>
                <w:sz w:val="22"/>
                <w:szCs w:val="22"/>
                <w:lang w:val="fr-FR"/>
              </w:rPr>
              <w:t xml:space="preserve"> = 0,26 cette année-là. La classe d’âge de 2010 à l’âge 9 devrait représenter 5 % de la biomasse des prises, et la classe d’âge de 2013 à l’âge 6 devrait en représenter 86 %. On prévoit qu’au début de 2020, en tenant compte d’un niveau de prises situé à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lang w:val="fr-FR"/>
              </w:rPr>
              <w:t>, la biomasse des adultes sera, selon les projections, de 196 000 </w:t>
            </w:r>
            <w:proofErr w:type="spellStart"/>
            <w:r w:rsidRPr="00062915">
              <w:rPr>
                <w:sz w:val="22"/>
                <w:szCs w:val="22"/>
                <w:lang w:val="fr-FR"/>
              </w:rPr>
              <w:t>tm</w:t>
            </w:r>
            <w:proofErr w:type="spellEnd"/>
            <w:r w:rsidRPr="00062915">
              <w:rPr>
                <w:sz w:val="22"/>
                <w:szCs w:val="22"/>
                <w:lang w:val="fr-FR"/>
              </w:rPr>
              <w:t>.</w:t>
            </w:r>
          </w:p>
          <w:p w14:paraId="686E199E" w14:textId="77777777" w:rsidR="00062915" w:rsidRPr="00062915" w:rsidRDefault="00062915" w:rsidP="00062915">
            <w:pPr>
              <w:pStyle w:val="BodyText"/>
              <w:spacing w:before="120"/>
              <w:rPr>
                <w:sz w:val="22"/>
                <w:szCs w:val="22"/>
                <w:lang w:val="fr-FR"/>
              </w:rPr>
            </w:pPr>
            <w:r w:rsidRPr="00062915">
              <w:rPr>
                <w:sz w:val="22"/>
                <w:szCs w:val="22"/>
                <w:lang w:val="fr-FR"/>
              </w:rPr>
              <w:t>Des analyses rétrospectives ont indiqué que le modèle de référence a tendance à sous-estimer F et à surestimer la biomasse et le recrutement à l’âge 1 lorsque des années de données supplémentaires sont ajoutées. Pour tenir compte du biais rétrospectif, une prévision de sensibilité utilisant une correction rho des populations de 2017 (âges 0-9+) pour les projections déterministes et les évaluations des risques a été effectuée pour le début de l’année 2020. En supposant que les captures en 2017 soient égales au quota total de 50 000 </w:t>
            </w:r>
            <w:proofErr w:type="spellStart"/>
            <w:r w:rsidRPr="00062915">
              <w:rPr>
                <w:sz w:val="22"/>
                <w:szCs w:val="22"/>
                <w:lang w:val="fr-FR"/>
              </w:rPr>
              <w:t>tm</w:t>
            </w:r>
            <w:proofErr w:type="spellEnd"/>
            <w:r w:rsidRPr="00062915">
              <w:rPr>
                <w:sz w:val="22"/>
                <w:szCs w:val="22"/>
                <w:lang w:val="fr-FR"/>
              </w:rPr>
              <w:t xml:space="preserve"> et que F soit égale à 0,26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lang w:val="fr-FR"/>
              </w:rPr>
              <w:t>) en 2018 et 2019, des prises combinées du Canada et des États-Unis s’élevant à 44 000 </w:t>
            </w:r>
            <w:proofErr w:type="spellStart"/>
            <w:r w:rsidRPr="00062915">
              <w:rPr>
                <w:sz w:val="22"/>
                <w:szCs w:val="22"/>
                <w:lang w:val="fr-FR"/>
              </w:rPr>
              <w:t>tm</w:t>
            </w:r>
            <w:proofErr w:type="spellEnd"/>
            <w:r w:rsidRPr="00062915">
              <w:rPr>
                <w:sz w:val="22"/>
                <w:szCs w:val="22"/>
                <w:lang w:val="fr-FR"/>
              </w:rPr>
              <w:t xml:space="preserve"> en 2018 se traduiraient par un risque neutre (50 %) que le taux de mortalité par pêche dépasse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lang w:val="fr-FR"/>
              </w:rPr>
              <w:t xml:space="preserve"> = 0,26 cette année-là. Un total des prises combinées du Canada et des États-Unis de 27 500 </w:t>
            </w:r>
            <w:proofErr w:type="spellStart"/>
            <w:r w:rsidRPr="00062915">
              <w:rPr>
                <w:sz w:val="22"/>
                <w:szCs w:val="22"/>
                <w:lang w:val="fr-FR"/>
              </w:rPr>
              <w:t>tm</w:t>
            </w:r>
            <w:proofErr w:type="spellEnd"/>
            <w:r w:rsidRPr="00062915">
              <w:rPr>
                <w:sz w:val="22"/>
                <w:szCs w:val="22"/>
                <w:lang w:val="fr-FR"/>
              </w:rPr>
              <w:t xml:space="preserve"> en 2019 se traduirait par un risque neutre (50 %) que le taux de mortalité par pêche dépasse </w:t>
            </w:r>
            <w:proofErr w:type="spellStart"/>
            <w:r w:rsidRPr="00062915">
              <w:rPr>
                <w:sz w:val="22"/>
                <w:szCs w:val="22"/>
                <w:lang w:val="fr-FR"/>
              </w:rPr>
              <w:t>F</w:t>
            </w:r>
            <w:r w:rsidRPr="00062915">
              <w:rPr>
                <w:sz w:val="22"/>
                <w:szCs w:val="22"/>
                <w:vertAlign w:val="subscript"/>
                <w:lang w:val="fr-FR"/>
              </w:rPr>
              <w:t>réf</w:t>
            </w:r>
            <w:proofErr w:type="spellEnd"/>
            <w:r w:rsidRPr="00062915">
              <w:rPr>
                <w:sz w:val="22"/>
                <w:szCs w:val="22"/>
                <w:vertAlign w:val="subscript"/>
                <w:lang w:val="fr-FR"/>
              </w:rPr>
              <w:t>.</w:t>
            </w:r>
            <w:r w:rsidRPr="00062915">
              <w:rPr>
                <w:sz w:val="22"/>
                <w:szCs w:val="22"/>
                <w:lang w:val="fr-FR"/>
              </w:rPr>
              <w:t xml:space="preserve"> = 0,26 cette année-là.</w:t>
            </w:r>
          </w:p>
          <w:p w14:paraId="12357ABE" w14:textId="62D9B7E2" w:rsidR="00062915" w:rsidRPr="00062915" w:rsidRDefault="00062915" w:rsidP="00062915">
            <w:pPr>
              <w:rPr>
                <w:lang w:val="fr-FR"/>
              </w:rPr>
            </w:pPr>
            <w:r w:rsidRPr="00B44703">
              <w:rPr>
                <w:sz w:val="22"/>
                <w:szCs w:val="22"/>
              </w:rPr>
              <w:lastRenderedPageBreak/>
              <w:t xml:space="preserve">Les prises prévues à </w:t>
            </w:r>
            <w:proofErr w:type="spellStart"/>
            <w:r w:rsidRPr="00B44703">
              <w:rPr>
                <w:sz w:val="22"/>
                <w:szCs w:val="22"/>
              </w:rPr>
              <w:t>F</w:t>
            </w:r>
            <w:r w:rsidRPr="00B44703">
              <w:rPr>
                <w:sz w:val="22"/>
                <w:szCs w:val="22"/>
                <w:vertAlign w:val="subscript"/>
              </w:rPr>
              <w:t>réf</w:t>
            </w:r>
            <w:proofErr w:type="spellEnd"/>
            <w:r w:rsidRPr="00B44703">
              <w:rPr>
                <w:sz w:val="22"/>
                <w:szCs w:val="22"/>
              </w:rPr>
              <w:t xml:space="preserve"> établies par les projections de sensibilité sont très inférieures aux prises établies par les projections standard, mais elles tiennent compte de la tendance rétrospective constante qui a été observée au cours des deux dernières de cette évaluation.</w:t>
            </w:r>
          </w:p>
        </w:tc>
        <w:tc>
          <w:tcPr>
            <w:tcW w:w="4675" w:type="dxa"/>
          </w:tcPr>
          <w:p w14:paraId="60F4705B" w14:textId="77777777" w:rsidR="00062915" w:rsidRPr="00062915" w:rsidRDefault="00062915" w:rsidP="00407168">
            <w:pPr>
              <w:spacing w:line="360" w:lineRule="auto"/>
              <w:jc w:val="center"/>
              <w:rPr>
                <w:b/>
                <w:bCs/>
                <w:lang w:val="en-US"/>
              </w:rPr>
            </w:pPr>
            <w:bookmarkStart w:id="1" w:name="_Toc72222625"/>
            <w:r w:rsidRPr="00062915">
              <w:rPr>
                <w:b/>
                <w:bCs/>
              </w:rPr>
              <w:lastRenderedPageBreak/>
              <w:t>ABSTRACT</w:t>
            </w:r>
            <w:bookmarkEnd w:id="1"/>
          </w:p>
          <w:p w14:paraId="1C873990" w14:textId="77777777" w:rsidR="00062915" w:rsidRDefault="00062915" w:rsidP="00062915">
            <w:pPr>
              <w:pStyle w:val="BodyText"/>
              <w:spacing w:before="120"/>
              <w:rPr>
                <w:sz w:val="22"/>
                <w:szCs w:val="22"/>
                <w:lang w:val="en-CA"/>
              </w:rPr>
            </w:pPr>
            <w:r>
              <w:rPr>
                <w:sz w:val="22"/>
                <w:szCs w:val="22"/>
                <w:lang w:val="en-CA"/>
              </w:rPr>
              <w:t xml:space="preserve">The total catch of eastern Georges Bank (EGB) Haddock in 2016 was </w:t>
            </w:r>
            <w:r>
              <w:rPr>
                <w:rFonts w:cs="Arial"/>
                <w:sz w:val="22"/>
                <w:szCs w:val="22"/>
                <w:lang w:val="en-CA"/>
              </w:rPr>
              <w:t>12,409</w:t>
            </w:r>
            <w:r>
              <w:rPr>
                <w:sz w:val="22"/>
                <w:szCs w:val="22"/>
                <w:lang w:val="en-CA"/>
              </w:rPr>
              <w:t xml:space="preserve"> mt of the 37,000 mt combined Canada/United States of America (USA) quota. </w:t>
            </w:r>
            <w:r>
              <w:rPr>
                <w:rFonts w:cs="Arial"/>
                <w:sz w:val="22"/>
                <w:szCs w:val="22"/>
                <w:lang w:val="en-CA"/>
              </w:rPr>
              <w:t xml:space="preserve">The 2016 Canadian catch decreased from </w:t>
            </w:r>
            <w:r>
              <w:rPr>
                <w:rFonts w:cs="Arial"/>
                <w:sz w:val="22"/>
                <w:szCs w:val="22"/>
              </w:rPr>
              <w:t>14,648 mt</w:t>
            </w:r>
            <w:r>
              <w:rPr>
                <w:rFonts w:cs="Arial"/>
                <w:sz w:val="22"/>
                <w:szCs w:val="22"/>
                <w:lang w:val="en-CA"/>
              </w:rPr>
              <w:t xml:space="preserve"> in 2015 to </w:t>
            </w:r>
            <w:r>
              <w:rPr>
                <w:rFonts w:cs="Arial"/>
                <w:sz w:val="22"/>
                <w:szCs w:val="22"/>
              </w:rPr>
              <w:t>11,943 </w:t>
            </w:r>
            <w:r>
              <w:rPr>
                <w:rFonts w:cs="Arial"/>
                <w:sz w:val="22"/>
                <w:szCs w:val="22"/>
                <w:lang w:val="en-CA"/>
              </w:rPr>
              <w:t>mt,</w:t>
            </w:r>
            <w:r>
              <w:rPr>
                <w:sz w:val="22"/>
                <w:szCs w:val="22"/>
                <w:lang w:val="en-CA"/>
              </w:rPr>
              <w:t xml:space="preserve"> while the USA catch in 2016 was 466 mt, a decrease from the 2015 catch of 1,921 mt. Haddock discards from the Canadian scallop fishery and the USA </w:t>
            </w:r>
            <w:r>
              <w:rPr>
                <w:sz w:val="22"/>
                <w:szCs w:val="22"/>
              </w:rPr>
              <w:t>groundfish</w:t>
            </w:r>
            <w:r>
              <w:rPr>
                <w:sz w:val="22"/>
                <w:szCs w:val="22"/>
                <w:lang w:val="en-CA"/>
              </w:rPr>
              <w:t xml:space="preserve"> fishery were estimated at 8 and 125 mt, respectively. </w:t>
            </w:r>
          </w:p>
          <w:p w14:paraId="0AB80F60" w14:textId="77777777" w:rsidR="00062915" w:rsidRDefault="00062915" w:rsidP="00062915">
            <w:pPr>
              <w:pStyle w:val="BodyText"/>
              <w:spacing w:before="120"/>
              <w:rPr>
                <w:sz w:val="22"/>
                <w:szCs w:val="22"/>
              </w:rPr>
            </w:pPr>
            <w:r>
              <w:rPr>
                <w:sz w:val="22"/>
                <w:szCs w:val="22"/>
              </w:rPr>
              <w:t xml:space="preserve">The 2017 beginning of year adult population biomass (ages 3+) is estimated at 274,482 mt. A preliminary estimate for the 2016 year class is 111 million fish at age 1. The current estimate of the 2013 year class is 885 million fish, which is the highest in the time series (1931–1955 and 1969–2016). The exceptional 2003 and 2010 year classes, estimated at 196 million and 243 million age 1 fish, respectively, are the second and third largest. Except for the strong 2000 and 2011 year classes and the exceptional 2003, 2010, 2013, and 2016 year classes, recruitment has fluctuated between 1.8–27.1 million since 1990. Fully recruited fishing mortality increased to levels above </w:t>
            </w:r>
            <w:proofErr w:type="spellStart"/>
            <w:r>
              <w:rPr>
                <w:sz w:val="22"/>
                <w:szCs w:val="22"/>
              </w:rPr>
              <w:t>F</w:t>
            </w:r>
            <w:r>
              <w:rPr>
                <w:sz w:val="22"/>
                <w:szCs w:val="22"/>
                <w:vertAlign w:val="subscript"/>
              </w:rPr>
              <w:t>ref</w:t>
            </w:r>
            <w:proofErr w:type="spellEnd"/>
            <w:r>
              <w:rPr>
                <w:sz w:val="22"/>
                <w:szCs w:val="22"/>
                <w:vertAlign w:val="subscript"/>
              </w:rPr>
              <w:t xml:space="preserve">  </w:t>
            </w:r>
            <w:r>
              <w:rPr>
                <w:sz w:val="22"/>
                <w:szCs w:val="22"/>
              </w:rPr>
              <w:t xml:space="preserve">= 0.26 from 2010–2014 before dropping below </w:t>
            </w:r>
            <w:proofErr w:type="spellStart"/>
            <w:r>
              <w:rPr>
                <w:sz w:val="22"/>
                <w:szCs w:val="22"/>
              </w:rPr>
              <w:t>F</w:t>
            </w:r>
            <w:r>
              <w:rPr>
                <w:sz w:val="22"/>
                <w:szCs w:val="22"/>
                <w:vertAlign w:val="subscript"/>
              </w:rPr>
              <w:t>ref</w:t>
            </w:r>
            <w:proofErr w:type="spellEnd"/>
            <w:r>
              <w:rPr>
                <w:sz w:val="22"/>
                <w:szCs w:val="22"/>
              </w:rPr>
              <w:t xml:space="preserve"> in 2015. In 2016, F was estimated at 0.10. Positive signs of productivity include expanded age structure, broad spatial distribution, large biomass, and three exceptional year classes and three strong year classes since 2000. On the negative side, condition has decreased substantially and size at age has declined.</w:t>
            </w:r>
          </w:p>
          <w:p w14:paraId="523282FB" w14:textId="77777777" w:rsidR="00062915" w:rsidRDefault="00062915" w:rsidP="00062915">
            <w:pPr>
              <w:pStyle w:val="BodyText"/>
              <w:spacing w:before="120"/>
              <w:rPr>
                <w:sz w:val="22"/>
                <w:szCs w:val="22"/>
              </w:rPr>
            </w:pPr>
            <w:r>
              <w:rPr>
                <w:sz w:val="22"/>
                <w:szCs w:val="22"/>
              </w:rPr>
              <w:t>Assuming a 2017 catch equal to the 50,000 mt total quota and F = 0.26 (</w:t>
            </w:r>
            <w:proofErr w:type="spellStart"/>
            <w:r>
              <w:rPr>
                <w:sz w:val="22"/>
                <w:szCs w:val="22"/>
              </w:rPr>
              <w:t>F</w:t>
            </w:r>
            <w:r>
              <w:rPr>
                <w:sz w:val="22"/>
                <w:szCs w:val="22"/>
                <w:vertAlign w:val="subscript"/>
              </w:rPr>
              <w:t>ref</w:t>
            </w:r>
            <w:proofErr w:type="spellEnd"/>
            <w:r>
              <w:rPr>
                <w:sz w:val="22"/>
                <w:szCs w:val="22"/>
              </w:rPr>
              <w:t xml:space="preserve">) in 2018 and 2019, a combined Canada/USA catch of 86,000 mt in 2018 results in a neutral risk (50%) that the 2018 fishing mortality rate would exceed </w:t>
            </w:r>
            <w:proofErr w:type="spellStart"/>
            <w:r>
              <w:rPr>
                <w:sz w:val="22"/>
                <w:szCs w:val="22"/>
              </w:rPr>
              <w:t>F</w:t>
            </w:r>
            <w:r>
              <w:rPr>
                <w:sz w:val="22"/>
                <w:szCs w:val="22"/>
                <w:vertAlign w:val="subscript"/>
              </w:rPr>
              <w:t>ref</w:t>
            </w:r>
            <w:proofErr w:type="spellEnd"/>
            <w:r>
              <w:rPr>
                <w:sz w:val="22"/>
                <w:szCs w:val="22"/>
                <w:vertAlign w:val="subscript"/>
              </w:rPr>
              <w:t xml:space="preserve">  </w:t>
            </w:r>
            <w:r>
              <w:rPr>
                <w:sz w:val="22"/>
                <w:szCs w:val="22"/>
              </w:rPr>
              <w:t xml:space="preserve">= 0.26. The 2010 year class at age 8 is expected to contribute 11% of the catch biomass and the 2013 year class at age 5 is expected to contribute the highest percentage at 86%. Adult biomass is </w:t>
            </w:r>
            <w:r>
              <w:rPr>
                <w:sz w:val="22"/>
                <w:szCs w:val="22"/>
              </w:rPr>
              <w:lastRenderedPageBreak/>
              <w:t xml:space="preserve">projected to be 243,000 mt, at the beginning of 2019 at the </w:t>
            </w:r>
            <w:proofErr w:type="spellStart"/>
            <w:r>
              <w:rPr>
                <w:sz w:val="22"/>
                <w:szCs w:val="22"/>
              </w:rPr>
              <w:t>F</w:t>
            </w:r>
            <w:r>
              <w:rPr>
                <w:sz w:val="22"/>
                <w:szCs w:val="22"/>
                <w:vertAlign w:val="subscript"/>
              </w:rPr>
              <w:t>ref</w:t>
            </w:r>
            <w:proofErr w:type="spellEnd"/>
            <w:r>
              <w:rPr>
                <w:sz w:val="22"/>
                <w:szCs w:val="22"/>
                <w:vertAlign w:val="subscript"/>
              </w:rPr>
              <w:t xml:space="preserve"> </w:t>
            </w:r>
            <w:r>
              <w:rPr>
                <w:sz w:val="22"/>
                <w:szCs w:val="22"/>
              </w:rPr>
              <w:t xml:space="preserve">catch level. </w:t>
            </w:r>
          </w:p>
          <w:p w14:paraId="76D7BE5B" w14:textId="77777777" w:rsidR="00062915" w:rsidRDefault="00062915" w:rsidP="00062915">
            <w:pPr>
              <w:pStyle w:val="BodyText"/>
              <w:spacing w:before="120"/>
              <w:rPr>
                <w:sz w:val="22"/>
                <w:szCs w:val="22"/>
              </w:rPr>
            </w:pPr>
            <w:r>
              <w:rPr>
                <w:sz w:val="22"/>
                <w:szCs w:val="22"/>
              </w:rPr>
              <w:t xml:space="preserve">A combined Canada/USA catch of 53,000 mt in 2019 results in a neutral risk (50%) that the 2019 fishing mortality rate would exceed </w:t>
            </w:r>
            <w:proofErr w:type="spellStart"/>
            <w:r>
              <w:rPr>
                <w:sz w:val="22"/>
                <w:szCs w:val="22"/>
              </w:rPr>
              <w:t>F</w:t>
            </w:r>
            <w:r>
              <w:rPr>
                <w:sz w:val="22"/>
                <w:szCs w:val="22"/>
                <w:vertAlign w:val="subscript"/>
              </w:rPr>
              <w:t>ref</w:t>
            </w:r>
            <w:proofErr w:type="spellEnd"/>
            <w:r>
              <w:rPr>
                <w:sz w:val="22"/>
                <w:szCs w:val="22"/>
                <w:vertAlign w:val="subscript"/>
              </w:rPr>
              <w:t xml:space="preserve"> </w:t>
            </w:r>
            <w:r>
              <w:rPr>
                <w:sz w:val="22"/>
                <w:szCs w:val="22"/>
              </w:rPr>
              <w:t xml:space="preserve">= 0.26. The 2010 year class at age 9 is expected to contribute 5% of the catch biomass and the 2013 year class at age 6 is expected to contribute 86%. Adult biomass is projected to be 196,000 mt at the beginning of 2020 at the </w:t>
            </w:r>
            <w:proofErr w:type="spellStart"/>
            <w:r>
              <w:rPr>
                <w:sz w:val="22"/>
                <w:szCs w:val="22"/>
              </w:rPr>
              <w:t>F</w:t>
            </w:r>
            <w:r>
              <w:rPr>
                <w:sz w:val="22"/>
                <w:szCs w:val="22"/>
                <w:vertAlign w:val="subscript"/>
              </w:rPr>
              <w:t>ref</w:t>
            </w:r>
            <w:proofErr w:type="spellEnd"/>
            <w:r>
              <w:rPr>
                <w:sz w:val="22"/>
                <w:szCs w:val="22"/>
                <w:vertAlign w:val="subscript"/>
              </w:rPr>
              <w:t xml:space="preserve"> </w:t>
            </w:r>
            <w:r>
              <w:rPr>
                <w:sz w:val="22"/>
                <w:szCs w:val="22"/>
              </w:rPr>
              <w:t>catch level.</w:t>
            </w:r>
          </w:p>
          <w:p w14:paraId="4DAEADD5" w14:textId="77777777" w:rsidR="00062915" w:rsidRDefault="00062915" w:rsidP="00062915">
            <w:pPr>
              <w:pStyle w:val="BodyText"/>
              <w:spacing w:before="120"/>
              <w:rPr>
                <w:sz w:val="22"/>
                <w:szCs w:val="22"/>
              </w:rPr>
            </w:pPr>
            <w:r>
              <w:rPr>
                <w:sz w:val="22"/>
                <w:szCs w:val="22"/>
              </w:rPr>
              <w:t>Retrospective analyses indicated that the benchmark model has a tendency to underestimate F and overestimate biomass and age 1 recruitment when additional years of data are added. To account for the retrospective bias, a sensitivity forecast using the rho adjusted 2017 population numbers (ages 0–9+) for deterministic projections and risk assessments was conducted to beginning year 2020. Assuming a 2017 catch equal to the 50,000 mt total quota and F = 0.26 (</w:t>
            </w:r>
            <w:proofErr w:type="spellStart"/>
            <w:r>
              <w:rPr>
                <w:sz w:val="22"/>
                <w:szCs w:val="22"/>
              </w:rPr>
              <w:t>F</w:t>
            </w:r>
            <w:r>
              <w:rPr>
                <w:sz w:val="22"/>
                <w:szCs w:val="22"/>
                <w:vertAlign w:val="subscript"/>
              </w:rPr>
              <w:t>ref</w:t>
            </w:r>
            <w:proofErr w:type="spellEnd"/>
            <w:r>
              <w:rPr>
                <w:sz w:val="22"/>
                <w:szCs w:val="22"/>
              </w:rPr>
              <w:t xml:space="preserve">) in 2018 and 2019, a combined Canada/USA catch of 44,000 mt in 2018 results in a neutral risk (50%) that the 2018 fishing mortality rate would exceed </w:t>
            </w:r>
            <w:proofErr w:type="spellStart"/>
            <w:r>
              <w:rPr>
                <w:sz w:val="22"/>
                <w:szCs w:val="22"/>
              </w:rPr>
              <w:t>F</w:t>
            </w:r>
            <w:r>
              <w:rPr>
                <w:sz w:val="22"/>
                <w:szCs w:val="22"/>
                <w:vertAlign w:val="subscript"/>
              </w:rPr>
              <w:t>ref</w:t>
            </w:r>
            <w:proofErr w:type="spellEnd"/>
            <w:r>
              <w:rPr>
                <w:sz w:val="22"/>
                <w:szCs w:val="22"/>
                <w:vertAlign w:val="subscript"/>
              </w:rPr>
              <w:t xml:space="preserve"> </w:t>
            </w:r>
            <w:r>
              <w:rPr>
                <w:sz w:val="22"/>
                <w:szCs w:val="22"/>
              </w:rPr>
              <w:t xml:space="preserve">= 0.26. A combined Canada/USA catch of 27,500 mt in 2019 results in a neutral risk (50%) that the 2019 fishing mortality rate would exceed </w:t>
            </w:r>
            <w:proofErr w:type="spellStart"/>
            <w:r>
              <w:rPr>
                <w:sz w:val="22"/>
                <w:szCs w:val="22"/>
              </w:rPr>
              <w:t>F</w:t>
            </w:r>
            <w:r>
              <w:rPr>
                <w:sz w:val="22"/>
                <w:szCs w:val="22"/>
                <w:vertAlign w:val="subscript"/>
              </w:rPr>
              <w:t>ref</w:t>
            </w:r>
            <w:proofErr w:type="spellEnd"/>
            <w:r>
              <w:rPr>
                <w:sz w:val="22"/>
                <w:szCs w:val="22"/>
                <w:vertAlign w:val="subscript"/>
              </w:rPr>
              <w:t xml:space="preserve"> </w:t>
            </w:r>
            <w:r>
              <w:rPr>
                <w:sz w:val="22"/>
                <w:szCs w:val="22"/>
              </w:rPr>
              <w:t>= 0.26.</w:t>
            </w:r>
          </w:p>
          <w:p w14:paraId="414F9920" w14:textId="77777777" w:rsidR="00062915" w:rsidRDefault="00062915" w:rsidP="00062915">
            <w:pPr>
              <w:pStyle w:val="BodyText"/>
              <w:spacing w:before="120"/>
              <w:rPr>
                <w:sz w:val="22"/>
                <w:szCs w:val="22"/>
              </w:rPr>
            </w:pPr>
            <w:r>
              <w:rPr>
                <w:sz w:val="22"/>
                <w:szCs w:val="22"/>
              </w:rPr>
              <w:t xml:space="preserve">The </w:t>
            </w:r>
            <w:proofErr w:type="spellStart"/>
            <w:r>
              <w:rPr>
                <w:sz w:val="22"/>
                <w:szCs w:val="22"/>
              </w:rPr>
              <w:t>F</w:t>
            </w:r>
            <w:r>
              <w:rPr>
                <w:sz w:val="22"/>
                <w:szCs w:val="22"/>
                <w:vertAlign w:val="subscript"/>
              </w:rPr>
              <w:t>ref</w:t>
            </w:r>
            <w:proofErr w:type="spellEnd"/>
            <w:r>
              <w:rPr>
                <w:sz w:val="22"/>
                <w:szCs w:val="22"/>
              </w:rPr>
              <w:t xml:space="preserve"> catches from the sensitivity projections are considerably lower than the catches from standard projections, but they do take into account the consistent retrospective pattern which has occurred over the past four years in this assessment.</w:t>
            </w:r>
          </w:p>
          <w:p w14:paraId="28B29774" w14:textId="77777777" w:rsidR="00062915" w:rsidRDefault="00062915">
            <w:pPr>
              <w:rPr>
                <w:lang w:val="en-US"/>
              </w:rPr>
            </w:pPr>
          </w:p>
        </w:tc>
      </w:tr>
    </w:tbl>
    <w:p w14:paraId="0DD911C8" w14:textId="77777777" w:rsidR="00F8418A" w:rsidRPr="00062915" w:rsidRDefault="00BB465E">
      <w:pPr>
        <w:rPr>
          <w:lang w:val="en-US"/>
        </w:rPr>
      </w:pPr>
    </w:p>
    <w:sectPr w:rsidR="00F8418A" w:rsidRPr="00062915" w:rsidSect="00FA0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9591" w14:textId="77777777" w:rsidR="00BB465E" w:rsidRDefault="00BB465E" w:rsidP="00062915">
      <w:r>
        <w:separator/>
      </w:r>
    </w:p>
  </w:endnote>
  <w:endnote w:type="continuationSeparator" w:id="0">
    <w:p w14:paraId="3759E271" w14:textId="77777777" w:rsidR="00BB465E" w:rsidRDefault="00BB465E" w:rsidP="0006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5C76" w14:textId="77777777" w:rsidR="00FA08B7" w:rsidRDefault="00FA0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AA1D" w14:textId="77777777" w:rsidR="00FA08B7" w:rsidRDefault="00FA0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1" w:type="dxa"/>
      <w:tblBorders>
        <w:top w:val="single" w:sz="4" w:space="0" w:color="auto"/>
      </w:tblBorders>
      <w:tblLayout w:type="fixed"/>
      <w:tblLook w:val="01E0" w:firstRow="1" w:lastRow="1" w:firstColumn="1" w:lastColumn="1" w:noHBand="0" w:noVBand="0"/>
    </w:tblPr>
    <w:tblGrid>
      <w:gridCol w:w="4077"/>
      <w:gridCol w:w="540"/>
      <w:gridCol w:w="4758"/>
    </w:tblGrid>
    <w:tr w:rsidR="00FA08B7" w:rsidRPr="00E528EF" w14:paraId="7F4D6744" w14:textId="77777777" w:rsidTr="00A55F8B">
      <w:tc>
        <w:tcPr>
          <w:tcW w:w="4077" w:type="dxa"/>
          <w:tcBorders>
            <w:top w:val="nil"/>
            <w:bottom w:val="nil"/>
          </w:tcBorders>
        </w:tcPr>
        <w:p w14:paraId="7EBE53F4" w14:textId="77777777" w:rsidR="00FA08B7" w:rsidRPr="005614ED" w:rsidRDefault="00FA08B7" w:rsidP="00FA08B7">
          <w:pPr>
            <w:pStyle w:val="Footer"/>
            <w:rPr>
              <w:rFonts w:cs="Arial"/>
              <w:spacing w:val="-3"/>
              <w:sz w:val="16"/>
              <w:szCs w:val="16"/>
            </w:rPr>
          </w:pPr>
          <w:r w:rsidRPr="005614ED">
            <w:rPr>
              <w:sz w:val="16"/>
              <w:szCs w:val="16"/>
            </w:rPr>
            <w:t xml:space="preserve">Ce document est disponible </w:t>
          </w:r>
          <w:r>
            <w:rPr>
              <w:sz w:val="16"/>
              <w:szCs w:val="16"/>
            </w:rPr>
            <w:t xml:space="preserve">sur </w:t>
          </w:r>
          <w:r w:rsidRPr="005614ED">
            <w:rPr>
              <w:sz w:val="16"/>
              <w:szCs w:val="16"/>
            </w:rPr>
            <w:t>Internet à :</w:t>
          </w:r>
        </w:p>
      </w:tc>
      <w:tc>
        <w:tcPr>
          <w:tcW w:w="540" w:type="dxa"/>
          <w:tcBorders>
            <w:top w:val="nil"/>
            <w:bottom w:val="nil"/>
          </w:tcBorders>
        </w:tcPr>
        <w:p w14:paraId="66A7AB8D" w14:textId="77777777" w:rsidR="00FA08B7" w:rsidRPr="005614ED" w:rsidRDefault="00FA08B7" w:rsidP="00FA08B7">
          <w:pPr>
            <w:pStyle w:val="Footer"/>
            <w:jc w:val="center"/>
            <w:rPr>
              <w:rFonts w:cs="Arial"/>
              <w:spacing w:val="-3"/>
              <w:sz w:val="16"/>
              <w:szCs w:val="16"/>
            </w:rPr>
          </w:pPr>
        </w:p>
      </w:tc>
      <w:tc>
        <w:tcPr>
          <w:tcW w:w="4758" w:type="dxa"/>
          <w:tcBorders>
            <w:top w:val="nil"/>
            <w:bottom w:val="nil"/>
          </w:tcBorders>
        </w:tcPr>
        <w:p w14:paraId="496D406D" w14:textId="77777777" w:rsidR="00FA08B7" w:rsidRPr="005614ED" w:rsidRDefault="00FA08B7" w:rsidP="00FA08B7">
          <w:pPr>
            <w:pStyle w:val="Footer"/>
            <w:jc w:val="right"/>
            <w:rPr>
              <w:rFonts w:cs="Arial"/>
              <w:spacing w:val="-3"/>
              <w:sz w:val="16"/>
              <w:szCs w:val="16"/>
              <w:lang w:val="en-US"/>
            </w:rPr>
          </w:pPr>
          <w:r w:rsidRPr="005614ED">
            <w:rPr>
              <w:sz w:val="16"/>
              <w:szCs w:val="16"/>
              <w:lang w:val="en-CA"/>
            </w:rPr>
            <w:t>This document is available on the Internet at :</w:t>
          </w:r>
        </w:p>
      </w:tc>
    </w:tr>
    <w:tr w:rsidR="00FA08B7" w:rsidRPr="00E528EF" w14:paraId="557BA5CE" w14:textId="77777777" w:rsidTr="00A55F8B">
      <w:tc>
        <w:tcPr>
          <w:tcW w:w="9375" w:type="dxa"/>
          <w:gridSpan w:val="3"/>
          <w:tcBorders>
            <w:top w:val="nil"/>
            <w:bottom w:val="single" w:sz="4" w:space="0" w:color="auto"/>
          </w:tcBorders>
        </w:tcPr>
        <w:p w14:paraId="577F9B74" w14:textId="77777777" w:rsidR="00FA08B7" w:rsidRPr="005614ED" w:rsidRDefault="00FA08B7" w:rsidP="00FA08B7">
          <w:pPr>
            <w:pStyle w:val="Footer"/>
            <w:jc w:val="center"/>
            <w:rPr>
              <w:rFonts w:cs="Arial"/>
              <w:spacing w:val="-3"/>
              <w:sz w:val="16"/>
              <w:szCs w:val="16"/>
              <w:lang w:val="en-US"/>
            </w:rPr>
          </w:pPr>
          <w:r w:rsidRPr="005614ED">
            <w:rPr>
              <w:sz w:val="16"/>
              <w:szCs w:val="16"/>
              <w:lang w:val="en-US"/>
            </w:rPr>
            <w:t>http://www.bio.gc.ca/info/intercol/trac-cert/index-fr.php</w:t>
          </w:r>
        </w:p>
      </w:tc>
    </w:tr>
    <w:tr w:rsidR="00FA08B7" w:rsidRPr="005614ED" w14:paraId="19CAF5B5" w14:textId="77777777" w:rsidTr="00A55F8B">
      <w:tc>
        <w:tcPr>
          <w:tcW w:w="4077" w:type="dxa"/>
          <w:tcBorders>
            <w:top w:val="single" w:sz="4" w:space="0" w:color="auto"/>
          </w:tcBorders>
        </w:tcPr>
        <w:p w14:paraId="0394A290" w14:textId="77777777" w:rsidR="00FA08B7" w:rsidRPr="005614ED" w:rsidRDefault="00FA08B7" w:rsidP="00FA08B7">
          <w:pPr>
            <w:pStyle w:val="Footer"/>
            <w:rPr>
              <w:rFonts w:cs="Arial"/>
              <w:spacing w:val="-3"/>
              <w:lang w:val="en-CA"/>
            </w:rPr>
          </w:pPr>
        </w:p>
        <w:p w14:paraId="782D0FCD" w14:textId="77777777" w:rsidR="00FA08B7" w:rsidRPr="005614ED" w:rsidRDefault="00FA08B7" w:rsidP="00FA08B7">
          <w:pPr>
            <w:pStyle w:val="Footer"/>
            <w:rPr>
              <w:rFonts w:cs="Arial"/>
              <w:spacing w:val="-3"/>
            </w:rPr>
          </w:pPr>
          <w:r w:rsidRPr="005614ED">
            <w:rPr>
              <w:noProof/>
              <w:lang w:val="en-US"/>
            </w:rPr>
            <w:drawing>
              <wp:inline distT="0" distB="0" distL="0" distR="0" wp14:anchorId="46BB4ED8" wp14:editId="1ACC889E">
                <wp:extent cx="800100" cy="190500"/>
                <wp:effectExtent l="0" t="0" r="0" b="0"/>
                <wp:docPr id="3" name="Picture 3" descr="CANADA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ADA ©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p>
      </w:tc>
      <w:tc>
        <w:tcPr>
          <w:tcW w:w="540" w:type="dxa"/>
          <w:tcBorders>
            <w:top w:val="single" w:sz="4" w:space="0" w:color="auto"/>
          </w:tcBorders>
        </w:tcPr>
        <w:p w14:paraId="73C43317" w14:textId="77777777" w:rsidR="00FA08B7" w:rsidRPr="005614ED" w:rsidRDefault="00FA08B7" w:rsidP="00FA08B7">
          <w:pPr>
            <w:pStyle w:val="Footer"/>
            <w:jc w:val="center"/>
            <w:rPr>
              <w:rFonts w:cs="Arial"/>
              <w:spacing w:val="-3"/>
            </w:rPr>
          </w:pPr>
        </w:p>
        <w:p w14:paraId="48E8F0DE" w14:textId="77777777" w:rsidR="00FA08B7" w:rsidRPr="005614ED" w:rsidRDefault="00FA08B7" w:rsidP="00FA08B7">
          <w:pPr>
            <w:pStyle w:val="Footer"/>
            <w:jc w:val="center"/>
            <w:rPr>
              <w:rFonts w:cs="Arial"/>
              <w:spacing w:val="-3"/>
            </w:rPr>
          </w:pPr>
        </w:p>
      </w:tc>
      <w:tc>
        <w:tcPr>
          <w:tcW w:w="4758" w:type="dxa"/>
          <w:tcBorders>
            <w:top w:val="single" w:sz="4" w:space="0" w:color="auto"/>
          </w:tcBorders>
        </w:tcPr>
        <w:p w14:paraId="2B6D43B3" w14:textId="77777777" w:rsidR="00FA08B7" w:rsidRPr="005614ED" w:rsidRDefault="00FA08B7" w:rsidP="00FA08B7">
          <w:pPr>
            <w:pStyle w:val="Footer"/>
            <w:jc w:val="right"/>
            <w:rPr>
              <w:rFonts w:cs="Arial"/>
              <w:spacing w:val="-3"/>
            </w:rPr>
          </w:pPr>
          <w:r w:rsidRPr="005614ED">
            <w:rPr>
              <w:noProof/>
              <w:lang w:val="en-US"/>
            </w:rPr>
            <w:drawing>
              <wp:inline distT="0" distB="0" distL="0" distR="0" wp14:anchorId="33A1C833" wp14:editId="608A2C36">
                <wp:extent cx="381000" cy="381000"/>
                <wp:effectExtent l="0" t="0" r="0" b="0"/>
                <wp:docPr id="4" name="Picture 4" descr="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1A40E5C4" w14:textId="77777777" w:rsidR="00FA08B7" w:rsidRPr="00062915" w:rsidRDefault="00FA08B7" w:rsidP="00FA08B7">
    <w:pPr>
      <w:pStyle w:val="Footer"/>
    </w:pPr>
  </w:p>
  <w:p w14:paraId="7C77106E" w14:textId="77777777" w:rsidR="00FA08B7" w:rsidRDefault="00FA0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377B" w14:textId="77777777" w:rsidR="00BB465E" w:rsidRDefault="00BB465E" w:rsidP="00062915">
      <w:r>
        <w:separator/>
      </w:r>
    </w:p>
  </w:footnote>
  <w:footnote w:type="continuationSeparator" w:id="0">
    <w:p w14:paraId="704E439D" w14:textId="77777777" w:rsidR="00BB465E" w:rsidRDefault="00BB465E" w:rsidP="0006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FEC9" w14:textId="77777777" w:rsidR="00FA08B7" w:rsidRDefault="00FA0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A297" w14:textId="77777777" w:rsidR="00FA08B7" w:rsidRDefault="00FA0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4" w:type="dxa"/>
      <w:tblLayout w:type="fixed"/>
      <w:tblCellMar>
        <w:left w:w="0" w:type="dxa"/>
        <w:right w:w="0" w:type="dxa"/>
      </w:tblCellMar>
      <w:tblLook w:val="01E0" w:firstRow="1" w:lastRow="1" w:firstColumn="1" w:lastColumn="1" w:noHBand="0" w:noVBand="0"/>
    </w:tblPr>
    <w:tblGrid>
      <w:gridCol w:w="4952"/>
      <w:gridCol w:w="4962"/>
    </w:tblGrid>
    <w:tr w:rsidR="00FA08B7" w:rsidRPr="005614ED" w14:paraId="60E015FB" w14:textId="77777777" w:rsidTr="00A55F8B">
      <w:trPr>
        <w:trHeight w:val="290"/>
      </w:trPr>
      <w:tc>
        <w:tcPr>
          <w:tcW w:w="4952" w:type="dxa"/>
        </w:tcPr>
        <w:p w14:paraId="425C5B26" w14:textId="77777777" w:rsidR="00FA08B7" w:rsidRPr="005614ED" w:rsidRDefault="00FA08B7" w:rsidP="00FA08B7">
          <w:pPr>
            <w:pStyle w:val="Header"/>
            <w:tabs>
              <w:tab w:val="right" w:pos="8825"/>
            </w:tabs>
            <w:rPr>
              <w:b/>
            </w:rPr>
          </w:pPr>
          <w:r w:rsidRPr="00FF6E78">
            <w:rPr>
              <w:noProof/>
              <w:lang w:val="en-US"/>
            </w:rPr>
            <w:drawing>
              <wp:inline distT="0" distB="0" distL="0" distR="0" wp14:anchorId="2A12D358" wp14:editId="2F429FE0">
                <wp:extent cx="2493364" cy="460350"/>
                <wp:effectExtent l="0" t="0" r="2540" b="0"/>
                <wp:docPr id="1" name="Picture 1" descr="Fisheries and Ocean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eauI\Desktop\Templates&amp;Forms\e_eso_b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721" cy="460416"/>
                        </a:xfrm>
                        <a:prstGeom prst="rect">
                          <a:avLst/>
                        </a:prstGeom>
                        <a:noFill/>
                        <a:ln>
                          <a:noFill/>
                        </a:ln>
                      </pic:spPr>
                    </pic:pic>
                  </a:graphicData>
                </a:graphic>
              </wp:inline>
            </w:drawing>
          </w:r>
        </w:p>
      </w:tc>
      <w:tc>
        <w:tcPr>
          <w:tcW w:w="4962" w:type="dxa"/>
        </w:tcPr>
        <w:p w14:paraId="6C219F10" w14:textId="77777777" w:rsidR="00FA08B7" w:rsidRPr="005614ED" w:rsidRDefault="00FA08B7" w:rsidP="00FA08B7">
          <w:pPr>
            <w:pStyle w:val="Header"/>
            <w:jc w:val="right"/>
            <w:rPr>
              <w:b/>
            </w:rPr>
          </w:pPr>
          <w:r w:rsidRPr="005614ED">
            <w:rPr>
              <w:b/>
              <w:noProof/>
              <w:lang w:val="en-US"/>
            </w:rPr>
            <w:drawing>
              <wp:inline distT="0" distB="0" distL="0" distR="0" wp14:anchorId="29FC241A" wp14:editId="4901B71C">
                <wp:extent cx="272415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4150" cy="266700"/>
                        </a:xfrm>
                        <a:prstGeom prst="rect">
                          <a:avLst/>
                        </a:prstGeom>
                        <a:noFill/>
                        <a:ln>
                          <a:noFill/>
                        </a:ln>
                      </pic:spPr>
                    </pic:pic>
                  </a:graphicData>
                </a:graphic>
              </wp:inline>
            </w:drawing>
          </w:r>
        </w:p>
      </w:tc>
    </w:tr>
    <w:tr w:rsidR="00FA08B7" w:rsidRPr="005614ED" w14:paraId="3E07ADB0" w14:textId="77777777" w:rsidTr="00A55F8B">
      <w:trPr>
        <w:cantSplit/>
        <w:trHeight w:val="641"/>
      </w:trPr>
      <w:tc>
        <w:tcPr>
          <w:tcW w:w="4952" w:type="dxa"/>
        </w:tcPr>
        <w:p w14:paraId="0FB8310D" w14:textId="77777777" w:rsidR="00FA08B7" w:rsidRPr="005614ED" w:rsidRDefault="00FA08B7" w:rsidP="00FA08B7">
          <w:pPr>
            <w:pStyle w:val="Header"/>
            <w:rPr>
              <w:rFonts w:cs="Arial"/>
              <w:b/>
              <w:sz w:val="22"/>
            </w:rPr>
          </w:pPr>
        </w:p>
        <w:p w14:paraId="283E84A9" w14:textId="77777777" w:rsidR="00FA08B7" w:rsidRPr="005614ED" w:rsidRDefault="00FA08B7" w:rsidP="00FA08B7">
          <w:pPr>
            <w:pStyle w:val="Header"/>
            <w:rPr>
              <w:rFonts w:cs="Arial"/>
              <w:b/>
              <w:i/>
              <w:sz w:val="30"/>
              <w:szCs w:val="30"/>
            </w:rPr>
          </w:pPr>
          <w:r w:rsidRPr="005614ED">
            <w:rPr>
              <w:b/>
              <w:i/>
              <w:sz w:val="30"/>
              <w:szCs w:val="30"/>
            </w:rPr>
            <w:t>CERT</w:t>
          </w:r>
        </w:p>
        <w:p w14:paraId="0173FF12" w14:textId="77777777" w:rsidR="00FA08B7" w:rsidRPr="005614ED" w:rsidRDefault="00FA08B7" w:rsidP="00FA08B7">
          <w:pPr>
            <w:pStyle w:val="Header"/>
            <w:rPr>
              <w:rFonts w:cs="Arial"/>
              <w:b/>
              <w:sz w:val="22"/>
            </w:rPr>
          </w:pPr>
        </w:p>
        <w:p w14:paraId="5A0D0771" w14:textId="77777777" w:rsidR="00FA08B7" w:rsidRPr="005614ED" w:rsidRDefault="00FA08B7" w:rsidP="00FA08B7">
          <w:pPr>
            <w:pStyle w:val="Header"/>
            <w:tabs>
              <w:tab w:val="center" w:pos="4428"/>
            </w:tabs>
            <w:rPr>
              <w:rFonts w:cs="Arial"/>
              <w:b/>
              <w:sz w:val="22"/>
              <w:szCs w:val="22"/>
            </w:rPr>
          </w:pPr>
          <w:r w:rsidRPr="005614ED">
            <w:rPr>
              <w:b/>
              <w:sz w:val="22"/>
              <w:szCs w:val="22"/>
            </w:rPr>
            <w:t>Comité d</w:t>
          </w:r>
          <w:r>
            <w:rPr>
              <w:b/>
              <w:sz w:val="22"/>
              <w:szCs w:val="22"/>
            </w:rPr>
            <w:t>’</w:t>
          </w:r>
          <w:r w:rsidRPr="005614ED">
            <w:rPr>
              <w:b/>
              <w:sz w:val="22"/>
              <w:szCs w:val="22"/>
            </w:rPr>
            <w:t>évaluation des</w:t>
          </w:r>
        </w:p>
        <w:p w14:paraId="40E352D8" w14:textId="77777777" w:rsidR="00FA08B7" w:rsidRDefault="00FA08B7" w:rsidP="00FA08B7">
          <w:pPr>
            <w:pStyle w:val="Header"/>
            <w:rPr>
              <w:b/>
              <w:sz w:val="22"/>
            </w:rPr>
          </w:pPr>
          <w:r w:rsidRPr="005614ED">
            <w:rPr>
              <w:b/>
              <w:sz w:val="22"/>
              <w:szCs w:val="22"/>
            </w:rPr>
            <w:t>ressources transfrontalières</w:t>
          </w:r>
          <w:r w:rsidRPr="005614ED">
            <w:rPr>
              <w:b/>
              <w:sz w:val="22"/>
            </w:rPr>
            <w:t xml:space="preserve"> </w:t>
          </w:r>
        </w:p>
        <w:p w14:paraId="6BEDF0C6" w14:textId="77777777" w:rsidR="00FA08B7" w:rsidRPr="005614ED" w:rsidRDefault="00FA08B7" w:rsidP="00FA08B7">
          <w:pPr>
            <w:pStyle w:val="Header"/>
            <w:rPr>
              <w:rFonts w:cs="Arial"/>
              <w:b/>
              <w:sz w:val="22"/>
            </w:rPr>
          </w:pPr>
        </w:p>
      </w:tc>
      <w:tc>
        <w:tcPr>
          <w:tcW w:w="4962" w:type="dxa"/>
        </w:tcPr>
        <w:p w14:paraId="223AC0A3" w14:textId="77777777" w:rsidR="00FA08B7" w:rsidRPr="00AC35C0" w:rsidRDefault="00FA08B7" w:rsidP="00FA08B7">
          <w:pPr>
            <w:pStyle w:val="Header"/>
            <w:rPr>
              <w:rFonts w:cs="Arial"/>
              <w:b/>
              <w:sz w:val="22"/>
              <w:szCs w:val="22"/>
            </w:rPr>
          </w:pPr>
        </w:p>
        <w:p w14:paraId="42FCE57C" w14:textId="77777777" w:rsidR="00FA08B7" w:rsidRPr="005614ED" w:rsidRDefault="00FA08B7" w:rsidP="00FA08B7">
          <w:pPr>
            <w:pStyle w:val="Header"/>
            <w:rPr>
              <w:rFonts w:cs="Arial"/>
              <w:b/>
              <w:i/>
              <w:sz w:val="30"/>
              <w:szCs w:val="30"/>
              <w:lang w:val="en-US"/>
            </w:rPr>
          </w:pPr>
          <w:r w:rsidRPr="005614ED">
            <w:rPr>
              <w:b/>
              <w:i/>
              <w:sz w:val="30"/>
              <w:szCs w:val="30"/>
              <w:lang w:val="en-CA"/>
            </w:rPr>
            <w:t>TRAC</w:t>
          </w:r>
        </w:p>
        <w:p w14:paraId="7AFCAFB1" w14:textId="77777777" w:rsidR="00FA08B7" w:rsidRPr="005614ED" w:rsidRDefault="00FA08B7" w:rsidP="00FA08B7">
          <w:pPr>
            <w:pStyle w:val="Header"/>
            <w:rPr>
              <w:rFonts w:cs="Arial"/>
              <w:b/>
              <w:sz w:val="22"/>
              <w:szCs w:val="22"/>
              <w:lang w:val="en-CA"/>
            </w:rPr>
          </w:pPr>
        </w:p>
        <w:p w14:paraId="4AED1DD9" w14:textId="77777777" w:rsidR="00FA08B7" w:rsidRPr="005614ED" w:rsidRDefault="00FA08B7" w:rsidP="00FA08B7">
          <w:pPr>
            <w:pStyle w:val="Header"/>
            <w:rPr>
              <w:rFonts w:cs="Arial"/>
              <w:b/>
              <w:sz w:val="22"/>
              <w:lang w:val="en-US"/>
            </w:rPr>
          </w:pPr>
          <w:r w:rsidRPr="005614ED">
            <w:rPr>
              <w:b/>
              <w:sz w:val="22"/>
              <w:lang w:val="en-CA"/>
            </w:rPr>
            <w:t>Transboundary Resources</w:t>
          </w:r>
        </w:p>
        <w:p w14:paraId="059EF41D" w14:textId="77777777" w:rsidR="00FA08B7" w:rsidRPr="005614ED" w:rsidRDefault="00FA08B7" w:rsidP="00FA08B7">
          <w:pPr>
            <w:pStyle w:val="Header"/>
            <w:rPr>
              <w:rFonts w:cs="Arial"/>
              <w:b/>
              <w:sz w:val="12"/>
              <w:lang w:val="en-US"/>
            </w:rPr>
          </w:pPr>
          <w:r w:rsidRPr="005614ED">
            <w:rPr>
              <w:b/>
              <w:sz w:val="22"/>
              <w:lang w:val="en-CA"/>
            </w:rPr>
            <w:t>Assessment Committee</w:t>
          </w:r>
        </w:p>
      </w:tc>
    </w:tr>
    <w:tr w:rsidR="00FA08B7" w:rsidRPr="00FF37B1" w14:paraId="58D221B5" w14:textId="77777777" w:rsidTr="00A55F8B">
      <w:trPr>
        <w:cantSplit/>
        <w:trHeight w:val="178"/>
      </w:trPr>
      <w:tc>
        <w:tcPr>
          <w:tcW w:w="4952" w:type="dxa"/>
        </w:tcPr>
        <w:p w14:paraId="479F18C5" w14:textId="77777777" w:rsidR="00FA08B7" w:rsidRPr="00FF37B1" w:rsidRDefault="00FA08B7" w:rsidP="00FA08B7">
          <w:pPr>
            <w:pStyle w:val="Header"/>
            <w:rPr>
              <w:rFonts w:cs="Arial"/>
              <w:b/>
              <w:sz w:val="20"/>
            </w:rPr>
          </w:pPr>
          <w:r w:rsidRPr="00FF37B1">
            <w:rPr>
              <w:rFonts w:cs="Arial"/>
              <w:b/>
              <w:sz w:val="20"/>
            </w:rPr>
            <w:t>Document de référence 2017/02</w:t>
          </w:r>
        </w:p>
      </w:tc>
      <w:tc>
        <w:tcPr>
          <w:tcW w:w="4962" w:type="dxa"/>
        </w:tcPr>
        <w:p w14:paraId="3D86239F" w14:textId="77777777" w:rsidR="00FA08B7" w:rsidRPr="00FF37B1" w:rsidRDefault="00FA08B7" w:rsidP="00FA08B7">
          <w:pPr>
            <w:pStyle w:val="Header"/>
            <w:rPr>
              <w:rFonts w:cs="Arial"/>
              <w:b/>
              <w:sz w:val="20"/>
            </w:rPr>
          </w:pPr>
          <w:r w:rsidRPr="00FF37B1">
            <w:rPr>
              <w:rFonts w:cs="Arial"/>
              <w:b/>
              <w:sz w:val="20"/>
            </w:rPr>
            <w:t>Reference Document 2017/02</w:t>
          </w:r>
        </w:p>
        <w:p w14:paraId="5E114D5F" w14:textId="77777777" w:rsidR="00FA08B7" w:rsidRPr="00FF37B1" w:rsidRDefault="00FA08B7" w:rsidP="00FA08B7">
          <w:pPr>
            <w:pStyle w:val="Header"/>
            <w:rPr>
              <w:rFonts w:cs="Arial"/>
              <w:b/>
              <w:sz w:val="20"/>
            </w:rPr>
          </w:pPr>
        </w:p>
      </w:tc>
    </w:tr>
    <w:tr w:rsidR="00FA08B7" w:rsidRPr="009B53FD" w14:paraId="6E244B67" w14:textId="77777777" w:rsidTr="00A55F8B">
      <w:trPr>
        <w:cantSplit/>
        <w:trHeight w:val="184"/>
      </w:trPr>
      <w:tc>
        <w:tcPr>
          <w:tcW w:w="4952" w:type="dxa"/>
        </w:tcPr>
        <w:p w14:paraId="106401AF" w14:textId="77777777" w:rsidR="00FA08B7" w:rsidRPr="009B53FD" w:rsidRDefault="00FA08B7" w:rsidP="00FA08B7">
          <w:pPr>
            <w:pStyle w:val="Header"/>
            <w:rPr>
              <w:rFonts w:cs="Arial"/>
              <w:sz w:val="20"/>
            </w:rPr>
          </w:pPr>
          <w:r w:rsidRPr="009B53FD">
            <w:rPr>
              <w:rFonts w:cs="Arial"/>
              <w:sz w:val="20"/>
            </w:rPr>
            <w:t>Ne pas citer sans</w:t>
          </w:r>
        </w:p>
        <w:p w14:paraId="67A163C0" w14:textId="77777777" w:rsidR="00FA08B7" w:rsidRPr="009B53FD" w:rsidRDefault="00FA08B7" w:rsidP="00FA08B7">
          <w:pPr>
            <w:pStyle w:val="Header"/>
            <w:rPr>
              <w:rFonts w:cs="Arial"/>
              <w:sz w:val="20"/>
              <w:u w:val="single"/>
            </w:rPr>
          </w:pPr>
          <w:r w:rsidRPr="009B53FD">
            <w:rPr>
              <w:rFonts w:cs="Arial"/>
              <w:sz w:val="20"/>
              <w:u w:val="single"/>
            </w:rPr>
            <w:t>autorisation des auteurs</w:t>
          </w:r>
        </w:p>
      </w:tc>
      <w:tc>
        <w:tcPr>
          <w:tcW w:w="4962" w:type="dxa"/>
        </w:tcPr>
        <w:p w14:paraId="357C9A09" w14:textId="77777777" w:rsidR="00FA08B7" w:rsidRPr="009B53FD" w:rsidRDefault="00FA08B7" w:rsidP="00FA08B7">
          <w:pPr>
            <w:pStyle w:val="Header"/>
            <w:rPr>
              <w:rFonts w:cs="Arial"/>
              <w:sz w:val="20"/>
              <w:lang w:val="en-US"/>
            </w:rPr>
          </w:pPr>
          <w:r w:rsidRPr="009B53FD">
            <w:rPr>
              <w:rFonts w:cs="Arial"/>
              <w:sz w:val="20"/>
              <w:lang w:val="en-US"/>
            </w:rPr>
            <w:t>Not to be cited without</w:t>
          </w:r>
        </w:p>
        <w:p w14:paraId="082E2A95" w14:textId="77777777" w:rsidR="00FA08B7" w:rsidRPr="009B53FD" w:rsidRDefault="00FA08B7" w:rsidP="00FA08B7">
          <w:pPr>
            <w:pStyle w:val="Header"/>
            <w:rPr>
              <w:rFonts w:cs="Arial"/>
              <w:sz w:val="20"/>
              <w:u w:val="single"/>
              <w:lang w:val="en-US"/>
            </w:rPr>
          </w:pPr>
          <w:r w:rsidRPr="009B53FD">
            <w:rPr>
              <w:rFonts w:cs="Arial"/>
              <w:sz w:val="20"/>
              <w:u w:val="single"/>
              <w:lang w:val="en-US"/>
            </w:rPr>
            <w:t>permission of the authors</w:t>
          </w:r>
        </w:p>
      </w:tc>
    </w:tr>
    <w:tr w:rsidR="00FA08B7" w:rsidRPr="005614ED" w14:paraId="1452083D" w14:textId="77777777" w:rsidTr="00A55F8B">
      <w:trPr>
        <w:cantSplit/>
        <w:trHeight w:val="641"/>
      </w:trPr>
      <w:tc>
        <w:tcPr>
          <w:tcW w:w="4952" w:type="dxa"/>
        </w:tcPr>
        <w:p w14:paraId="016D8DE1" w14:textId="77777777" w:rsidR="00FA08B7" w:rsidRPr="00062915" w:rsidRDefault="00FA08B7" w:rsidP="00FA08B7">
          <w:pPr>
            <w:tabs>
              <w:tab w:val="left" w:pos="3645"/>
            </w:tabs>
            <w:rPr>
              <w:lang w:val="en-US"/>
            </w:rPr>
          </w:pPr>
        </w:p>
      </w:tc>
      <w:tc>
        <w:tcPr>
          <w:tcW w:w="4962" w:type="dxa"/>
        </w:tcPr>
        <w:p w14:paraId="62E8B419" w14:textId="77777777" w:rsidR="00FA08B7" w:rsidRPr="005614ED" w:rsidRDefault="00FA08B7" w:rsidP="00FA08B7">
          <w:pPr>
            <w:pStyle w:val="Header"/>
            <w:rPr>
              <w:rFonts w:cs="Arial"/>
              <w:b/>
              <w:sz w:val="12"/>
              <w:lang w:val="en-US"/>
            </w:rPr>
          </w:pPr>
        </w:p>
      </w:tc>
    </w:tr>
  </w:tbl>
  <w:p w14:paraId="1B7AFD0F" w14:textId="77777777" w:rsidR="00FA08B7" w:rsidRPr="00FA08B7" w:rsidRDefault="00FA08B7" w:rsidP="00FA08B7">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5A"/>
    <w:rsid w:val="00062915"/>
    <w:rsid w:val="000B218B"/>
    <w:rsid w:val="00407168"/>
    <w:rsid w:val="0041514E"/>
    <w:rsid w:val="00562B59"/>
    <w:rsid w:val="00797035"/>
    <w:rsid w:val="008B215A"/>
    <w:rsid w:val="00BB465E"/>
    <w:rsid w:val="00FA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66AF7"/>
  <w15:chartTrackingRefBased/>
  <w15:docId w15:val="{AAD7B5C7-A6B7-45F2-A58C-164660E8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15"/>
    <w:pPr>
      <w:spacing w:after="0" w:line="240" w:lineRule="auto"/>
    </w:pPr>
    <w:rPr>
      <w:rFonts w:ascii="Arial" w:eastAsia="Times New Roman" w:hAnsi="Arial" w:cs="Times New Roman"/>
      <w:sz w:val="24"/>
      <w:szCs w:val="20"/>
      <w:lang w:val="fr-CA"/>
    </w:rPr>
  </w:style>
  <w:style w:type="paragraph" w:styleId="Heading1">
    <w:name w:val="heading 1"/>
    <w:basedOn w:val="Normal"/>
    <w:next w:val="Normal"/>
    <w:link w:val="Heading1Char"/>
    <w:uiPriority w:val="9"/>
    <w:qFormat/>
    <w:rsid w:val="000629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2915"/>
    <w:pPr>
      <w:tabs>
        <w:tab w:val="center" w:pos="4680"/>
        <w:tab w:val="right" w:pos="9360"/>
      </w:tabs>
    </w:pPr>
  </w:style>
  <w:style w:type="character" w:customStyle="1" w:styleId="HeaderChar">
    <w:name w:val="Header Char"/>
    <w:basedOn w:val="DefaultParagraphFont"/>
    <w:link w:val="Header"/>
    <w:uiPriority w:val="99"/>
    <w:rsid w:val="00062915"/>
  </w:style>
  <w:style w:type="paragraph" w:styleId="Footer">
    <w:name w:val="footer"/>
    <w:basedOn w:val="Normal"/>
    <w:link w:val="FooterChar"/>
    <w:uiPriority w:val="99"/>
    <w:unhideWhenUsed/>
    <w:rsid w:val="00062915"/>
    <w:pPr>
      <w:tabs>
        <w:tab w:val="center" w:pos="4680"/>
        <w:tab w:val="right" w:pos="9360"/>
      </w:tabs>
    </w:pPr>
  </w:style>
  <w:style w:type="character" w:customStyle="1" w:styleId="FooterChar">
    <w:name w:val="Footer Char"/>
    <w:basedOn w:val="DefaultParagraphFont"/>
    <w:link w:val="Footer"/>
    <w:uiPriority w:val="99"/>
    <w:rsid w:val="00062915"/>
  </w:style>
  <w:style w:type="paragraph" w:customStyle="1" w:styleId="CoverDocumenttitle">
    <w:name w:val="Cover: Document title"/>
    <w:basedOn w:val="Normal"/>
    <w:qFormat/>
    <w:rsid w:val="00062915"/>
    <w:pPr>
      <w:spacing w:after="480"/>
      <w:jc w:val="center"/>
    </w:pPr>
    <w:rPr>
      <w:b/>
      <w:szCs w:val="24"/>
      <w:lang w:val="en-US"/>
    </w:rPr>
  </w:style>
  <w:style w:type="table" w:styleId="TableGrid">
    <w:name w:val="Table Grid"/>
    <w:basedOn w:val="TableNormal"/>
    <w:uiPriority w:val="39"/>
    <w:rsid w:val="00062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062915"/>
    <w:pPr>
      <w:spacing w:after="120"/>
    </w:pPr>
    <w:rPr>
      <w:lang w:val="en-US"/>
    </w:rPr>
  </w:style>
  <w:style w:type="character" w:customStyle="1" w:styleId="BodyTextChar">
    <w:name w:val="Body Text Char"/>
    <w:basedOn w:val="DefaultParagraphFont"/>
    <w:link w:val="BodyText"/>
    <w:rsid w:val="00062915"/>
    <w:rPr>
      <w:rFonts w:ascii="Arial" w:eastAsia="Times New Roman" w:hAnsi="Arial" w:cs="Times New Roman"/>
      <w:sz w:val="24"/>
      <w:szCs w:val="20"/>
    </w:rPr>
  </w:style>
  <w:style w:type="paragraph" w:customStyle="1" w:styleId="StyleHeading1TimesNewRoman">
    <w:name w:val="Style Heading 1 + Times New Roman"/>
    <w:basedOn w:val="Heading1"/>
    <w:rsid w:val="00062915"/>
    <w:pPr>
      <w:keepLines w:val="0"/>
      <w:spacing w:before="280" w:after="240"/>
      <w:jc w:val="center"/>
    </w:pPr>
    <w:rPr>
      <w:rFonts w:ascii="Times New Roman" w:eastAsia="Times New Roman" w:hAnsi="Times New Roman" w:cs="Times New Roman"/>
      <w:b/>
      <w:bCs/>
      <w:color w:val="auto"/>
      <w:sz w:val="28"/>
      <w:szCs w:val="20"/>
      <w:lang w:val="en-US"/>
    </w:rPr>
  </w:style>
  <w:style w:type="character" w:customStyle="1" w:styleId="Heading1Char">
    <w:name w:val="Heading 1 Char"/>
    <w:basedOn w:val="DefaultParagraphFont"/>
    <w:link w:val="Heading1"/>
    <w:uiPriority w:val="9"/>
    <w:rsid w:val="00062915"/>
    <w:rPr>
      <w:rFonts w:asciiTheme="majorHAnsi" w:eastAsiaTheme="majorEastAsia" w:hAnsiTheme="majorHAnsi" w:cstheme="majorBidi"/>
      <w:color w:val="2F5496" w:themeColor="accent1" w:themeShade="BF"/>
      <w:sz w:val="32"/>
      <w:szCs w:val="3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2239">
      <w:bodyDiv w:val="1"/>
      <w:marLeft w:val="0"/>
      <w:marRight w:val="0"/>
      <w:marTop w:val="0"/>
      <w:marBottom w:val="0"/>
      <w:divBdr>
        <w:top w:val="none" w:sz="0" w:space="0" w:color="auto"/>
        <w:left w:val="none" w:sz="0" w:space="0" w:color="auto"/>
        <w:bottom w:val="none" w:sz="0" w:space="0" w:color="auto"/>
        <w:right w:val="none" w:sz="0" w:space="0" w:color="auto"/>
      </w:divBdr>
    </w:div>
    <w:div w:id="599947600">
      <w:bodyDiv w:val="1"/>
      <w:marLeft w:val="0"/>
      <w:marRight w:val="0"/>
      <w:marTop w:val="0"/>
      <w:marBottom w:val="0"/>
      <w:divBdr>
        <w:top w:val="none" w:sz="0" w:space="0" w:color="auto"/>
        <w:left w:val="none" w:sz="0" w:space="0" w:color="auto"/>
        <w:bottom w:val="none" w:sz="0" w:space="0" w:color="auto"/>
        <w:right w:val="none" w:sz="0" w:space="0" w:color="auto"/>
      </w:divBdr>
    </w:div>
    <w:div w:id="1284507079">
      <w:bodyDiv w:val="1"/>
      <w:marLeft w:val="0"/>
      <w:marRight w:val="0"/>
      <w:marTop w:val="0"/>
      <w:marBottom w:val="0"/>
      <w:divBdr>
        <w:top w:val="none" w:sz="0" w:space="0" w:color="auto"/>
        <w:left w:val="none" w:sz="0" w:space="0" w:color="auto"/>
        <w:bottom w:val="none" w:sz="0" w:space="0" w:color="auto"/>
        <w:right w:val="none" w:sz="0" w:space="0" w:color="auto"/>
      </w:divBdr>
    </w:div>
    <w:div w:id="1512720262">
      <w:bodyDiv w:val="1"/>
      <w:marLeft w:val="0"/>
      <w:marRight w:val="0"/>
      <w:marTop w:val="0"/>
      <w:marBottom w:val="0"/>
      <w:divBdr>
        <w:top w:val="none" w:sz="0" w:space="0" w:color="auto"/>
        <w:left w:val="none" w:sz="0" w:space="0" w:color="auto"/>
        <w:bottom w:val="none" w:sz="0" w:space="0" w:color="auto"/>
        <w:right w:val="none" w:sz="0" w:space="0" w:color="auto"/>
      </w:divBdr>
    </w:div>
    <w:div w:id="20614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A2B1D-812F-4D46-909C-D0AE531B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DFO MPO</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Upson, Patrick</dc:creator>
  <cp:keywords/>
  <dc:description/>
  <cp:lastModifiedBy>Upson, Patrick</cp:lastModifiedBy>
  <cp:revision>3</cp:revision>
  <dcterms:created xsi:type="dcterms:W3CDTF">2022-03-22T15:50:00Z</dcterms:created>
  <dcterms:modified xsi:type="dcterms:W3CDTF">2022-03-22T16:04:00Z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2022-03-22T16:04:23Z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891a04eb-1dbf-40a2-b279-0000bef24665</vt:lpwstr>
  </property>
</Properties>
</file>