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4BA" w:rsidRPr="00AE6675" w:rsidRDefault="0024671F" w:rsidP="00DA6343">
      <w:pPr>
        <w:pStyle w:val="CoverDocumenttitle"/>
        <w:spacing w:before="3240"/>
        <w:rPr>
          <w:rFonts w:cs="Arial"/>
          <w:lang w:val="fr-CA"/>
        </w:rPr>
      </w:pPr>
      <w:r w:rsidRPr="00AE6675">
        <w:rPr>
          <w:lang w:val="fr-CA"/>
        </w:rPr>
        <w:t>Autres méthodes pour fournir des avis provisoires sur les prises de morue de l</w:t>
      </w:r>
      <w:r w:rsidR="00AD78A9" w:rsidRPr="00AE6675">
        <w:rPr>
          <w:lang w:val="fr-CA"/>
        </w:rPr>
        <w:t>’</w:t>
      </w:r>
      <w:r w:rsidRPr="00AE6675">
        <w:rPr>
          <w:lang w:val="fr-CA"/>
        </w:rPr>
        <w:t>est du banc de Georges</w:t>
      </w:r>
    </w:p>
    <w:p w:rsidR="00C554D1" w:rsidRPr="00AE6675" w:rsidRDefault="00DE6DA7" w:rsidP="00DA6343">
      <w:pPr>
        <w:pStyle w:val="CoverAuthor"/>
        <w:rPr>
          <w:lang w:val="fr-CA"/>
        </w:rPr>
      </w:pPr>
      <w:r w:rsidRPr="00AE6675">
        <w:rPr>
          <w:lang w:val="fr-CA"/>
        </w:rPr>
        <w:t>I. Andrushchenko</w:t>
      </w:r>
      <w:r w:rsidRPr="00AE6675">
        <w:rPr>
          <w:vertAlign w:val="superscript"/>
          <w:lang w:val="fr-CA"/>
        </w:rPr>
        <w:t>1</w:t>
      </w:r>
      <w:r w:rsidRPr="00AE6675">
        <w:rPr>
          <w:lang w:val="fr-CA"/>
        </w:rPr>
        <w:t>, C.M. Legault</w:t>
      </w:r>
      <w:r w:rsidRPr="00AE6675">
        <w:rPr>
          <w:vertAlign w:val="superscript"/>
          <w:lang w:val="fr-CA"/>
        </w:rPr>
        <w:t>2</w:t>
      </w:r>
      <w:r w:rsidRPr="00AE6675">
        <w:rPr>
          <w:lang w:val="fr-CA"/>
        </w:rPr>
        <w:t>, M. Barrett</w:t>
      </w:r>
      <w:r w:rsidRPr="00AE6675">
        <w:rPr>
          <w:vertAlign w:val="superscript"/>
          <w:lang w:val="fr-CA"/>
        </w:rPr>
        <w:t>1</w:t>
      </w:r>
    </w:p>
    <w:p w:rsidR="00BF04BA" w:rsidRPr="00AE6675" w:rsidRDefault="00BF04BA" w:rsidP="00DA6343">
      <w:pPr>
        <w:pStyle w:val="CoverAddress"/>
        <w:rPr>
          <w:lang w:val="fr-CA"/>
        </w:rPr>
      </w:pPr>
      <w:r w:rsidRPr="00AE6675">
        <w:rPr>
          <w:vertAlign w:val="superscript"/>
          <w:lang w:val="fr-CA"/>
        </w:rPr>
        <w:t>1</w:t>
      </w:r>
      <w:r w:rsidRPr="00AE6675">
        <w:rPr>
          <w:lang w:val="fr-CA"/>
        </w:rPr>
        <w:t>Pêches et Océans Canada</w:t>
      </w:r>
      <w:r w:rsidR="00DA6343" w:rsidRPr="00AE6675">
        <w:rPr>
          <w:lang w:val="fr-CA"/>
        </w:rPr>
        <w:br/>
      </w:r>
      <w:r w:rsidR="00E709CF" w:rsidRPr="00AE6675">
        <w:rPr>
          <w:lang w:val="fr-CA"/>
        </w:rPr>
        <w:t>125, promenade Marine Science</w:t>
      </w:r>
      <w:r w:rsidR="00DA6343" w:rsidRPr="00AE6675">
        <w:rPr>
          <w:lang w:val="fr-CA"/>
        </w:rPr>
        <w:br/>
      </w:r>
      <w:r w:rsidRPr="00AE6675">
        <w:rPr>
          <w:lang w:val="fr-CA"/>
        </w:rPr>
        <w:t>St. Andrews (Nouveau-Brunswick)  E5B 0E4</w:t>
      </w:r>
      <w:r w:rsidR="00DA6343" w:rsidRPr="00AE6675">
        <w:rPr>
          <w:lang w:val="fr-CA"/>
        </w:rPr>
        <w:br/>
      </w:r>
      <w:r w:rsidRPr="00AE6675">
        <w:rPr>
          <w:lang w:val="fr-CA"/>
        </w:rPr>
        <w:t>Canada</w:t>
      </w:r>
    </w:p>
    <w:p w:rsidR="00BF04BA" w:rsidRPr="00AE6675" w:rsidRDefault="00BF04BA" w:rsidP="00DA6343">
      <w:pPr>
        <w:pStyle w:val="CoverAddress"/>
        <w:rPr>
          <w:lang w:val="fr-CA"/>
        </w:rPr>
      </w:pPr>
      <w:r w:rsidRPr="00AE6675">
        <w:rPr>
          <w:vertAlign w:val="superscript"/>
          <w:lang w:val="fr-CA"/>
        </w:rPr>
        <w:t>2</w:t>
      </w:r>
      <w:r w:rsidRPr="00AE6675">
        <w:rPr>
          <w:lang w:val="fr-CA"/>
        </w:rPr>
        <w:t>NOAA/NMFS Northeast Fisheries Science Center</w:t>
      </w:r>
      <w:r w:rsidR="00DA6343" w:rsidRPr="00AE6675">
        <w:rPr>
          <w:lang w:val="fr-CA"/>
        </w:rPr>
        <w:br/>
      </w:r>
      <w:r w:rsidRPr="00AE6675">
        <w:rPr>
          <w:lang w:val="fr-CA"/>
        </w:rPr>
        <w:t>166 Water Street</w:t>
      </w:r>
      <w:r w:rsidR="00DA6343" w:rsidRPr="00AE6675">
        <w:rPr>
          <w:lang w:val="fr-CA"/>
        </w:rPr>
        <w:br/>
      </w:r>
      <w:r w:rsidRPr="00AE6675">
        <w:rPr>
          <w:lang w:val="fr-CA"/>
        </w:rPr>
        <w:t>Woods Hole, Massachusetts  02543</w:t>
      </w:r>
      <w:r w:rsidR="00DA6343" w:rsidRPr="00AE6675">
        <w:rPr>
          <w:lang w:val="fr-CA"/>
        </w:rPr>
        <w:br/>
      </w:r>
      <w:r w:rsidRPr="00AE6675">
        <w:rPr>
          <w:lang w:val="fr-CA"/>
        </w:rPr>
        <w:t>États-Unis</w:t>
      </w:r>
    </w:p>
    <w:p w:rsidR="00500D3E" w:rsidRPr="00AE6675" w:rsidRDefault="00500D3E" w:rsidP="00BF04BA">
      <w:pPr>
        <w:pStyle w:val="Cover"/>
        <w:rPr>
          <w:sz w:val="20"/>
          <w:lang w:val="fr-CA"/>
        </w:rPr>
        <w:sectPr w:rsidR="00500D3E" w:rsidRPr="00AE6675" w:rsidSect="00EC7B00">
          <w:footerReference w:type="even" r:id="rId8"/>
          <w:footerReference w:type="default" r:id="rId9"/>
          <w:headerReference w:type="first" r:id="rId10"/>
          <w:footerReference w:type="first" r:id="rId11"/>
          <w:footnotePr>
            <w:pos w:val="beneathText"/>
            <w:numRestart w:val="eachPage"/>
          </w:footnotePr>
          <w:pgSz w:w="12240" w:h="15840"/>
          <w:pgMar w:top="1440" w:right="1440" w:bottom="1440" w:left="1440" w:header="720" w:footer="720" w:gutter="0"/>
          <w:pgNumType w:start="1"/>
          <w:cols w:space="720"/>
          <w:titlePg/>
        </w:sectPr>
      </w:pPr>
    </w:p>
    <w:p w:rsidR="00DA6343" w:rsidRPr="00AE6675" w:rsidRDefault="00DA6343" w:rsidP="00C47187">
      <w:pPr>
        <w:pStyle w:val="Heading1"/>
        <w:rPr>
          <w:lang w:val="fr-CA"/>
        </w:rPr>
        <w:sectPr w:rsidR="00DA6343" w:rsidRPr="00AE6675" w:rsidSect="008E4494">
          <w:headerReference w:type="even" r:id="rId12"/>
          <w:headerReference w:type="default" r:id="rId13"/>
          <w:footerReference w:type="even" r:id="rId14"/>
          <w:footerReference w:type="default" r:id="rId15"/>
          <w:headerReference w:type="first" r:id="rId16"/>
          <w:pgSz w:w="12240" w:h="15840"/>
          <w:pgMar w:top="1440" w:right="1304" w:bottom="1304" w:left="1531" w:header="709" w:footer="709" w:gutter="0"/>
          <w:cols w:space="708"/>
          <w:docGrid w:linePitch="360"/>
        </w:sectPr>
      </w:pPr>
    </w:p>
    <w:sdt>
      <w:sdtPr>
        <w:rPr>
          <w:lang w:val="fr-CA"/>
        </w:rPr>
        <w:id w:val="1948111584"/>
        <w:docPartObj>
          <w:docPartGallery w:val="Table of Contents"/>
          <w:docPartUnique/>
        </w:docPartObj>
      </w:sdtPr>
      <w:sdtEndPr>
        <w:rPr>
          <w:caps w:val="0"/>
          <w:noProof/>
          <w:sz w:val="22"/>
          <w:szCs w:val="20"/>
        </w:rPr>
      </w:sdtEndPr>
      <w:sdtContent>
        <w:p w:rsidR="00DA6343" w:rsidRPr="00AE6675" w:rsidRDefault="00DA6343" w:rsidP="00DA6343">
          <w:pPr>
            <w:pStyle w:val="TABLEOFCONTENTS"/>
            <w:rPr>
              <w:lang w:val="fr-CA"/>
            </w:rPr>
          </w:pPr>
          <w:r w:rsidRPr="00AE6675">
            <w:rPr>
              <w:lang w:val="fr-CA"/>
            </w:rPr>
            <w:t>Table DES MATIÈRES</w:t>
          </w:r>
        </w:p>
        <w:p w:rsidR="008C4052" w:rsidRDefault="00DA6343">
          <w:pPr>
            <w:pStyle w:val="TOC1"/>
            <w:rPr>
              <w:rFonts w:asciiTheme="minorHAnsi" w:eastAsiaTheme="minorEastAsia" w:hAnsiTheme="minorHAnsi" w:cstheme="minorBidi"/>
              <w:caps w:val="0"/>
              <w:noProof/>
              <w:szCs w:val="22"/>
            </w:rPr>
          </w:pPr>
          <w:r w:rsidRPr="00AE6675">
            <w:rPr>
              <w:lang w:val="fr-CA"/>
            </w:rPr>
            <w:fldChar w:fldCharType="begin"/>
          </w:r>
          <w:r w:rsidRPr="00AE6675">
            <w:rPr>
              <w:lang w:val="fr-CA"/>
            </w:rPr>
            <w:instrText xml:space="preserve"> TOC \o "1-3" \h \z \u </w:instrText>
          </w:r>
          <w:r w:rsidRPr="00AE6675">
            <w:rPr>
              <w:lang w:val="fr-CA"/>
            </w:rPr>
            <w:fldChar w:fldCharType="separate"/>
          </w:r>
          <w:hyperlink w:anchor="_Toc44316221" w:history="1">
            <w:r w:rsidR="008C4052" w:rsidRPr="00491071">
              <w:rPr>
                <w:rStyle w:val="Hyperlink"/>
                <w:noProof/>
                <w:lang w:val="fr-CA"/>
              </w:rPr>
              <w:t>RÉSUMÉ</w:t>
            </w:r>
            <w:r w:rsidR="008C4052">
              <w:rPr>
                <w:noProof/>
                <w:webHidden/>
              </w:rPr>
              <w:tab/>
            </w:r>
            <w:r w:rsidR="008C4052">
              <w:rPr>
                <w:noProof/>
                <w:webHidden/>
              </w:rPr>
              <w:fldChar w:fldCharType="begin"/>
            </w:r>
            <w:r w:rsidR="008C4052">
              <w:rPr>
                <w:noProof/>
                <w:webHidden/>
              </w:rPr>
              <w:instrText xml:space="preserve"> PAGEREF _Toc44316221 \h </w:instrText>
            </w:r>
            <w:r w:rsidR="008C4052">
              <w:rPr>
                <w:noProof/>
                <w:webHidden/>
              </w:rPr>
            </w:r>
            <w:r w:rsidR="008C4052">
              <w:rPr>
                <w:noProof/>
                <w:webHidden/>
              </w:rPr>
              <w:fldChar w:fldCharType="separate"/>
            </w:r>
            <w:r w:rsidR="00031329">
              <w:rPr>
                <w:noProof/>
                <w:webHidden/>
              </w:rPr>
              <w:t>iv</w:t>
            </w:r>
            <w:r w:rsidR="008C4052">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22" w:history="1">
            <w:r w:rsidRPr="00491071">
              <w:rPr>
                <w:rStyle w:val="Hyperlink"/>
                <w:noProof/>
                <w:lang w:val="fr-CA"/>
              </w:rPr>
              <w:t>INTRODUCTION</w:t>
            </w:r>
            <w:r>
              <w:rPr>
                <w:noProof/>
                <w:webHidden/>
              </w:rPr>
              <w:tab/>
            </w:r>
            <w:r>
              <w:rPr>
                <w:noProof/>
                <w:webHidden/>
              </w:rPr>
              <w:fldChar w:fldCharType="begin"/>
            </w:r>
            <w:r>
              <w:rPr>
                <w:noProof/>
                <w:webHidden/>
              </w:rPr>
              <w:instrText xml:space="preserve"> PAGEREF _Toc44316222 \h </w:instrText>
            </w:r>
            <w:r>
              <w:rPr>
                <w:noProof/>
                <w:webHidden/>
              </w:rPr>
            </w:r>
            <w:r>
              <w:rPr>
                <w:noProof/>
                <w:webHidden/>
              </w:rPr>
              <w:fldChar w:fldCharType="separate"/>
            </w:r>
            <w:r w:rsidR="00031329">
              <w:rPr>
                <w:noProof/>
                <w:webHidden/>
              </w:rPr>
              <w:t>1</w:t>
            </w:r>
            <w:r>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23" w:history="1">
            <w:r w:rsidRPr="00491071">
              <w:rPr>
                <w:rStyle w:val="Hyperlink"/>
                <w:noProof/>
                <w:lang w:val="fr-CA"/>
              </w:rPr>
              <w:t>APPROCHE ROSE</w:t>
            </w:r>
            <w:r>
              <w:rPr>
                <w:noProof/>
                <w:webHidden/>
              </w:rPr>
              <w:tab/>
            </w:r>
            <w:r>
              <w:rPr>
                <w:noProof/>
                <w:webHidden/>
              </w:rPr>
              <w:fldChar w:fldCharType="begin"/>
            </w:r>
            <w:r>
              <w:rPr>
                <w:noProof/>
                <w:webHidden/>
              </w:rPr>
              <w:instrText xml:space="preserve"> PAGEREF _Toc44316223 \h </w:instrText>
            </w:r>
            <w:r>
              <w:rPr>
                <w:noProof/>
                <w:webHidden/>
              </w:rPr>
            </w:r>
            <w:r>
              <w:rPr>
                <w:noProof/>
                <w:webHidden/>
              </w:rPr>
              <w:fldChar w:fldCharType="separate"/>
            </w:r>
            <w:r w:rsidR="00031329">
              <w:rPr>
                <w:noProof/>
                <w:webHidden/>
              </w:rPr>
              <w:t>1</w:t>
            </w:r>
            <w:r>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24" w:history="1">
            <w:r w:rsidRPr="00491071">
              <w:rPr>
                <w:rStyle w:val="Hyperlink"/>
                <w:noProof/>
                <w:lang w:val="fr-CA"/>
              </w:rPr>
              <w:t>APPROCHE DLMTOOL</w:t>
            </w:r>
            <w:r>
              <w:rPr>
                <w:noProof/>
                <w:webHidden/>
              </w:rPr>
              <w:tab/>
            </w:r>
            <w:r>
              <w:rPr>
                <w:noProof/>
                <w:webHidden/>
              </w:rPr>
              <w:fldChar w:fldCharType="begin"/>
            </w:r>
            <w:r>
              <w:rPr>
                <w:noProof/>
                <w:webHidden/>
              </w:rPr>
              <w:instrText xml:space="preserve"> PAGEREF _Toc44316224 \h </w:instrText>
            </w:r>
            <w:r>
              <w:rPr>
                <w:noProof/>
                <w:webHidden/>
              </w:rPr>
            </w:r>
            <w:r>
              <w:rPr>
                <w:noProof/>
                <w:webHidden/>
              </w:rPr>
              <w:fldChar w:fldCharType="separate"/>
            </w:r>
            <w:r w:rsidR="00031329">
              <w:rPr>
                <w:noProof/>
                <w:webHidden/>
              </w:rPr>
              <w:t>4</w:t>
            </w:r>
            <w:r>
              <w:rPr>
                <w:noProof/>
                <w:webHidden/>
              </w:rPr>
              <w:fldChar w:fldCharType="end"/>
            </w:r>
          </w:hyperlink>
        </w:p>
        <w:p w:rsidR="008C4052" w:rsidRDefault="008C4052">
          <w:pPr>
            <w:pStyle w:val="TOC2"/>
            <w:rPr>
              <w:rFonts w:asciiTheme="minorHAnsi" w:eastAsiaTheme="minorEastAsia" w:hAnsiTheme="minorHAnsi" w:cstheme="minorBidi"/>
              <w:caps w:val="0"/>
              <w:noProof/>
              <w:szCs w:val="22"/>
            </w:rPr>
          </w:pPr>
          <w:hyperlink w:anchor="_Toc44316225" w:history="1">
            <w:r w:rsidRPr="00491071">
              <w:rPr>
                <w:rStyle w:val="Hyperlink"/>
                <w:noProof/>
                <w:lang w:val="fr-CA"/>
              </w:rPr>
              <w:t>MODÈLE OPÉRATIONNEL</w:t>
            </w:r>
            <w:r>
              <w:rPr>
                <w:noProof/>
                <w:webHidden/>
              </w:rPr>
              <w:tab/>
            </w:r>
            <w:r>
              <w:rPr>
                <w:noProof/>
                <w:webHidden/>
              </w:rPr>
              <w:fldChar w:fldCharType="begin"/>
            </w:r>
            <w:r>
              <w:rPr>
                <w:noProof/>
                <w:webHidden/>
              </w:rPr>
              <w:instrText xml:space="preserve"> PAGEREF _Toc44316225 \h </w:instrText>
            </w:r>
            <w:r>
              <w:rPr>
                <w:noProof/>
                <w:webHidden/>
              </w:rPr>
            </w:r>
            <w:r>
              <w:rPr>
                <w:noProof/>
                <w:webHidden/>
              </w:rPr>
              <w:fldChar w:fldCharType="separate"/>
            </w:r>
            <w:r w:rsidR="00031329">
              <w:rPr>
                <w:noProof/>
                <w:webHidden/>
              </w:rPr>
              <w:t>5</w:t>
            </w:r>
            <w:r>
              <w:rPr>
                <w:noProof/>
                <w:webHidden/>
              </w:rPr>
              <w:fldChar w:fldCharType="end"/>
            </w:r>
          </w:hyperlink>
        </w:p>
        <w:p w:rsidR="008C4052" w:rsidRDefault="008C4052">
          <w:pPr>
            <w:pStyle w:val="TOC3"/>
            <w:tabs>
              <w:tab w:val="right" w:leader="dot" w:pos="9350"/>
            </w:tabs>
            <w:rPr>
              <w:rFonts w:asciiTheme="minorHAnsi" w:eastAsiaTheme="minorEastAsia" w:hAnsiTheme="minorHAnsi" w:cstheme="minorBidi"/>
              <w:noProof/>
            </w:rPr>
          </w:pPr>
          <w:hyperlink w:anchor="_Toc44316226" w:history="1">
            <w:r w:rsidRPr="00491071">
              <w:rPr>
                <w:rStyle w:val="Hyperlink"/>
                <w:noProof/>
              </w:rPr>
              <w:t>Relations stock-recrutement</w:t>
            </w:r>
            <w:r>
              <w:rPr>
                <w:noProof/>
                <w:webHidden/>
              </w:rPr>
              <w:tab/>
            </w:r>
            <w:r>
              <w:rPr>
                <w:noProof/>
                <w:webHidden/>
              </w:rPr>
              <w:fldChar w:fldCharType="begin"/>
            </w:r>
            <w:r>
              <w:rPr>
                <w:noProof/>
                <w:webHidden/>
              </w:rPr>
              <w:instrText xml:space="preserve"> PAGEREF _Toc44316226 \h </w:instrText>
            </w:r>
            <w:r>
              <w:rPr>
                <w:noProof/>
                <w:webHidden/>
              </w:rPr>
            </w:r>
            <w:r>
              <w:rPr>
                <w:noProof/>
                <w:webHidden/>
              </w:rPr>
              <w:fldChar w:fldCharType="separate"/>
            </w:r>
            <w:r w:rsidR="00031329">
              <w:rPr>
                <w:noProof/>
                <w:webHidden/>
              </w:rPr>
              <w:t>5</w:t>
            </w:r>
            <w:r>
              <w:rPr>
                <w:noProof/>
                <w:webHidden/>
              </w:rPr>
              <w:fldChar w:fldCharType="end"/>
            </w:r>
          </w:hyperlink>
        </w:p>
        <w:p w:rsidR="008C4052" w:rsidRDefault="008C4052">
          <w:pPr>
            <w:pStyle w:val="TOC3"/>
            <w:tabs>
              <w:tab w:val="right" w:leader="dot" w:pos="9350"/>
            </w:tabs>
            <w:rPr>
              <w:rFonts w:asciiTheme="minorHAnsi" w:eastAsiaTheme="minorEastAsia" w:hAnsiTheme="minorHAnsi" w:cstheme="minorBidi"/>
              <w:noProof/>
            </w:rPr>
          </w:pPr>
          <w:hyperlink w:anchor="_Toc44316227" w:history="1">
            <w:r w:rsidRPr="00491071">
              <w:rPr>
                <w:rStyle w:val="Hyperlink"/>
                <w:noProof/>
              </w:rPr>
              <w:t>Affaissement et recrutement inexploité</w:t>
            </w:r>
            <w:r>
              <w:rPr>
                <w:noProof/>
                <w:webHidden/>
              </w:rPr>
              <w:tab/>
            </w:r>
            <w:r>
              <w:rPr>
                <w:noProof/>
                <w:webHidden/>
              </w:rPr>
              <w:fldChar w:fldCharType="begin"/>
            </w:r>
            <w:r>
              <w:rPr>
                <w:noProof/>
                <w:webHidden/>
              </w:rPr>
              <w:instrText xml:space="preserve"> PAGEREF _Toc44316227 \h </w:instrText>
            </w:r>
            <w:r>
              <w:rPr>
                <w:noProof/>
                <w:webHidden/>
              </w:rPr>
            </w:r>
            <w:r>
              <w:rPr>
                <w:noProof/>
                <w:webHidden/>
              </w:rPr>
              <w:fldChar w:fldCharType="separate"/>
            </w:r>
            <w:r w:rsidR="00031329">
              <w:rPr>
                <w:noProof/>
                <w:webHidden/>
              </w:rPr>
              <w:t>6</w:t>
            </w:r>
            <w:r>
              <w:rPr>
                <w:noProof/>
                <w:webHidden/>
              </w:rPr>
              <w:fldChar w:fldCharType="end"/>
            </w:r>
          </w:hyperlink>
        </w:p>
        <w:p w:rsidR="008C4052" w:rsidRDefault="008C4052">
          <w:pPr>
            <w:pStyle w:val="TOC3"/>
            <w:tabs>
              <w:tab w:val="right" w:leader="dot" w:pos="9350"/>
            </w:tabs>
            <w:rPr>
              <w:rFonts w:asciiTheme="minorHAnsi" w:eastAsiaTheme="minorEastAsia" w:hAnsiTheme="minorHAnsi" w:cstheme="minorBidi"/>
              <w:noProof/>
            </w:rPr>
          </w:pPr>
          <w:hyperlink w:anchor="_Toc44316228" w:history="1">
            <w:r w:rsidRPr="00491071">
              <w:rPr>
                <w:rStyle w:val="Hyperlink"/>
                <w:noProof/>
              </w:rPr>
              <w:t>Clé âge-longueur</w:t>
            </w:r>
            <w:r>
              <w:rPr>
                <w:noProof/>
                <w:webHidden/>
              </w:rPr>
              <w:tab/>
            </w:r>
            <w:r>
              <w:rPr>
                <w:noProof/>
                <w:webHidden/>
              </w:rPr>
              <w:fldChar w:fldCharType="begin"/>
            </w:r>
            <w:r>
              <w:rPr>
                <w:noProof/>
                <w:webHidden/>
              </w:rPr>
              <w:instrText xml:space="preserve"> PAGEREF _Toc44316228 \h </w:instrText>
            </w:r>
            <w:r>
              <w:rPr>
                <w:noProof/>
                <w:webHidden/>
              </w:rPr>
            </w:r>
            <w:r>
              <w:rPr>
                <w:noProof/>
                <w:webHidden/>
              </w:rPr>
              <w:fldChar w:fldCharType="separate"/>
            </w:r>
            <w:r w:rsidR="00031329">
              <w:rPr>
                <w:noProof/>
                <w:webHidden/>
              </w:rPr>
              <w:t>6</w:t>
            </w:r>
            <w:r>
              <w:rPr>
                <w:noProof/>
                <w:webHidden/>
              </w:rPr>
              <w:fldChar w:fldCharType="end"/>
            </w:r>
          </w:hyperlink>
        </w:p>
        <w:p w:rsidR="008C4052" w:rsidRDefault="008C4052">
          <w:pPr>
            <w:pStyle w:val="TOC3"/>
            <w:tabs>
              <w:tab w:val="right" w:leader="dot" w:pos="9350"/>
            </w:tabs>
            <w:rPr>
              <w:rFonts w:asciiTheme="minorHAnsi" w:eastAsiaTheme="minorEastAsia" w:hAnsiTheme="minorHAnsi" w:cstheme="minorBidi"/>
              <w:noProof/>
            </w:rPr>
          </w:pPr>
          <w:hyperlink w:anchor="_Toc44316229" w:history="1">
            <w:r w:rsidRPr="00491071">
              <w:rPr>
                <w:rStyle w:val="Hyperlink"/>
                <w:noProof/>
              </w:rPr>
              <w:t>Mortalité totale, naturelle et par pêche</w:t>
            </w:r>
            <w:r>
              <w:rPr>
                <w:noProof/>
                <w:webHidden/>
              </w:rPr>
              <w:tab/>
            </w:r>
            <w:r>
              <w:rPr>
                <w:noProof/>
                <w:webHidden/>
              </w:rPr>
              <w:fldChar w:fldCharType="begin"/>
            </w:r>
            <w:r>
              <w:rPr>
                <w:noProof/>
                <w:webHidden/>
              </w:rPr>
              <w:instrText xml:space="preserve"> PAGEREF _Toc44316229 \h </w:instrText>
            </w:r>
            <w:r>
              <w:rPr>
                <w:noProof/>
                <w:webHidden/>
              </w:rPr>
            </w:r>
            <w:r>
              <w:rPr>
                <w:noProof/>
                <w:webHidden/>
              </w:rPr>
              <w:fldChar w:fldCharType="separate"/>
            </w:r>
            <w:r w:rsidR="00031329">
              <w:rPr>
                <w:noProof/>
                <w:webHidden/>
              </w:rPr>
              <w:t>7</w:t>
            </w:r>
            <w:r>
              <w:rPr>
                <w:noProof/>
                <w:webHidden/>
              </w:rPr>
              <w:fldChar w:fldCharType="end"/>
            </w:r>
          </w:hyperlink>
        </w:p>
        <w:p w:rsidR="008C4052" w:rsidRDefault="008C4052">
          <w:pPr>
            <w:pStyle w:val="TOC3"/>
            <w:tabs>
              <w:tab w:val="right" w:leader="dot" w:pos="9350"/>
            </w:tabs>
            <w:rPr>
              <w:rFonts w:asciiTheme="minorHAnsi" w:eastAsiaTheme="minorEastAsia" w:hAnsiTheme="minorHAnsi" w:cstheme="minorBidi"/>
              <w:noProof/>
            </w:rPr>
          </w:pPr>
          <w:hyperlink w:anchor="_Toc44316230" w:history="1">
            <w:r w:rsidRPr="00491071">
              <w:rPr>
                <w:rStyle w:val="Hyperlink"/>
                <w:noProof/>
              </w:rPr>
              <w:t>Paramètres en suspens et considérations supplémentaires</w:t>
            </w:r>
            <w:r>
              <w:rPr>
                <w:noProof/>
                <w:webHidden/>
              </w:rPr>
              <w:tab/>
            </w:r>
            <w:r>
              <w:rPr>
                <w:noProof/>
                <w:webHidden/>
              </w:rPr>
              <w:fldChar w:fldCharType="begin"/>
            </w:r>
            <w:r>
              <w:rPr>
                <w:noProof/>
                <w:webHidden/>
              </w:rPr>
              <w:instrText xml:space="preserve"> PAGEREF _Toc44316230 \h </w:instrText>
            </w:r>
            <w:r>
              <w:rPr>
                <w:noProof/>
                <w:webHidden/>
              </w:rPr>
            </w:r>
            <w:r>
              <w:rPr>
                <w:noProof/>
                <w:webHidden/>
              </w:rPr>
              <w:fldChar w:fldCharType="separate"/>
            </w:r>
            <w:r w:rsidR="00031329">
              <w:rPr>
                <w:noProof/>
                <w:webHidden/>
              </w:rPr>
              <w:t>7</w:t>
            </w:r>
            <w:r>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31" w:history="1">
            <w:r w:rsidRPr="00491071">
              <w:rPr>
                <w:rStyle w:val="Hyperlink"/>
                <w:noProof/>
                <w:lang w:val="fr-CA"/>
              </w:rPr>
              <w:t>REFERENCES CITéES</w:t>
            </w:r>
            <w:r>
              <w:rPr>
                <w:noProof/>
                <w:webHidden/>
              </w:rPr>
              <w:tab/>
            </w:r>
            <w:r>
              <w:rPr>
                <w:noProof/>
                <w:webHidden/>
              </w:rPr>
              <w:fldChar w:fldCharType="begin"/>
            </w:r>
            <w:r>
              <w:rPr>
                <w:noProof/>
                <w:webHidden/>
              </w:rPr>
              <w:instrText xml:space="preserve"> PAGEREF _Toc44316231 \h </w:instrText>
            </w:r>
            <w:r>
              <w:rPr>
                <w:noProof/>
                <w:webHidden/>
              </w:rPr>
            </w:r>
            <w:r>
              <w:rPr>
                <w:noProof/>
                <w:webHidden/>
              </w:rPr>
              <w:fldChar w:fldCharType="separate"/>
            </w:r>
            <w:r w:rsidR="00031329">
              <w:rPr>
                <w:noProof/>
                <w:webHidden/>
              </w:rPr>
              <w:t>8</w:t>
            </w:r>
            <w:r>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32" w:history="1">
            <w:r w:rsidRPr="00491071">
              <w:rPr>
                <w:rStyle w:val="Hyperlink"/>
                <w:noProof/>
                <w:lang w:val="fr-CA"/>
              </w:rPr>
              <w:t>TABLEAUX</w:t>
            </w:r>
            <w:r>
              <w:rPr>
                <w:noProof/>
                <w:webHidden/>
              </w:rPr>
              <w:tab/>
            </w:r>
            <w:r>
              <w:rPr>
                <w:noProof/>
                <w:webHidden/>
              </w:rPr>
              <w:fldChar w:fldCharType="begin"/>
            </w:r>
            <w:r>
              <w:rPr>
                <w:noProof/>
                <w:webHidden/>
              </w:rPr>
              <w:instrText xml:space="preserve"> PAGEREF _Toc44316232 \h </w:instrText>
            </w:r>
            <w:r>
              <w:rPr>
                <w:noProof/>
                <w:webHidden/>
              </w:rPr>
            </w:r>
            <w:r>
              <w:rPr>
                <w:noProof/>
                <w:webHidden/>
              </w:rPr>
              <w:fldChar w:fldCharType="separate"/>
            </w:r>
            <w:r w:rsidR="00031329">
              <w:rPr>
                <w:noProof/>
                <w:webHidden/>
              </w:rPr>
              <w:t>10</w:t>
            </w:r>
            <w:r>
              <w:rPr>
                <w:noProof/>
                <w:webHidden/>
              </w:rPr>
              <w:fldChar w:fldCharType="end"/>
            </w:r>
          </w:hyperlink>
        </w:p>
        <w:p w:rsidR="008C4052" w:rsidRDefault="008C4052">
          <w:pPr>
            <w:pStyle w:val="TOC1"/>
            <w:rPr>
              <w:rFonts w:asciiTheme="minorHAnsi" w:eastAsiaTheme="minorEastAsia" w:hAnsiTheme="minorHAnsi" w:cstheme="minorBidi"/>
              <w:caps w:val="0"/>
              <w:noProof/>
              <w:szCs w:val="22"/>
            </w:rPr>
          </w:pPr>
          <w:hyperlink w:anchor="_Toc44316233" w:history="1">
            <w:r w:rsidRPr="00491071">
              <w:rPr>
                <w:rStyle w:val="Hyperlink"/>
                <w:noProof/>
                <w:lang w:val="fr-CA"/>
              </w:rPr>
              <w:t>FIGURES</w:t>
            </w:r>
            <w:r>
              <w:rPr>
                <w:noProof/>
                <w:webHidden/>
              </w:rPr>
              <w:tab/>
            </w:r>
            <w:r>
              <w:rPr>
                <w:noProof/>
                <w:webHidden/>
              </w:rPr>
              <w:fldChar w:fldCharType="begin"/>
            </w:r>
            <w:r>
              <w:rPr>
                <w:noProof/>
                <w:webHidden/>
              </w:rPr>
              <w:instrText xml:space="preserve"> PAGEREF _Toc44316233 \h </w:instrText>
            </w:r>
            <w:r>
              <w:rPr>
                <w:noProof/>
                <w:webHidden/>
              </w:rPr>
            </w:r>
            <w:r>
              <w:rPr>
                <w:noProof/>
                <w:webHidden/>
              </w:rPr>
              <w:fldChar w:fldCharType="separate"/>
            </w:r>
            <w:r w:rsidR="00031329">
              <w:rPr>
                <w:noProof/>
                <w:webHidden/>
              </w:rPr>
              <w:t>13</w:t>
            </w:r>
            <w:r>
              <w:rPr>
                <w:noProof/>
                <w:webHidden/>
              </w:rPr>
              <w:fldChar w:fldCharType="end"/>
            </w:r>
          </w:hyperlink>
        </w:p>
        <w:p w:rsidR="00DA6343" w:rsidRPr="00AE6675" w:rsidRDefault="00DA6343" w:rsidP="00DA6343">
          <w:pPr>
            <w:rPr>
              <w:b/>
              <w:bCs/>
              <w:noProof/>
              <w:lang w:val="fr-CA"/>
            </w:rPr>
          </w:pPr>
          <w:r w:rsidRPr="00AE6675">
            <w:rPr>
              <w:b/>
              <w:bCs/>
              <w:noProof/>
              <w:lang w:val="fr-CA"/>
            </w:rPr>
            <w:fldChar w:fldCharType="end"/>
          </w:r>
        </w:p>
      </w:sdtContent>
    </w:sdt>
    <w:p w:rsidR="0025585E" w:rsidRDefault="0025585E" w:rsidP="00C47187">
      <w:pPr>
        <w:pStyle w:val="Heading1"/>
        <w:rPr>
          <w:lang w:val="fr-CA"/>
        </w:rPr>
      </w:pPr>
      <w:r>
        <w:rPr>
          <w:lang w:val="fr-CA"/>
        </w:rPr>
        <w:br w:type="page"/>
      </w:r>
    </w:p>
    <w:p w:rsidR="006802BC" w:rsidRPr="00AE6675" w:rsidRDefault="00810FCD" w:rsidP="00C47187">
      <w:pPr>
        <w:pStyle w:val="Heading1"/>
        <w:rPr>
          <w:lang w:val="fr-CA"/>
        </w:rPr>
      </w:pPr>
      <w:bookmarkStart w:id="0" w:name="_Toc44316221"/>
      <w:r w:rsidRPr="00AE6675">
        <w:rPr>
          <w:lang w:val="fr-CA"/>
        </w:rPr>
        <w:t>RÉSUMÉ</w:t>
      </w:r>
      <w:bookmarkEnd w:id="0"/>
    </w:p>
    <w:p w:rsidR="00600836" w:rsidRPr="00AE6675" w:rsidRDefault="00600836" w:rsidP="00AE6675">
      <w:pPr>
        <w:pStyle w:val="BodyText"/>
        <w:rPr>
          <w:rFonts w:cs="Arial"/>
          <w:lang w:val="fr-CA"/>
        </w:rPr>
      </w:pPr>
      <w:r w:rsidRPr="00AE6675">
        <w:rPr>
          <w:lang w:val="fr-CA"/>
        </w:rPr>
        <w:t>À la suite de la réunion du CERT de 2018, en raison des mauvais diagnostics des modèles de l</w:t>
      </w:r>
      <w:r w:rsidR="00AD78A9" w:rsidRPr="00AE6675">
        <w:rPr>
          <w:lang w:val="fr-CA"/>
        </w:rPr>
        <w:t>’</w:t>
      </w:r>
      <w:r w:rsidRPr="00AE6675">
        <w:rPr>
          <w:lang w:val="fr-CA"/>
        </w:rPr>
        <w:t>analyse de population virtuelle (APV) et du Programme d</w:t>
      </w:r>
      <w:r w:rsidR="00AD78A9" w:rsidRPr="00AE6675">
        <w:rPr>
          <w:lang w:val="fr-CA"/>
        </w:rPr>
        <w:t>’</w:t>
      </w:r>
      <w:r w:rsidRPr="00AE6675">
        <w:rPr>
          <w:lang w:val="fr-CA"/>
        </w:rPr>
        <w:t>évaluation selon la structure d</w:t>
      </w:r>
      <w:r w:rsidR="00AD78A9" w:rsidRPr="00AE6675">
        <w:rPr>
          <w:lang w:val="fr-CA"/>
        </w:rPr>
        <w:t>’</w:t>
      </w:r>
      <w:r w:rsidRPr="00AE6675">
        <w:rPr>
          <w:lang w:val="fr-CA"/>
        </w:rPr>
        <w:t>âge (PESA) pour la morue de l</w:t>
      </w:r>
      <w:r w:rsidR="00AD78A9" w:rsidRPr="00AE6675">
        <w:rPr>
          <w:lang w:val="fr-CA"/>
        </w:rPr>
        <w:t>’</w:t>
      </w:r>
      <w:r w:rsidRPr="00AE6675">
        <w:rPr>
          <w:lang w:val="fr-CA"/>
        </w:rPr>
        <w:t>est du banc de Georges, le Comité d</w:t>
      </w:r>
      <w:r w:rsidR="00AD78A9" w:rsidRPr="00AE6675">
        <w:rPr>
          <w:lang w:val="fr-CA"/>
        </w:rPr>
        <w:t>’</w:t>
      </w:r>
      <w:r w:rsidRPr="00AE6675">
        <w:rPr>
          <w:lang w:val="fr-CA"/>
        </w:rPr>
        <w:t>orientation de la gestion des stocks transfrontaliers (COGST) a demandé au CERT d</w:t>
      </w:r>
      <w:r w:rsidR="00AD78A9" w:rsidRPr="00AE6675">
        <w:rPr>
          <w:lang w:val="fr-CA"/>
        </w:rPr>
        <w:t>’</w:t>
      </w:r>
      <w:r w:rsidRPr="00AE6675">
        <w:rPr>
          <w:lang w:val="fr-CA"/>
        </w:rPr>
        <w:t>examiner d</w:t>
      </w:r>
      <w:r w:rsidR="00AD78A9" w:rsidRPr="00AE6675">
        <w:rPr>
          <w:lang w:val="fr-CA"/>
        </w:rPr>
        <w:t>’</w:t>
      </w:r>
      <w:r w:rsidRPr="00AE6675">
        <w:rPr>
          <w:lang w:val="fr-CA"/>
        </w:rPr>
        <w:t>autres méthodes pour fournir des avis sur les prises jusqu</w:t>
      </w:r>
      <w:r w:rsidR="00AD78A9" w:rsidRPr="00AE6675">
        <w:rPr>
          <w:lang w:val="fr-CA"/>
        </w:rPr>
        <w:t>’</w:t>
      </w:r>
      <w:r w:rsidRPr="00AE6675">
        <w:rPr>
          <w:lang w:val="fr-CA"/>
        </w:rPr>
        <w:t>à la réunion d</w:t>
      </w:r>
      <w:r w:rsidR="00AD78A9" w:rsidRPr="00AE6675">
        <w:rPr>
          <w:lang w:val="fr-CA"/>
        </w:rPr>
        <w:t>’</w:t>
      </w:r>
      <w:r w:rsidRPr="00AE6675">
        <w:rPr>
          <w:lang w:val="fr-CA"/>
        </w:rPr>
        <w:t>évaluation des points de référence. Les deux approches présentées pour une exploration plus approfondie dans ce document sont l</w:t>
      </w:r>
      <w:r w:rsidR="00AD78A9" w:rsidRPr="00AE6675">
        <w:rPr>
          <w:lang w:val="fr-CA"/>
        </w:rPr>
        <w:t>’</w:t>
      </w:r>
      <w:r w:rsidRPr="00AE6675">
        <w:rPr>
          <w:lang w:val="fr-CA"/>
        </w:rPr>
        <w:t>approche Rose et la boîte à outils sur les méthodes à données limitées (DLMtool). L</w:t>
      </w:r>
      <w:r w:rsidR="00AD78A9" w:rsidRPr="00AE6675">
        <w:rPr>
          <w:lang w:val="fr-CA"/>
        </w:rPr>
        <w:t>’</w:t>
      </w:r>
      <w:r w:rsidRPr="00AE6675">
        <w:rPr>
          <w:lang w:val="fr-CA"/>
        </w:rPr>
        <w:t>approche Rose utilise une variété de modèles d</w:t>
      </w:r>
      <w:r w:rsidR="00AD78A9" w:rsidRPr="00AE6675">
        <w:rPr>
          <w:lang w:val="fr-CA"/>
        </w:rPr>
        <w:t>’</w:t>
      </w:r>
      <w:r w:rsidRPr="00AE6675">
        <w:rPr>
          <w:lang w:val="fr-CA"/>
        </w:rPr>
        <w:t>évaluation pour aborder les profils rétrospectifs et fournir des avis sur les prises basés sur l</w:t>
      </w:r>
      <w:r w:rsidR="00AD78A9" w:rsidRPr="00AE6675">
        <w:rPr>
          <w:lang w:val="fr-CA"/>
        </w:rPr>
        <w:t>’</w:t>
      </w:r>
      <w:r w:rsidRPr="00AE6675">
        <w:rPr>
          <w:lang w:val="fr-CA"/>
        </w:rPr>
        <w:t>ensemble des modèles, soit par un calcul fondé sur une formule, soit en faisant des compromis entre les conséquences à court et à long terme. L</w:t>
      </w:r>
      <w:r w:rsidR="00AD78A9" w:rsidRPr="00AE6675">
        <w:rPr>
          <w:lang w:val="fr-CA"/>
        </w:rPr>
        <w:t>’</w:t>
      </w:r>
      <w:r w:rsidRPr="00AE6675">
        <w:rPr>
          <w:lang w:val="fr-CA"/>
        </w:rPr>
        <w:t>approche DLMtool fournit une plateforme de simulation qui imite la dynamique du stock pour une gamme d</w:t>
      </w:r>
      <w:r w:rsidR="00AD78A9" w:rsidRPr="00AE6675">
        <w:rPr>
          <w:lang w:val="fr-CA"/>
        </w:rPr>
        <w:t>’</w:t>
      </w:r>
      <w:r w:rsidRPr="00AE6675">
        <w:rPr>
          <w:lang w:val="fr-CA"/>
        </w:rPr>
        <w:t>incertitudes, par rapport à laquelle on peut mettre à l</w:t>
      </w:r>
      <w:r w:rsidR="00AD78A9" w:rsidRPr="00AE6675">
        <w:rPr>
          <w:lang w:val="fr-CA"/>
        </w:rPr>
        <w:t>’</w:t>
      </w:r>
      <w:r w:rsidRPr="00AE6675">
        <w:rPr>
          <w:lang w:val="fr-CA"/>
        </w:rPr>
        <w:t>essai des procédures de gestion simples fondées sur un indice pour la fourniture d</w:t>
      </w:r>
      <w:r w:rsidR="00AD78A9" w:rsidRPr="00AE6675">
        <w:rPr>
          <w:lang w:val="fr-CA"/>
        </w:rPr>
        <w:t>’</w:t>
      </w:r>
      <w:r w:rsidRPr="00AE6675">
        <w:rPr>
          <w:lang w:val="fr-CA"/>
        </w:rPr>
        <w:t>avis provisoires. Lors de sa réunion de 2020, le CERT examinera les avantages et les inconvénients des deux approches et décidera de celle qui sera utilisée pour fournir les avis.</w:t>
      </w:r>
    </w:p>
    <w:p w:rsidR="00AE6675" w:rsidRPr="00AE6675" w:rsidRDefault="00AE6675">
      <w:pPr>
        <w:rPr>
          <w:szCs w:val="22"/>
          <w:lang w:val="fr-CA"/>
        </w:rPr>
        <w:sectPr w:rsidR="00AE6675" w:rsidRPr="00AE6675" w:rsidSect="0025585E">
          <w:footerReference w:type="default" r:id="rId17"/>
          <w:pgSz w:w="12240" w:h="15840"/>
          <w:pgMar w:top="1440" w:right="1440" w:bottom="1440" w:left="1440" w:header="709" w:footer="709" w:gutter="0"/>
          <w:pgNumType w:fmt="lowerRoman"/>
          <w:cols w:space="708"/>
          <w:docGrid w:linePitch="360"/>
        </w:sectPr>
      </w:pPr>
    </w:p>
    <w:p w:rsidR="009F69E7" w:rsidRPr="00AE6675" w:rsidRDefault="009F69E7" w:rsidP="00821FD2">
      <w:pPr>
        <w:pStyle w:val="Heading1"/>
        <w:rPr>
          <w:lang w:val="fr-CA"/>
        </w:rPr>
      </w:pPr>
      <w:bookmarkStart w:id="1" w:name="_Toc44316222"/>
      <w:r w:rsidRPr="00AE6675">
        <w:rPr>
          <w:lang w:val="fr-CA"/>
        </w:rPr>
        <w:t>INTRODUCTION</w:t>
      </w:r>
      <w:bookmarkEnd w:id="1"/>
    </w:p>
    <w:p w:rsidR="00C52498" w:rsidRPr="00AE6675" w:rsidRDefault="006C2DC7" w:rsidP="00AE6675">
      <w:pPr>
        <w:pStyle w:val="BodyText"/>
        <w:rPr>
          <w:rStyle w:val="BodyTextChar3"/>
          <w:rFonts w:cs="Arial"/>
          <w:color w:val="000000"/>
          <w:sz w:val="22"/>
          <w:szCs w:val="22"/>
          <w:lang w:val="fr-CA"/>
        </w:rPr>
      </w:pPr>
      <w:r w:rsidRPr="00AE6675">
        <w:rPr>
          <w:lang w:val="fr-CA"/>
        </w:rPr>
        <w:t>Ces dernières années, la performance des modèles de l</w:t>
      </w:r>
      <w:r w:rsidR="00AD78A9" w:rsidRPr="00AE6675">
        <w:rPr>
          <w:lang w:val="fr-CA"/>
        </w:rPr>
        <w:t>’</w:t>
      </w:r>
      <w:r w:rsidRPr="00AE6675">
        <w:rPr>
          <w:lang w:val="fr-CA"/>
        </w:rPr>
        <w:t>analyse de population virtuelle (APV) et du Programme d</w:t>
      </w:r>
      <w:r w:rsidR="00AD78A9" w:rsidRPr="00AE6675">
        <w:rPr>
          <w:lang w:val="fr-CA"/>
        </w:rPr>
        <w:t>’</w:t>
      </w:r>
      <w:r w:rsidRPr="00AE6675">
        <w:rPr>
          <w:lang w:val="fr-CA"/>
        </w:rPr>
        <w:t>évaluation selon la structure d</w:t>
      </w:r>
      <w:r w:rsidR="00AD78A9" w:rsidRPr="00AE6675">
        <w:rPr>
          <w:lang w:val="fr-CA"/>
        </w:rPr>
        <w:t>’</w:t>
      </w:r>
      <w:r w:rsidRPr="00AE6675">
        <w:rPr>
          <w:lang w:val="fr-CA"/>
        </w:rPr>
        <w:t>âge (PESA) pour la morue de l</w:t>
      </w:r>
      <w:r w:rsidR="00AD78A9" w:rsidRPr="00AE6675">
        <w:rPr>
          <w:lang w:val="fr-CA"/>
        </w:rPr>
        <w:t>’</w:t>
      </w:r>
      <w:r w:rsidRPr="00AE6675">
        <w:rPr>
          <w:lang w:val="fr-CA"/>
        </w:rPr>
        <w:t>est du banc de Georges était médiocre et les diagnostics des modèles se sont détériorés avec le temps. Certains des problèmes de diagnostic découlaient d</w:t>
      </w:r>
      <w:r w:rsidR="00AD78A9" w:rsidRPr="00AE6675">
        <w:rPr>
          <w:lang w:val="fr-CA"/>
        </w:rPr>
        <w:t>’</w:t>
      </w:r>
      <w:r w:rsidRPr="00AE6675">
        <w:rPr>
          <w:lang w:val="fr-CA"/>
        </w:rPr>
        <w:t>un mauvais ajustement aux données des relevés et de profils rétrospectifs importants dans la biomasse, de la mortalité par pêche et du recrutement, indiquant une erreur de spécification non diagnostiquée dans le modèle. Comme les approches de modélisation de l</w:t>
      </w:r>
      <w:r w:rsidR="00AD78A9" w:rsidRPr="00AE6675">
        <w:rPr>
          <w:lang w:val="fr-CA"/>
        </w:rPr>
        <w:t>’</w:t>
      </w:r>
      <w:r w:rsidRPr="00AE6675">
        <w:rPr>
          <w:lang w:val="fr-CA"/>
        </w:rPr>
        <w:t xml:space="preserve">APV et du PESA devenaient de moins en moins fiables pour fournir des avis de gestion (Andrushchenko </w:t>
      </w:r>
      <w:r w:rsidRPr="00AE6675">
        <w:rPr>
          <w:i/>
          <w:iCs/>
          <w:lang w:val="fr-CA"/>
        </w:rPr>
        <w:t>et al</w:t>
      </w:r>
      <w:r w:rsidRPr="00AE6675">
        <w:rPr>
          <w:lang w:val="fr-CA"/>
        </w:rPr>
        <w:t>. 2018), le</w:t>
      </w:r>
      <w:r w:rsidRPr="00AE6675">
        <w:rPr>
          <w:rStyle w:val="BodyTextChar3"/>
          <w:color w:val="000000"/>
          <w:sz w:val="22"/>
          <w:szCs w:val="22"/>
          <w:lang w:val="fr-CA"/>
        </w:rPr>
        <w:t xml:space="preserve"> Comité d</w:t>
      </w:r>
      <w:r w:rsidR="00AD78A9" w:rsidRPr="00AE6675">
        <w:rPr>
          <w:rStyle w:val="BodyTextChar3"/>
          <w:color w:val="000000"/>
          <w:sz w:val="22"/>
          <w:szCs w:val="22"/>
          <w:lang w:val="fr-CA"/>
        </w:rPr>
        <w:t>’</w:t>
      </w:r>
      <w:r w:rsidRPr="00AE6675">
        <w:rPr>
          <w:rStyle w:val="BodyTextChar3"/>
          <w:color w:val="000000"/>
          <w:sz w:val="22"/>
          <w:szCs w:val="22"/>
          <w:lang w:val="fr-CA"/>
        </w:rPr>
        <w:t xml:space="preserve">orientation de la gestion des stocks transfrontaliers (COGST) </w:t>
      </w:r>
      <w:r w:rsidRPr="00AE6675">
        <w:rPr>
          <w:lang w:val="fr-CA"/>
        </w:rPr>
        <w:t>a demandé au Comité d</w:t>
      </w:r>
      <w:r w:rsidR="00AD78A9" w:rsidRPr="00AE6675">
        <w:rPr>
          <w:lang w:val="fr-CA"/>
        </w:rPr>
        <w:t>’</w:t>
      </w:r>
      <w:r w:rsidRPr="00AE6675">
        <w:rPr>
          <w:lang w:val="fr-CA"/>
        </w:rPr>
        <w:t>évaluation des ressources transfrontalières (CERT) d</w:t>
      </w:r>
      <w:r w:rsidR="00AD78A9" w:rsidRPr="00AE6675">
        <w:rPr>
          <w:lang w:val="fr-CA"/>
        </w:rPr>
        <w:t>’</w:t>
      </w:r>
      <w:r w:rsidRPr="00AE6675">
        <w:rPr>
          <w:lang w:val="fr-CA"/>
        </w:rPr>
        <w:t>examiner d</w:t>
      </w:r>
      <w:r w:rsidR="00AD78A9" w:rsidRPr="00AE6675">
        <w:rPr>
          <w:lang w:val="fr-CA"/>
        </w:rPr>
        <w:t>’</w:t>
      </w:r>
      <w:r w:rsidRPr="00AE6675">
        <w:rPr>
          <w:lang w:val="fr-CA"/>
        </w:rPr>
        <w:t>autres méthodes pour fournir des avis provisoires sur les prises en 2019-2020, jusqu</w:t>
      </w:r>
      <w:r w:rsidR="00AD78A9" w:rsidRPr="00AE6675">
        <w:rPr>
          <w:lang w:val="fr-CA"/>
        </w:rPr>
        <w:t>’</w:t>
      </w:r>
      <w:r w:rsidRPr="00AE6675">
        <w:rPr>
          <w:lang w:val="fr-CA"/>
        </w:rPr>
        <w:t>à la réunion d</w:t>
      </w:r>
      <w:r w:rsidR="00AD78A9" w:rsidRPr="00AE6675">
        <w:rPr>
          <w:lang w:val="fr-CA"/>
        </w:rPr>
        <w:t>’</w:t>
      </w:r>
      <w:r w:rsidRPr="00AE6675">
        <w:rPr>
          <w:lang w:val="fr-CA"/>
        </w:rPr>
        <w:t>évaluation des points de référence pour cette ressource (mandat 3). Les deux approches les plus prometteuses examinées à ce jour sont décrites ci-après et seront présentées lors de la réunion annuelle du CERT de 2019 (9</w:t>
      </w:r>
      <w:r w:rsidR="00EE52B0" w:rsidRPr="00AE6675">
        <w:rPr>
          <w:lang w:val="fr-CA"/>
        </w:rPr>
        <w:noBreakHyphen/>
      </w:r>
      <w:r w:rsidRPr="00AE6675">
        <w:rPr>
          <w:lang w:val="fr-CA"/>
        </w:rPr>
        <w:t>11 juillet 2019). Pour des raisons logistiques, les mandats 1 et 2 de 2019 sont traités dans un document distinct du CERT (</w:t>
      </w:r>
      <w:r w:rsidRPr="0025585E">
        <w:rPr>
          <w:lang w:val="fr-CA"/>
        </w:rPr>
        <w:t>CERT</w:t>
      </w:r>
      <w:r w:rsidR="00A81A2C" w:rsidRPr="0025585E">
        <w:rPr>
          <w:lang w:val="fr-CA"/>
        </w:rPr>
        <w:t> </w:t>
      </w:r>
      <w:r w:rsidRPr="0025585E">
        <w:rPr>
          <w:lang w:val="fr-CA"/>
        </w:rPr>
        <w:t>2019/03</w:t>
      </w:r>
      <w:r w:rsidRPr="00AE6675">
        <w:rPr>
          <w:lang w:val="fr-CA"/>
        </w:rPr>
        <w:t xml:space="preserve">). </w:t>
      </w:r>
      <w:r w:rsidRPr="00AE6675">
        <w:rPr>
          <w:rStyle w:val="BodyTextChar3"/>
          <w:color w:val="000000"/>
          <w:sz w:val="22"/>
          <w:szCs w:val="22"/>
          <w:lang w:val="fr-CA"/>
        </w:rPr>
        <w:t>Selon les directives du COGST, aucun avis sur les prises n</w:t>
      </w:r>
      <w:r w:rsidR="00AD78A9" w:rsidRPr="00AE6675">
        <w:rPr>
          <w:rStyle w:val="BodyTextChar3"/>
          <w:color w:val="000000"/>
          <w:sz w:val="22"/>
          <w:szCs w:val="22"/>
          <w:lang w:val="fr-CA"/>
        </w:rPr>
        <w:t>’</w:t>
      </w:r>
      <w:r w:rsidRPr="00AE6675">
        <w:rPr>
          <w:rStyle w:val="BodyTextChar3"/>
          <w:color w:val="000000"/>
          <w:sz w:val="22"/>
          <w:szCs w:val="22"/>
          <w:lang w:val="fr-CA"/>
        </w:rPr>
        <w:t>a été fourni pour la morue de l</w:t>
      </w:r>
      <w:r w:rsidR="00AD78A9" w:rsidRPr="00AE6675">
        <w:rPr>
          <w:rStyle w:val="BodyTextChar3"/>
          <w:color w:val="000000"/>
          <w:sz w:val="22"/>
          <w:szCs w:val="22"/>
          <w:lang w:val="fr-CA"/>
        </w:rPr>
        <w:t>’</w:t>
      </w:r>
      <w:r w:rsidRPr="00AE6675">
        <w:rPr>
          <w:rStyle w:val="BodyTextChar3"/>
          <w:color w:val="000000"/>
          <w:sz w:val="22"/>
          <w:szCs w:val="22"/>
          <w:lang w:val="fr-CA"/>
        </w:rPr>
        <w:t>est du banc de Georges pour la campagne de pêche</w:t>
      </w:r>
      <w:r w:rsidR="00A81A2C" w:rsidRPr="00AE6675">
        <w:rPr>
          <w:rStyle w:val="BodyTextChar3"/>
          <w:color w:val="000000"/>
          <w:sz w:val="22"/>
          <w:szCs w:val="22"/>
          <w:lang w:val="fr-CA"/>
        </w:rPr>
        <w:t> </w:t>
      </w:r>
      <w:r w:rsidRPr="00AE6675">
        <w:rPr>
          <w:rStyle w:val="BodyTextChar3"/>
          <w:color w:val="000000"/>
          <w:sz w:val="22"/>
          <w:szCs w:val="22"/>
          <w:lang w:val="fr-CA"/>
        </w:rPr>
        <w:t>2020.</w:t>
      </w:r>
    </w:p>
    <w:p w:rsidR="003127BE" w:rsidRPr="00AE6675" w:rsidRDefault="003127BE" w:rsidP="000617EC">
      <w:pPr>
        <w:pStyle w:val="Heading1"/>
        <w:rPr>
          <w:rStyle w:val="BodyTextChar3"/>
          <w:szCs w:val="20"/>
          <w:lang w:val="fr-CA"/>
        </w:rPr>
      </w:pPr>
      <w:bookmarkStart w:id="2" w:name="_Toc44316223"/>
      <w:r w:rsidRPr="00AE6675">
        <w:rPr>
          <w:rStyle w:val="BodyTextChar3"/>
          <w:szCs w:val="20"/>
          <w:lang w:val="fr-CA"/>
        </w:rPr>
        <w:t>APPROCHE ROSE</w:t>
      </w:r>
      <w:bookmarkEnd w:id="2"/>
    </w:p>
    <w:p w:rsidR="00597041" w:rsidRPr="00AE6675" w:rsidRDefault="00597041" w:rsidP="00597041">
      <w:pPr>
        <w:rPr>
          <w:rStyle w:val="BodyTextChar3"/>
          <w:rFonts w:cs="Arial"/>
          <w:color w:val="000000"/>
          <w:sz w:val="22"/>
          <w:szCs w:val="22"/>
          <w:lang w:val="fr-CA"/>
        </w:rPr>
      </w:pPr>
      <w:r w:rsidRPr="00AE6675">
        <w:rPr>
          <w:rStyle w:val="BodyTextChar3"/>
          <w:i/>
          <w:color w:val="000000"/>
          <w:sz w:val="22"/>
          <w:szCs w:val="22"/>
          <w:lang w:val="fr-CA"/>
        </w:rPr>
        <w:t>Qu</w:t>
      </w:r>
      <w:r w:rsidR="00AD78A9" w:rsidRPr="00AE6675">
        <w:rPr>
          <w:rStyle w:val="BodyTextChar3"/>
          <w:i/>
          <w:color w:val="000000"/>
          <w:sz w:val="22"/>
          <w:szCs w:val="22"/>
          <w:lang w:val="fr-CA"/>
        </w:rPr>
        <w:t>’</w:t>
      </w:r>
      <w:r w:rsidRPr="00AE6675">
        <w:rPr>
          <w:rStyle w:val="BodyTextChar3"/>
          <w:i/>
          <w:color w:val="000000"/>
          <w:sz w:val="22"/>
          <w:szCs w:val="22"/>
          <w:lang w:val="fr-CA"/>
        </w:rPr>
        <w:t>y a-t-il dans un nom? Ce que nous nommons rose, sous un autre nom, sentirait aussi bon.</w:t>
      </w:r>
    </w:p>
    <w:p w:rsidR="00597041" w:rsidRPr="00AE6675" w:rsidRDefault="00597041" w:rsidP="00F64983">
      <w:pPr>
        <w:ind w:left="6480" w:firstLine="720"/>
        <w:rPr>
          <w:rStyle w:val="BodyTextChar3"/>
          <w:rFonts w:cs="Arial"/>
          <w:color w:val="000000"/>
          <w:sz w:val="22"/>
          <w:szCs w:val="22"/>
          <w:lang w:val="fr-CA"/>
        </w:rPr>
      </w:pPr>
      <w:r w:rsidRPr="00AE6675">
        <w:rPr>
          <w:rStyle w:val="BodyTextChar3"/>
          <w:color w:val="000000"/>
          <w:sz w:val="22"/>
          <w:szCs w:val="22"/>
          <w:lang w:val="fr-CA"/>
        </w:rPr>
        <w:t>William Shakespeare</w:t>
      </w:r>
    </w:p>
    <w:p w:rsidR="00597041" w:rsidRPr="00AE6675" w:rsidRDefault="00597041" w:rsidP="00AE6675">
      <w:pPr>
        <w:pStyle w:val="BodyText"/>
        <w:rPr>
          <w:rStyle w:val="BodyTextChar3"/>
          <w:rFonts w:cs="Arial"/>
          <w:color w:val="000000"/>
          <w:sz w:val="22"/>
          <w:szCs w:val="22"/>
          <w:lang w:val="fr-CA"/>
        </w:rPr>
      </w:pPr>
      <w:r w:rsidRPr="00AE6675">
        <w:rPr>
          <w:rStyle w:val="BodyTextChar3"/>
          <w:color w:val="000000"/>
          <w:sz w:val="22"/>
          <w:szCs w:val="22"/>
          <w:lang w:val="fr-CA"/>
        </w:rPr>
        <w:t>Les tendances différentes de la mortalité relative par pêche (F) et de la mortalité totale du relevé (Z) peuvent être rendues cohérentes de plusieurs façons. On peut réduire les prises précoces ou la mortalité naturelle, ou augmenter les prises récentes ou la mortalité naturelle. De nombreuses combinaisons possibles de changements de ces facteurs se traduisent par des tendances cohérentes dans la valeur F relative et la valeur Z du relevé. Il en va de même pour l</w:t>
      </w:r>
      <w:r w:rsidR="00AD78A9" w:rsidRPr="00AE6675">
        <w:rPr>
          <w:rStyle w:val="BodyTextChar3"/>
          <w:color w:val="000000"/>
          <w:sz w:val="22"/>
          <w:szCs w:val="22"/>
          <w:lang w:val="fr-CA"/>
        </w:rPr>
        <w:t>’</w:t>
      </w:r>
      <w:r w:rsidRPr="00AE6675">
        <w:rPr>
          <w:rStyle w:val="BodyTextChar3"/>
          <w:color w:val="000000"/>
          <w:sz w:val="22"/>
          <w:szCs w:val="22"/>
          <w:lang w:val="fr-CA"/>
        </w:rPr>
        <w:t>ajustement des données ou des hypothèses dans les modèles d</w:t>
      </w:r>
      <w:r w:rsidR="00AD78A9" w:rsidRPr="00AE6675">
        <w:rPr>
          <w:rStyle w:val="BodyTextChar3"/>
          <w:color w:val="000000"/>
          <w:sz w:val="22"/>
          <w:szCs w:val="22"/>
          <w:lang w:val="fr-CA"/>
        </w:rPr>
        <w:t>’</w:t>
      </w:r>
      <w:r w:rsidRPr="00AE6675">
        <w:rPr>
          <w:rStyle w:val="BodyTextChar3"/>
          <w:color w:val="000000"/>
          <w:sz w:val="22"/>
          <w:szCs w:val="22"/>
          <w:lang w:val="fr-CA"/>
        </w:rPr>
        <w:t>évaluation des stocks qui présentent des profils rétrospectifs (Legault 2009). Il est notoirement difficile de déterminer la cause précise d</w:t>
      </w:r>
      <w:r w:rsidR="00AD78A9" w:rsidRPr="00AE6675">
        <w:rPr>
          <w:rStyle w:val="BodyTextChar3"/>
          <w:color w:val="000000"/>
          <w:sz w:val="22"/>
          <w:szCs w:val="22"/>
          <w:lang w:val="fr-CA"/>
        </w:rPr>
        <w:t>’</w:t>
      </w:r>
      <w:r w:rsidRPr="00AE6675">
        <w:rPr>
          <w:rStyle w:val="BodyTextChar3"/>
          <w:color w:val="000000"/>
          <w:sz w:val="22"/>
          <w:szCs w:val="22"/>
          <w:lang w:val="fr-CA"/>
        </w:rPr>
        <w:t>un profil rétrospectif dans une évaluation de stock (CIEM 2007). Une autre option consiste à créer un ensemble de modèles qui utilisent de nombreuses approches différentes pour traiter les profils rétrospectifs et à tirer les avis sur les prises de tous les résultats. Dans une telle approche, la cause réelle du profil rétrospectif n</w:t>
      </w:r>
      <w:r w:rsidR="00AD78A9" w:rsidRPr="00AE6675">
        <w:rPr>
          <w:rStyle w:val="BodyTextChar3"/>
          <w:color w:val="000000"/>
          <w:sz w:val="22"/>
          <w:szCs w:val="22"/>
          <w:lang w:val="fr-CA"/>
        </w:rPr>
        <w:t>’</w:t>
      </w:r>
      <w:r w:rsidRPr="00AE6675">
        <w:rPr>
          <w:rStyle w:val="BodyTextChar3"/>
          <w:color w:val="000000"/>
          <w:sz w:val="22"/>
          <w:szCs w:val="22"/>
          <w:lang w:val="fr-CA"/>
        </w:rPr>
        <w:t>est pas définie, mais l</w:t>
      </w:r>
      <w:r w:rsidR="00AD78A9" w:rsidRPr="00AE6675">
        <w:rPr>
          <w:rStyle w:val="BodyTextChar3"/>
          <w:color w:val="000000"/>
          <w:sz w:val="22"/>
          <w:szCs w:val="22"/>
          <w:lang w:val="fr-CA"/>
        </w:rPr>
        <w:t>’</w:t>
      </w:r>
      <w:r w:rsidRPr="00AE6675">
        <w:rPr>
          <w:rStyle w:val="BodyTextChar3"/>
          <w:color w:val="000000"/>
          <w:sz w:val="22"/>
          <w:szCs w:val="22"/>
          <w:lang w:val="fr-CA"/>
        </w:rPr>
        <w:t>objectif est de trouver un avis sur les prises qui résiste à une série de causes possibles. Il n</w:t>
      </w:r>
      <w:r w:rsidR="00AD78A9" w:rsidRPr="00AE6675">
        <w:rPr>
          <w:rStyle w:val="BodyTextChar3"/>
          <w:color w:val="000000"/>
          <w:sz w:val="22"/>
          <w:szCs w:val="22"/>
          <w:lang w:val="fr-CA"/>
        </w:rPr>
        <w:t>’</w:t>
      </w:r>
      <w:r w:rsidRPr="00AE6675">
        <w:rPr>
          <w:rStyle w:val="BodyTextChar3"/>
          <w:color w:val="000000"/>
          <w:sz w:val="22"/>
          <w:szCs w:val="22"/>
          <w:lang w:val="fr-CA"/>
        </w:rPr>
        <w:t>est pas nécessaire de nommer la cause, d</w:t>
      </w:r>
      <w:r w:rsidR="00AD78A9" w:rsidRPr="00AE6675">
        <w:rPr>
          <w:rStyle w:val="BodyTextChar3"/>
          <w:color w:val="000000"/>
          <w:sz w:val="22"/>
          <w:szCs w:val="22"/>
          <w:lang w:val="fr-CA"/>
        </w:rPr>
        <w:t>’</w:t>
      </w:r>
      <w:r w:rsidRPr="00AE6675">
        <w:rPr>
          <w:rStyle w:val="BodyTextChar3"/>
          <w:color w:val="000000"/>
          <w:sz w:val="22"/>
          <w:szCs w:val="22"/>
          <w:lang w:val="fr-CA"/>
        </w:rPr>
        <w:t xml:space="preserve">où le nom </w:t>
      </w:r>
      <w:r w:rsidR="00AD78A9" w:rsidRPr="00AE6675">
        <w:rPr>
          <w:rStyle w:val="BodyTextChar3"/>
          <w:color w:val="000000"/>
          <w:sz w:val="22"/>
          <w:szCs w:val="22"/>
          <w:lang w:val="fr-CA"/>
        </w:rPr>
        <w:t>«</w:t>
      </w:r>
      <w:r w:rsidR="00A81A2C" w:rsidRPr="00AE6675">
        <w:rPr>
          <w:rStyle w:val="BodyTextChar3"/>
          <w:color w:val="000000"/>
          <w:sz w:val="22"/>
          <w:szCs w:val="22"/>
          <w:lang w:val="fr-CA"/>
        </w:rPr>
        <w:t> </w:t>
      </w:r>
      <w:r w:rsidRPr="00AE6675">
        <w:rPr>
          <w:rStyle w:val="BodyTextChar3"/>
          <w:color w:val="000000"/>
          <w:sz w:val="22"/>
          <w:szCs w:val="22"/>
          <w:lang w:val="fr-CA"/>
        </w:rPr>
        <w:t>approche Rose</w:t>
      </w:r>
      <w:r w:rsidR="00A81A2C" w:rsidRPr="00AE6675">
        <w:rPr>
          <w:rStyle w:val="BodyTextChar3"/>
          <w:color w:val="000000"/>
          <w:sz w:val="22"/>
          <w:szCs w:val="22"/>
          <w:lang w:val="fr-CA"/>
        </w:rPr>
        <w:t> </w:t>
      </w:r>
      <w:r w:rsidR="00AD78A9" w:rsidRPr="00AE6675">
        <w:rPr>
          <w:rStyle w:val="BodyTextChar3"/>
          <w:color w:val="000000"/>
          <w:sz w:val="22"/>
          <w:szCs w:val="22"/>
          <w:lang w:val="fr-CA"/>
        </w:rPr>
        <w:t>»</w:t>
      </w:r>
      <w:r w:rsidRPr="00AE6675">
        <w:rPr>
          <w:rStyle w:val="BodyTextChar3"/>
          <w:color w:val="000000"/>
          <w:sz w:val="22"/>
          <w:szCs w:val="22"/>
          <w:lang w:val="fr-CA"/>
        </w:rPr>
        <w:t>, qui reprend la citation de Roméo et Juliette.</w:t>
      </w:r>
    </w:p>
    <w:p w:rsidR="00597041" w:rsidRPr="00AE6675" w:rsidRDefault="00597041" w:rsidP="00AE6675">
      <w:pPr>
        <w:pStyle w:val="BodyText"/>
        <w:rPr>
          <w:rStyle w:val="BodyTextChar3"/>
          <w:rFonts w:cs="Arial"/>
          <w:color w:val="000000"/>
          <w:sz w:val="22"/>
          <w:szCs w:val="22"/>
          <w:lang w:val="fr-CA"/>
        </w:rPr>
      </w:pPr>
      <w:r w:rsidRPr="00AE6675">
        <w:rPr>
          <w:rStyle w:val="BodyTextChar3"/>
          <w:color w:val="000000"/>
          <w:sz w:val="22"/>
          <w:szCs w:val="22"/>
          <w:lang w:val="fr-CA"/>
        </w:rPr>
        <w:t>Pour démontrer l</w:t>
      </w:r>
      <w:r w:rsidR="00AD78A9" w:rsidRPr="00AE6675">
        <w:rPr>
          <w:rStyle w:val="BodyTextChar3"/>
          <w:color w:val="000000"/>
          <w:sz w:val="22"/>
          <w:szCs w:val="22"/>
          <w:lang w:val="fr-CA"/>
        </w:rPr>
        <w:t>’</w:t>
      </w:r>
      <w:r w:rsidRPr="00AE6675">
        <w:rPr>
          <w:rStyle w:val="BodyTextChar3"/>
          <w:color w:val="000000"/>
          <w:sz w:val="22"/>
          <w:szCs w:val="22"/>
          <w:lang w:val="fr-CA"/>
        </w:rPr>
        <w:t>approche, nous prenons l</w:t>
      </w:r>
      <w:r w:rsidR="00AD78A9" w:rsidRPr="00AE6675">
        <w:rPr>
          <w:rStyle w:val="BodyTextChar3"/>
          <w:color w:val="000000"/>
          <w:sz w:val="22"/>
          <w:szCs w:val="22"/>
          <w:lang w:val="fr-CA"/>
        </w:rPr>
        <w:t>’</w:t>
      </w:r>
      <w:r w:rsidRPr="00AE6675">
        <w:rPr>
          <w:rStyle w:val="BodyTextChar3"/>
          <w:color w:val="000000"/>
          <w:sz w:val="22"/>
          <w:szCs w:val="22"/>
          <w:lang w:val="fr-CA"/>
        </w:rPr>
        <w:t>exemple de l</w:t>
      </w:r>
      <w:r w:rsidR="00AD78A9" w:rsidRPr="00AE6675">
        <w:rPr>
          <w:rStyle w:val="BodyTextChar3"/>
          <w:color w:val="000000"/>
          <w:sz w:val="22"/>
          <w:szCs w:val="22"/>
          <w:lang w:val="fr-CA"/>
        </w:rPr>
        <w:t>’</w:t>
      </w:r>
      <w:r w:rsidRPr="00AE6675">
        <w:rPr>
          <w:rStyle w:val="BodyTextChar3"/>
          <w:color w:val="000000"/>
          <w:sz w:val="22"/>
          <w:szCs w:val="22"/>
          <w:lang w:val="fr-CA"/>
        </w:rPr>
        <w:t>évaluation du stock de référence de plie grise par le Comité d</w:t>
      </w:r>
      <w:r w:rsidR="00AD78A9" w:rsidRPr="00AE6675">
        <w:rPr>
          <w:rStyle w:val="BodyTextChar3"/>
          <w:color w:val="000000"/>
          <w:sz w:val="22"/>
          <w:szCs w:val="22"/>
          <w:lang w:val="fr-CA"/>
        </w:rPr>
        <w:t>’</w:t>
      </w:r>
      <w:r w:rsidRPr="00AE6675">
        <w:rPr>
          <w:rStyle w:val="BodyTextChar3"/>
          <w:color w:val="000000"/>
          <w:sz w:val="22"/>
          <w:szCs w:val="22"/>
          <w:lang w:val="fr-CA"/>
        </w:rPr>
        <w:t>examen de l</w:t>
      </w:r>
      <w:r w:rsidR="00AD78A9" w:rsidRPr="00AE6675">
        <w:rPr>
          <w:rStyle w:val="BodyTextChar3"/>
          <w:color w:val="000000"/>
          <w:sz w:val="22"/>
          <w:szCs w:val="22"/>
          <w:lang w:val="fr-CA"/>
        </w:rPr>
        <w:t>’</w:t>
      </w:r>
      <w:r w:rsidRPr="00AE6675">
        <w:rPr>
          <w:rStyle w:val="BodyTextChar3"/>
          <w:color w:val="000000"/>
          <w:sz w:val="22"/>
          <w:szCs w:val="22"/>
          <w:lang w:val="fr-CA"/>
        </w:rPr>
        <w:t>évaluation des stocks 62 (NEFSC 2017a, 2017b). Ce stock a été sélectionné parce qu</w:t>
      </w:r>
      <w:r w:rsidR="00AD78A9" w:rsidRPr="00AE6675">
        <w:rPr>
          <w:rStyle w:val="BodyTextChar3"/>
          <w:color w:val="000000"/>
          <w:sz w:val="22"/>
          <w:szCs w:val="22"/>
          <w:lang w:val="fr-CA"/>
        </w:rPr>
        <w:t>’</w:t>
      </w:r>
      <w:r w:rsidRPr="00AE6675">
        <w:rPr>
          <w:rStyle w:val="BodyTextChar3"/>
          <w:color w:val="000000"/>
          <w:sz w:val="22"/>
          <w:szCs w:val="22"/>
          <w:lang w:val="fr-CA"/>
        </w:rPr>
        <w:t>il présentait un profil rétrospectif et une incohérence similaires entre les valeurs de F relative et de Z du relevé, comme dans l</w:t>
      </w:r>
      <w:r w:rsidR="00AD78A9" w:rsidRPr="00AE6675">
        <w:rPr>
          <w:rStyle w:val="BodyTextChar3"/>
          <w:color w:val="000000"/>
          <w:sz w:val="22"/>
          <w:szCs w:val="22"/>
          <w:lang w:val="fr-CA"/>
        </w:rPr>
        <w:t>’</w:t>
      </w:r>
      <w:r w:rsidRPr="00AE6675">
        <w:rPr>
          <w:rStyle w:val="BodyTextChar3"/>
          <w:color w:val="000000"/>
          <w:sz w:val="22"/>
          <w:szCs w:val="22"/>
          <w:lang w:val="fr-CA"/>
        </w:rPr>
        <w:t>évaluation par le PESA du stock de morue de l</w:t>
      </w:r>
      <w:r w:rsidR="00AD78A9" w:rsidRPr="00AE6675">
        <w:rPr>
          <w:rStyle w:val="BodyTextChar3"/>
          <w:color w:val="000000"/>
          <w:sz w:val="22"/>
          <w:szCs w:val="22"/>
          <w:lang w:val="fr-CA"/>
        </w:rPr>
        <w:t>’</w:t>
      </w:r>
      <w:r w:rsidRPr="00AE6675">
        <w:rPr>
          <w:rStyle w:val="BodyTextChar3"/>
          <w:color w:val="000000"/>
          <w:sz w:val="22"/>
          <w:szCs w:val="22"/>
          <w:lang w:val="fr-CA"/>
        </w:rPr>
        <w:t>est du banc Georges de 2018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_Ref13037561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lang w:val="fr-CA"/>
        </w:rPr>
        <w:t>Tableau 1</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_Ref13037584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lang w:val="fr-CA"/>
        </w:rPr>
        <w:t>Figure </w:t>
      </w:r>
      <w:r w:rsidR="00031329">
        <w:rPr>
          <w:rFonts w:cs="Arial"/>
          <w:lang w:val="fr-CA"/>
        </w:rPr>
        <w:t>1</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_Ref13037706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lang w:val="fr-CA"/>
        </w:rPr>
        <w:t>Figure </w:t>
      </w:r>
      <w:r w:rsidR="00031329">
        <w:rPr>
          <w:rFonts w:cs="Arial"/>
          <w:lang w:val="fr-CA"/>
        </w:rPr>
        <w:t>2</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_Ref13037598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lang w:val="fr-CA"/>
        </w:rPr>
        <w:t>Figure </w:t>
      </w:r>
      <w:r w:rsidR="00031329">
        <w:rPr>
          <w:rFonts w:cs="Arial"/>
          <w:lang w:val="fr-CA"/>
        </w:rPr>
        <w:t>3</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Le groupe de travail </w:t>
      </w:r>
      <w:r w:rsidRPr="00AE6675">
        <w:rPr>
          <w:rStyle w:val="BodyTextChar3"/>
          <w:color w:val="000000"/>
          <w:sz w:val="22"/>
          <w:szCs w:val="22"/>
          <w:lang w:val="fr-CA"/>
        </w:rPr>
        <w:lastRenderedPageBreak/>
        <w:t>sur la plie grise a proposé un modèle d</w:t>
      </w:r>
      <w:r w:rsidR="00AD78A9" w:rsidRPr="00AE6675">
        <w:rPr>
          <w:rStyle w:val="BodyTextChar3"/>
          <w:color w:val="000000"/>
          <w:sz w:val="22"/>
          <w:szCs w:val="22"/>
          <w:lang w:val="fr-CA"/>
        </w:rPr>
        <w:t>’</w:t>
      </w:r>
      <w:r w:rsidRPr="00AE6675">
        <w:rPr>
          <w:rStyle w:val="BodyTextChar3"/>
          <w:color w:val="000000"/>
          <w:sz w:val="22"/>
          <w:szCs w:val="22"/>
          <w:lang w:val="fr-CA"/>
        </w:rPr>
        <w:t>évaluation du PESA, mais le Comité d</w:t>
      </w:r>
      <w:r w:rsidR="00AD78A9" w:rsidRPr="00AE6675">
        <w:rPr>
          <w:rStyle w:val="BodyTextChar3"/>
          <w:color w:val="000000"/>
          <w:sz w:val="22"/>
          <w:szCs w:val="22"/>
          <w:lang w:val="fr-CA"/>
        </w:rPr>
        <w:t>’</w:t>
      </w:r>
      <w:r w:rsidRPr="00AE6675">
        <w:rPr>
          <w:rStyle w:val="BodyTextChar3"/>
          <w:color w:val="000000"/>
          <w:sz w:val="22"/>
          <w:szCs w:val="22"/>
          <w:lang w:val="fr-CA"/>
        </w:rPr>
        <w:t>examen de l</w:t>
      </w:r>
      <w:r w:rsidR="00AD78A9" w:rsidRPr="00AE6675">
        <w:rPr>
          <w:rStyle w:val="BodyTextChar3"/>
          <w:color w:val="000000"/>
          <w:sz w:val="22"/>
          <w:szCs w:val="22"/>
          <w:lang w:val="fr-CA"/>
        </w:rPr>
        <w:t>’</w:t>
      </w:r>
      <w:r w:rsidRPr="00AE6675">
        <w:rPr>
          <w:rStyle w:val="BodyTextChar3"/>
          <w:color w:val="000000"/>
          <w:sz w:val="22"/>
          <w:szCs w:val="22"/>
          <w:lang w:val="fr-CA"/>
        </w:rPr>
        <w:t>évaluation des stocks 62 l</w:t>
      </w:r>
      <w:r w:rsidR="00AD78A9" w:rsidRPr="00AE6675">
        <w:rPr>
          <w:rStyle w:val="BodyTextChar3"/>
          <w:color w:val="000000"/>
          <w:sz w:val="22"/>
          <w:szCs w:val="22"/>
          <w:lang w:val="fr-CA"/>
        </w:rPr>
        <w:t>’</w:t>
      </w:r>
      <w:r w:rsidRPr="00AE6675">
        <w:rPr>
          <w:rStyle w:val="BodyTextChar3"/>
          <w:color w:val="000000"/>
          <w:sz w:val="22"/>
          <w:szCs w:val="22"/>
          <w:lang w:val="fr-CA"/>
        </w:rPr>
        <w:t>a rejeté en faveur d</w:t>
      </w:r>
      <w:r w:rsidR="00AD78A9" w:rsidRPr="00AE6675">
        <w:rPr>
          <w:rStyle w:val="BodyTextChar3"/>
          <w:color w:val="000000"/>
          <w:sz w:val="22"/>
          <w:szCs w:val="22"/>
          <w:lang w:val="fr-CA"/>
        </w:rPr>
        <w:t>’</w:t>
      </w:r>
      <w:r w:rsidRPr="00AE6675">
        <w:rPr>
          <w:rStyle w:val="BodyTextChar3"/>
          <w:color w:val="000000"/>
          <w:sz w:val="22"/>
          <w:szCs w:val="22"/>
          <w:lang w:val="fr-CA"/>
        </w:rPr>
        <w:t>une approche fondée sur l</w:t>
      </w:r>
      <w:r w:rsidR="00AD78A9" w:rsidRPr="00AE6675">
        <w:rPr>
          <w:rStyle w:val="BodyTextChar3"/>
          <w:color w:val="000000"/>
          <w:sz w:val="22"/>
          <w:szCs w:val="22"/>
          <w:lang w:val="fr-CA"/>
        </w:rPr>
        <w:t>’</w:t>
      </w:r>
      <w:r w:rsidRPr="00AE6675">
        <w:rPr>
          <w:rStyle w:val="BodyTextChar3"/>
          <w:color w:val="000000"/>
          <w:sz w:val="22"/>
          <w:szCs w:val="22"/>
          <w:lang w:val="fr-CA"/>
        </w:rPr>
        <w:t>indice. En outre, un certain nombre d</w:t>
      </w:r>
      <w:r w:rsidR="00AD78A9" w:rsidRPr="00AE6675">
        <w:rPr>
          <w:rStyle w:val="BodyTextChar3"/>
          <w:color w:val="000000"/>
          <w:sz w:val="22"/>
          <w:szCs w:val="22"/>
          <w:lang w:val="fr-CA"/>
        </w:rPr>
        <w:t>’</w:t>
      </w:r>
      <w:r w:rsidRPr="00AE6675">
        <w:rPr>
          <w:rStyle w:val="BodyTextChar3"/>
          <w:color w:val="000000"/>
          <w:sz w:val="22"/>
          <w:szCs w:val="22"/>
          <w:lang w:val="fr-CA"/>
        </w:rPr>
        <w:t>analyses de l</w:t>
      </w:r>
      <w:r w:rsidR="00AD78A9" w:rsidRPr="00AE6675">
        <w:rPr>
          <w:rStyle w:val="BodyTextChar3"/>
          <w:color w:val="000000"/>
          <w:sz w:val="22"/>
          <w:szCs w:val="22"/>
          <w:lang w:val="fr-CA"/>
        </w:rPr>
        <w:t>’</w:t>
      </w:r>
      <w:r w:rsidRPr="00AE6675">
        <w:rPr>
          <w:rStyle w:val="BodyTextChar3"/>
          <w:color w:val="000000"/>
          <w:sz w:val="22"/>
          <w:szCs w:val="22"/>
          <w:lang w:val="fr-CA"/>
        </w:rPr>
        <w:t>approche Rose avaient déjà été calculées pour la plie grise dans le cadre d</w:t>
      </w:r>
      <w:r w:rsidR="00AD78A9" w:rsidRPr="00AE6675">
        <w:rPr>
          <w:rStyle w:val="BodyTextChar3"/>
          <w:color w:val="000000"/>
          <w:sz w:val="22"/>
          <w:szCs w:val="22"/>
          <w:lang w:val="fr-CA"/>
        </w:rPr>
        <w:t>’</w:t>
      </w:r>
      <w:r w:rsidRPr="00AE6675">
        <w:rPr>
          <w:rStyle w:val="BodyTextChar3"/>
          <w:color w:val="000000"/>
          <w:sz w:val="22"/>
          <w:szCs w:val="22"/>
          <w:lang w:val="fr-CA"/>
        </w:rPr>
        <w:t>un autre projet. Surtout, l</w:t>
      </w:r>
      <w:r w:rsidR="00AD78A9" w:rsidRPr="00AE6675">
        <w:rPr>
          <w:rStyle w:val="BodyTextChar3"/>
          <w:color w:val="000000"/>
          <w:sz w:val="22"/>
          <w:szCs w:val="22"/>
          <w:lang w:val="fr-CA"/>
        </w:rPr>
        <w:t>’</w:t>
      </w:r>
      <w:r w:rsidRPr="00AE6675">
        <w:rPr>
          <w:rStyle w:val="BodyTextChar3"/>
          <w:color w:val="000000"/>
          <w:sz w:val="22"/>
          <w:szCs w:val="22"/>
          <w:lang w:val="fr-CA"/>
        </w:rPr>
        <w:t>utilisation de la plie grise pour démontrer l</w:t>
      </w:r>
      <w:r w:rsidR="00AD78A9" w:rsidRPr="00AE6675">
        <w:rPr>
          <w:rStyle w:val="BodyTextChar3"/>
          <w:color w:val="000000"/>
          <w:sz w:val="22"/>
          <w:szCs w:val="22"/>
          <w:lang w:val="fr-CA"/>
        </w:rPr>
        <w:t>’</w:t>
      </w:r>
      <w:r w:rsidRPr="00AE6675">
        <w:rPr>
          <w:rStyle w:val="BodyTextChar3"/>
          <w:color w:val="000000"/>
          <w:sz w:val="22"/>
          <w:szCs w:val="22"/>
          <w:lang w:val="fr-CA"/>
        </w:rPr>
        <w:t>approche évite peut-être de mettre trop l</w:t>
      </w:r>
      <w:r w:rsidR="00AD78A9" w:rsidRPr="00AE6675">
        <w:rPr>
          <w:rStyle w:val="BodyTextChar3"/>
          <w:color w:val="000000"/>
          <w:sz w:val="22"/>
          <w:szCs w:val="22"/>
          <w:lang w:val="fr-CA"/>
        </w:rPr>
        <w:t>’</w:t>
      </w:r>
      <w:r w:rsidRPr="00AE6675">
        <w:rPr>
          <w:rStyle w:val="BodyTextChar3"/>
          <w:color w:val="000000"/>
          <w:sz w:val="22"/>
          <w:szCs w:val="22"/>
          <w:lang w:val="fr-CA"/>
        </w:rPr>
        <w:t>accent sur l</w:t>
      </w:r>
      <w:r w:rsidR="00AD78A9" w:rsidRPr="00AE6675">
        <w:rPr>
          <w:rStyle w:val="BodyTextChar3"/>
          <w:color w:val="000000"/>
          <w:sz w:val="22"/>
          <w:szCs w:val="22"/>
          <w:lang w:val="fr-CA"/>
        </w:rPr>
        <w:t>’</w:t>
      </w:r>
      <w:r w:rsidRPr="00AE6675">
        <w:rPr>
          <w:rStyle w:val="BodyTextChar3"/>
          <w:color w:val="000000"/>
          <w:sz w:val="22"/>
          <w:szCs w:val="22"/>
          <w:lang w:val="fr-CA"/>
        </w:rPr>
        <w:t>avis sur les prises qui en résulte et, au contraire, permet de se concentrer sur l</w:t>
      </w:r>
      <w:r w:rsidR="00AD78A9" w:rsidRPr="00AE6675">
        <w:rPr>
          <w:rStyle w:val="BodyTextChar3"/>
          <w:color w:val="000000"/>
          <w:sz w:val="22"/>
          <w:szCs w:val="22"/>
          <w:lang w:val="fr-CA"/>
        </w:rPr>
        <w:t>’</w:t>
      </w:r>
      <w:r w:rsidRPr="00AE6675">
        <w:rPr>
          <w:rStyle w:val="BodyTextChar3"/>
          <w:color w:val="000000"/>
          <w:sz w:val="22"/>
          <w:szCs w:val="22"/>
          <w:lang w:val="fr-CA"/>
        </w:rPr>
        <w:t>approche.</w:t>
      </w:r>
    </w:p>
    <w:p w:rsidR="00597041" w:rsidRPr="00AE6675" w:rsidRDefault="00E75E5C" w:rsidP="00AE6675">
      <w:pPr>
        <w:pStyle w:val="BodyText"/>
        <w:rPr>
          <w:rStyle w:val="BodyTextChar3"/>
          <w:rFonts w:cs="Arial"/>
          <w:color w:val="000000"/>
          <w:sz w:val="22"/>
          <w:szCs w:val="22"/>
          <w:lang w:val="fr-CA"/>
        </w:rPr>
      </w:pPr>
      <w:r w:rsidRPr="00AE6675">
        <w:rPr>
          <w:rStyle w:val="BodyTextChar3"/>
          <w:color w:val="000000"/>
          <w:sz w:val="22"/>
          <w:szCs w:val="22"/>
          <w:lang w:val="fr-CA"/>
        </w:rPr>
        <w:t xml:space="preserve">Aux </w:t>
      </w:r>
      <w:r w:rsidR="00597041" w:rsidRPr="00AE6675">
        <w:rPr>
          <w:rStyle w:val="BodyTextChar3"/>
          <w:color w:val="000000"/>
          <w:sz w:val="22"/>
          <w:szCs w:val="22"/>
          <w:lang w:val="fr-CA"/>
        </w:rPr>
        <w:t>fins de démonstration, nous avons examiné uniquement la modification la plus simple des données ou de l</w:t>
      </w:r>
      <w:r w:rsidR="00AD78A9" w:rsidRPr="00AE6675">
        <w:rPr>
          <w:rStyle w:val="BodyTextChar3"/>
          <w:color w:val="000000"/>
          <w:sz w:val="22"/>
          <w:szCs w:val="22"/>
          <w:lang w:val="fr-CA"/>
        </w:rPr>
        <w:t>’</w:t>
      </w:r>
      <w:r w:rsidR="00597041" w:rsidRPr="00AE6675">
        <w:rPr>
          <w:rStyle w:val="BodyTextChar3"/>
          <w:color w:val="000000"/>
          <w:sz w:val="22"/>
          <w:szCs w:val="22"/>
          <w:lang w:val="fr-CA"/>
        </w:rPr>
        <w:t>hypothèse — une fonction d</w:t>
      </w:r>
      <w:r w:rsidR="00AD78A9" w:rsidRPr="00AE6675">
        <w:rPr>
          <w:rStyle w:val="BodyTextChar3"/>
          <w:color w:val="000000"/>
          <w:sz w:val="22"/>
          <w:szCs w:val="22"/>
          <w:lang w:val="fr-CA"/>
        </w:rPr>
        <w:t>’</w:t>
      </w:r>
      <w:r w:rsidR="00597041" w:rsidRPr="00AE6675">
        <w:rPr>
          <w:rStyle w:val="BodyTextChar3"/>
          <w:color w:val="000000"/>
          <w:sz w:val="22"/>
          <w:szCs w:val="22"/>
          <w:lang w:val="fr-CA"/>
        </w:rPr>
        <w:t>étape, appliquée dans l</w:t>
      </w:r>
      <w:r w:rsidR="00AD78A9" w:rsidRPr="00AE6675">
        <w:rPr>
          <w:rStyle w:val="BodyTextChar3"/>
          <w:color w:val="000000"/>
          <w:sz w:val="22"/>
          <w:szCs w:val="22"/>
          <w:lang w:val="fr-CA"/>
        </w:rPr>
        <w:t>’</w:t>
      </w:r>
      <w:r w:rsidR="00597041" w:rsidRPr="00AE6675">
        <w:rPr>
          <w:rStyle w:val="BodyTextChar3"/>
          <w:color w:val="000000"/>
          <w:sz w:val="22"/>
          <w:szCs w:val="22"/>
          <w:lang w:val="fr-CA"/>
        </w:rPr>
        <w:t>un des trois scénarios suivants :</w:t>
      </w:r>
    </w:p>
    <w:p w:rsidR="00597041" w:rsidRPr="00AE6675" w:rsidRDefault="00597041" w:rsidP="00F64983">
      <w:pPr>
        <w:pStyle w:val="ListParagraph"/>
        <w:numPr>
          <w:ilvl w:val="0"/>
          <w:numId w:val="26"/>
        </w:numPr>
        <w:rPr>
          <w:rStyle w:val="BodyTextChar3"/>
          <w:rFonts w:ascii="Arial" w:hAnsi="Arial" w:cs="Arial"/>
          <w:sz w:val="22"/>
          <w:szCs w:val="22"/>
          <w:lang w:val="fr-CA"/>
        </w:rPr>
      </w:pPr>
      <w:r w:rsidRPr="00AE6675">
        <w:rPr>
          <w:rStyle w:val="BodyTextChar3"/>
          <w:rFonts w:ascii="Arial" w:hAnsi="Arial"/>
          <w:sz w:val="22"/>
          <w:szCs w:val="22"/>
          <w:lang w:val="fr-CA"/>
        </w:rPr>
        <w:t>Pour tous les âges des prises dans l</w:t>
      </w:r>
      <w:r w:rsidR="00AD78A9" w:rsidRPr="00AE6675">
        <w:rPr>
          <w:rStyle w:val="BodyTextChar3"/>
          <w:rFonts w:ascii="Arial" w:hAnsi="Arial"/>
          <w:sz w:val="22"/>
          <w:szCs w:val="22"/>
          <w:lang w:val="fr-CA"/>
        </w:rPr>
        <w:t>’</w:t>
      </w:r>
      <w:r w:rsidRPr="00AE6675">
        <w:rPr>
          <w:rStyle w:val="BodyTextChar3"/>
          <w:rFonts w:ascii="Arial" w:hAnsi="Arial"/>
          <w:sz w:val="22"/>
          <w:szCs w:val="22"/>
          <w:lang w:val="fr-CA"/>
        </w:rPr>
        <w:t>une des trois années de changement (2000, 2005, 2010)</w:t>
      </w:r>
    </w:p>
    <w:p w:rsidR="00597041" w:rsidRPr="00AE6675" w:rsidRDefault="00597041" w:rsidP="00F64983">
      <w:pPr>
        <w:pStyle w:val="ListParagraph"/>
        <w:numPr>
          <w:ilvl w:val="0"/>
          <w:numId w:val="26"/>
        </w:numPr>
        <w:rPr>
          <w:rStyle w:val="BodyTextChar3"/>
          <w:rFonts w:ascii="Arial" w:hAnsi="Arial" w:cs="Arial"/>
          <w:sz w:val="22"/>
          <w:szCs w:val="22"/>
          <w:lang w:val="fr-CA"/>
        </w:rPr>
      </w:pPr>
      <w:r w:rsidRPr="00AE6675">
        <w:rPr>
          <w:rStyle w:val="BodyTextChar3"/>
          <w:rFonts w:ascii="Arial" w:hAnsi="Arial"/>
          <w:sz w:val="22"/>
          <w:szCs w:val="22"/>
          <w:lang w:val="fr-CA"/>
        </w:rPr>
        <w:t>Pour toutes les prises de jeunes poissons seulement ou de poissons âgés seulement, avec un changement en 2005</w:t>
      </w:r>
    </w:p>
    <w:p w:rsidR="00597041" w:rsidRPr="00AE6675" w:rsidRDefault="00597041" w:rsidP="00F64983">
      <w:pPr>
        <w:pStyle w:val="ListParagraph"/>
        <w:numPr>
          <w:ilvl w:val="0"/>
          <w:numId w:val="26"/>
        </w:numPr>
        <w:rPr>
          <w:rStyle w:val="BodyTextChar3"/>
          <w:rFonts w:ascii="Arial" w:hAnsi="Arial" w:cs="Arial"/>
          <w:sz w:val="22"/>
          <w:szCs w:val="22"/>
          <w:lang w:val="fr-CA"/>
        </w:rPr>
      </w:pPr>
      <w:r w:rsidRPr="00AE6675">
        <w:rPr>
          <w:rStyle w:val="BodyTextChar3"/>
          <w:rFonts w:ascii="Arial" w:hAnsi="Arial"/>
          <w:sz w:val="22"/>
          <w:szCs w:val="22"/>
          <w:lang w:val="fr-CA"/>
        </w:rPr>
        <w:t>Pour toute la mortalité naturelle dans l</w:t>
      </w:r>
      <w:r w:rsidR="00AD78A9" w:rsidRPr="00AE6675">
        <w:rPr>
          <w:rStyle w:val="BodyTextChar3"/>
          <w:rFonts w:ascii="Arial" w:hAnsi="Arial"/>
          <w:sz w:val="22"/>
          <w:szCs w:val="22"/>
          <w:lang w:val="fr-CA"/>
        </w:rPr>
        <w:t>’</w:t>
      </w:r>
      <w:r w:rsidRPr="00AE6675">
        <w:rPr>
          <w:rStyle w:val="BodyTextChar3"/>
          <w:rFonts w:ascii="Arial" w:hAnsi="Arial"/>
          <w:sz w:val="22"/>
          <w:szCs w:val="22"/>
          <w:lang w:val="fr-CA"/>
        </w:rPr>
        <w:t>une des trois années de changement (2000, 2005, 2010)</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t>Les prises ou la mortalité naturelle étaient inchangées avant une année de changement, où elles augmentaient immédiatement à une nouvelle valeur fondée sur un multiplicateur allant de 1 à 5, par pas de 0,5. Dans une véritable approche Rose, il faudrait envisager de nombreux autres changements possibles, comme un changement progressif avec une augmentation linéaire du multiplicateur dans le temps, peut-être jusqu</w:t>
      </w:r>
      <w:r w:rsidR="00AD78A9" w:rsidRPr="00AE6675">
        <w:rPr>
          <w:rStyle w:val="BodyTextChar3"/>
          <w:color w:val="000000"/>
          <w:sz w:val="22"/>
          <w:szCs w:val="22"/>
          <w:lang w:val="fr-CA"/>
        </w:rPr>
        <w:t>’</w:t>
      </w:r>
      <w:r w:rsidRPr="00AE6675">
        <w:rPr>
          <w:rStyle w:val="BodyTextChar3"/>
          <w:color w:val="000000"/>
          <w:sz w:val="22"/>
          <w:szCs w:val="22"/>
          <w:lang w:val="fr-CA"/>
        </w:rPr>
        <w:t>à une valeur récente constante. En outre, seules trois années de changement ont été examinées dans le cadre de cet exercice, alors qu</w:t>
      </w:r>
      <w:r w:rsidR="00AD78A9" w:rsidRPr="00AE6675">
        <w:rPr>
          <w:rStyle w:val="BodyTextChar3"/>
          <w:color w:val="000000"/>
          <w:sz w:val="22"/>
          <w:szCs w:val="22"/>
          <w:lang w:val="fr-CA"/>
        </w:rPr>
        <w:t>’</w:t>
      </w:r>
      <w:r w:rsidRPr="00AE6675">
        <w:rPr>
          <w:rStyle w:val="BodyTextChar3"/>
          <w:color w:val="000000"/>
          <w:sz w:val="22"/>
          <w:szCs w:val="22"/>
          <w:lang w:val="fr-CA"/>
        </w:rPr>
        <w:t>une approche Rose complète prendrait en compte davantage d</w:t>
      </w:r>
      <w:r w:rsidR="00AD78A9" w:rsidRPr="00AE6675">
        <w:rPr>
          <w:rStyle w:val="BodyTextChar3"/>
          <w:color w:val="000000"/>
          <w:sz w:val="22"/>
          <w:szCs w:val="22"/>
          <w:lang w:val="fr-CA"/>
        </w:rPr>
        <w:t>’</w:t>
      </w:r>
      <w:r w:rsidRPr="00AE6675">
        <w:rPr>
          <w:rStyle w:val="BodyTextChar3"/>
          <w:color w:val="000000"/>
          <w:sz w:val="22"/>
          <w:szCs w:val="22"/>
          <w:lang w:val="fr-CA"/>
        </w:rPr>
        <w:t>années de changement. Enfin, seul un nombre limité d</w:t>
      </w:r>
      <w:r w:rsidR="00AD78A9" w:rsidRPr="00AE6675">
        <w:rPr>
          <w:rStyle w:val="BodyTextChar3"/>
          <w:color w:val="000000"/>
          <w:sz w:val="22"/>
          <w:szCs w:val="22"/>
          <w:lang w:val="fr-CA"/>
        </w:rPr>
        <w:t>’</w:t>
      </w:r>
      <w:r w:rsidRPr="00AE6675">
        <w:rPr>
          <w:rStyle w:val="BodyTextChar3"/>
          <w:color w:val="000000"/>
          <w:sz w:val="22"/>
          <w:szCs w:val="22"/>
          <w:lang w:val="fr-CA"/>
        </w:rPr>
        <w:t>options pour les effets de l</w:t>
      </w:r>
      <w:r w:rsidR="00AD78A9" w:rsidRPr="00AE6675">
        <w:rPr>
          <w:rStyle w:val="BodyTextChar3"/>
          <w:color w:val="000000"/>
          <w:sz w:val="22"/>
          <w:szCs w:val="22"/>
          <w:lang w:val="fr-CA"/>
        </w:rPr>
        <w:t>’</w:t>
      </w:r>
      <w:r w:rsidRPr="00AE6675">
        <w:rPr>
          <w:rStyle w:val="BodyTextChar3"/>
          <w:color w:val="000000"/>
          <w:sz w:val="22"/>
          <w:szCs w:val="22"/>
          <w:lang w:val="fr-CA"/>
        </w:rPr>
        <w:t>âge a été envisagé dans cet exemple, alors qu</w:t>
      </w:r>
      <w:r w:rsidR="00AD78A9" w:rsidRPr="00AE6675">
        <w:rPr>
          <w:rStyle w:val="BodyTextChar3"/>
          <w:color w:val="000000"/>
          <w:sz w:val="22"/>
          <w:szCs w:val="22"/>
          <w:lang w:val="fr-CA"/>
        </w:rPr>
        <w:t>’</w:t>
      </w:r>
      <w:r w:rsidRPr="00AE6675">
        <w:rPr>
          <w:rStyle w:val="BodyTextChar3"/>
          <w:color w:val="000000"/>
          <w:sz w:val="22"/>
          <w:szCs w:val="22"/>
          <w:lang w:val="fr-CA"/>
        </w:rPr>
        <w:t xml:space="preserve">une véritable approche Rose examinerait systématiquement un grand nombre de possibilités. Les huit scénarios sélectionnés présentés ici sont considérés comme représentatifs </w:t>
      </w:r>
      <w:r w:rsidR="00E75E5C" w:rsidRPr="00AE6675">
        <w:rPr>
          <w:rStyle w:val="BodyTextChar3"/>
          <w:color w:val="000000"/>
          <w:sz w:val="22"/>
          <w:szCs w:val="22"/>
          <w:lang w:val="fr-CA"/>
        </w:rPr>
        <w:t>aux</w:t>
      </w:r>
      <w:r w:rsidRPr="00AE6675">
        <w:rPr>
          <w:rStyle w:val="BodyTextChar3"/>
          <w:color w:val="000000"/>
          <w:sz w:val="22"/>
          <w:szCs w:val="22"/>
          <w:lang w:val="fr-CA"/>
        </w:rPr>
        <w:t xml:space="preserve"> fins de démonstration, mais ils ne constituent qu</w:t>
      </w:r>
      <w:r w:rsidR="00AD78A9" w:rsidRPr="00AE6675">
        <w:rPr>
          <w:rStyle w:val="BodyTextChar3"/>
          <w:color w:val="000000"/>
          <w:sz w:val="22"/>
          <w:szCs w:val="22"/>
          <w:lang w:val="fr-CA"/>
        </w:rPr>
        <w:t>’</w:t>
      </w:r>
      <w:r w:rsidRPr="00AE6675">
        <w:rPr>
          <w:rStyle w:val="BodyTextChar3"/>
          <w:color w:val="000000"/>
          <w:sz w:val="22"/>
          <w:szCs w:val="22"/>
          <w:lang w:val="fr-CA"/>
        </w:rPr>
        <w:t>un petit sous-ensemble de l</w:t>
      </w:r>
      <w:r w:rsidR="00AD78A9" w:rsidRPr="00AE6675">
        <w:rPr>
          <w:rStyle w:val="BodyTextChar3"/>
          <w:color w:val="000000"/>
          <w:sz w:val="22"/>
          <w:szCs w:val="22"/>
          <w:lang w:val="fr-CA"/>
        </w:rPr>
        <w:t>’</w:t>
      </w:r>
      <w:r w:rsidRPr="00AE6675">
        <w:rPr>
          <w:rStyle w:val="BodyTextChar3"/>
          <w:color w:val="000000"/>
          <w:sz w:val="22"/>
          <w:szCs w:val="22"/>
          <w:lang w:val="fr-CA"/>
        </w:rPr>
        <w:t>ensemble complet des modèles qui seraient inclus dans une approche Rose.</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t xml:space="preserve">Sept des huit scénarios avaient un multiplicateur qui donnait un rho de Mohn pour la biomasse du stock reproducteur à plus ou moins 0,05, ce qui signifie que le profil rétrospectif avait été supprimé (points encerclés sur les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_Ref13037634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4</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_Ref13037680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5</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_Ref13037641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6</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Les multiplicateurs des prises appliqués à tous les âges ont simplement multiplié le total des prises en poids et ont laissé les proportions selon l</w:t>
      </w:r>
      <w:r w:rsidR="00AD78A9" w:rsidRPr="00AE6675">
        <w:rPr>
          <w:rStyle w:val="BodyTextChar3"/>
          <w:color w:val="000000"/>
          <w:sz w:val="22"/>
          <w:szCs w:val="22"/>
          <w:lang w:val="fr-CA"/>
        </w:rPr>
        <w:t>’</w:t>
      </w:r>
      <w:r w:rsidRPr="00AE6675">
        <w:rPr>
          <w:rStyle w:val="BodyTextChar3"/>
          <w:color w:val="000000"/>
          <w:sz w:val="22"/>
          <w:szCs w:val="22"/>
          <w:lang w:val="fr-CA"/>
        </w:rPr>
        <w:t>âge telles qu</w:t>
      </w:r>
      <w:r w:rsidR="00AD78A9" w:rsidRPr="00AE6675">
        <w:rPr>
          <w:rStyle w:val="BodyTextChar3"/>
          <w:color w:val="000000"/>
          <w:sz w:val="22"/>
          <w:szCs w:val="22"/>
          <w:lang w:val="fr-CA"/>
        </w:rPr>
        <w:t>’</w:t>
      </w:r>
      <w:r w:rsidRPr="00AE6675">
        <w:rPr>
          <w:rStyle w:val="BodyTextChar3"/>
          <w:color w:val="000000"/>
          <w:sz w:val="22"/>
          <w:szCs w:val="22"/>
          <w:lang w:val="fr-CA"/>
        </w:rPr>
        <w:t>elles étaient à l</w:t>
      </w:r>
      <w:r w:rsidR="00AD78A9" w:rsidRPr="00AE6675">
        <w:rPr>
          <w:rStyle w:val="BodyTextChar3"/>
          <w:color w:val="000000"/>
          <w:sz w:val="22"/>
          <w:szCs w:val="22"/>
          <w:lang w:val="fr-CA"/>
        </w:rPr>
        <w:t>’</w:t>
      </w:r>
      <w:r w:rsidRPr="00AE6675">
        <w:rPr>
          <w:rStyle w:val="BodyTextChar3"/>
          <w:color w:val="000000"/>
          <w:sz w:val="22"/>
          <w:szCs w:val="22"/>
          <w:lang w:val="fr-CA"/>
        </w:rPr>
        <w:t>origine. Les multiplicateurs des prises appliqués aux poissons jeunes ou âgés ont modifié le poids total des prises, mais ils ont également créé une nouvelle flottille dont les proportions selon l</w:t>
      </w:r>
      <w:r w:rsidR="00AD78A9" w:rsidRPr="00AE6675">
        <w:rPr>
          <w:rStyle w:val="BodyTextChar3"/>
          <w:color w:val="000000"/>
          <w:sz w:val="22"/>
          <w:szCs w:val="22"/>
          <w:lang w:val="fr-CA"/>
        </w:rPr>
        <w:t>’</w:t>
      </w:r>
      <w:r w:rsidRPr="00AE6675">
        <w:rPr>
          <w:rStyle w:val="BodyTextChar3"/>
          <w:color w:val="000000"/>
          <w:sz w:val="22"/>
          <w:szCs w:val="22"/>
          <w:lang w:val="fr-CA"/>
        </w:rPr>
        <w:t>âge ont été ajustées pour refléter le fait que les prises étaient composées presque totalement de poissons jeunes ou âgés. Les multiplicateurs de la mortalité naturelle ont simplement ajusté les valeurs d</w:t>
      </w:r>
      <w:r w:rsidR="00AD78A9" w:rsidRPr="00AE6675">
        <w:rPr>
          <w:rStyle w:val="BodyTextChar3"/>
          <w:color w:val="000000"/>
          <w:sz w:val="22"/>
          <w:szCs w:val="22"/>
          <w:lang w:val="fr-CA"/>
        </w:rPr>
        <w:t>’</w:t>
      </w:r>
      <w:r w:rsidRPr="00AE6675">
        <w:rPr>
          <w:rStyle w:val="BodyTextChar3"/>
          <w:color w:val="000000"/>
          <w:sz w:val="22"/>
          <w:szCs w:val="22"/>
          <w:lang w:val="fr-CA"/>
        </w:rPr>
        <w:t>entrée de la mortalité naturelle (M) après l</w:t>
      </w:r>
      <w:r w:rsidR="00AD78A9" w:rsidRPr="00AE6675">
        <w:rPr>
          <w:rStyle w:val="BodyTextChar3"/>
          <w:color w:val="000000"/>
          <w:sz w:val="22"/>
          <w:szCs w:val="22"/>
          <w:lang w:val="fr-CA"/>
        </w:rPr>
        <w:t>’</w:t>
      </w:r>
      <w:r w:rsidRPr="00AE6675">
        <w:rPr>
          <w:rStyle w:val="BodyTextChar3"/>
          <w:color w:val="000000"/>
          <w:sz w:val="22"/>
          <w:szCs w:val="22"/>
          <w:lang w:val="fr-CA"/>
        </w:rPr>
        <w:t>année de changement. Il convient de noter que le scénario de prise de poissons jeunes n</w:t>
      </w:r>
      <w:r w:rsidR="00AD78A9" w:rsidRPr="00AE6675">
        <w:rPr>
          <w:rStyle w:val="BodyTextChar3"/>
          <w:color w:val="000000"/>
          <w:sz w:val="22"/>
          <w:szCs w:val="22"/>
          <w:lang w:val="fr-CA"/>
        </w:rPr>
        <w:t>’</w:t>
      </w:r>
      <w:r w:rsidRPr="00AE6675">
        <w:rPr>
          <w:rStyle w:val="BodyTextChar3"/>
          <w:color w:val="000000"/>
          <w:sz w:val="22"/>
          <w:szCs w:val="22"/>
          <w:lang w:val="fr-CA"/>
        </w:rPr>
        <w:t>a pas permis de réduire le profil rétrospectif à un niveau proche de zéro, mais il est inclus ici par simple souci d</w:t>
      </w:r>
      <w:r w:rsidR="00AD78A9" w:rsidRPr="00AE6675">
        <w:rPr>
          <w:rStyle w:val="BodyTextChar3"/>
          <w:color w:val="000000"/>
          <w:sz w:val="22"/>
          <w:szCs w:val="22"/>
          <w:lang w:val="fr-CA"/>
        </w:rPr>
        <w:t>’</w:t>
      </w:r>
      <w:r w:rsidRPr="00AE6675">
        <w:rPr>
          <w:rStyle w:val="BodyTextChar3"/>
          <w:color w:val="000000"/>
          <w:sz w:val="22"/>
          <w:szCs w:val="22"/>
          <w:lang w:val="fr-CA"/>
        </w:rPr>
        <w:t>exhaustivité. Dans une véritable approche Rose, seuls les modèles ayant suffisamment réduit le profil rétrospectif seraient inclus dans l</w:t>
      </w:r>
      <w:r w:rsidR="00AD78A9" w:rsidRPr="00AE6675">
        <w:rPr>
          <w:rStyle w:val="BodyTextChar3"/>
          <w:color w:val="000000"/>
          <w:sz w:val="22"/>
          <w:szCs w:val="22"/>
          <w:lang w:val="fr-CA"/>
        </w:rPr>
        <w:t>’</w:t>
      </w:r>
      <w:r w:rsidRPr="00AE6675">
        <w:rPr>
          <w:rStyle w:val="BodyTextChar3"/>
          <w:color w:val="000000"/>
          <w:sz w:val="22"/>
          <w:szCs w:val="22"/>
          <w:lang w:val="fr-CA"/>
        </w:rPr>
        <w:t>ensemble final de modèles.</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lastRenderedPageBreak/>
        <w:t>L</w:t>
      </w:r>
      <w:r w:rsidR="00AD78A9" w:rsidRPr="00AE6675">
        <w:rPr>
          <w:rStyle w:val="BodyTextChar3"/>
          <w:color w:val="000000"/>
          <w:sz w:val="22"/>
          <w:szCs w:val="22"/>
          <w:lang w:val="fr-CA"/>
        </w:rPr>
        <w:t>’</w:t>
      </w:r>
      <w:r w:rsidRPr="00AE6675">
        <w:rPr>
          <w:rStyle w:val="BodyTextChar3"/>
          <w:color w:val="000000"/>
          <w:sz w:val="22"/>
          <w:szCs w:val="22"/>
          <w:lang w:val="fr-CA"/>
        </w:rPr>
        <w:t>effet des changements d</w:t>
      </w:r>
      <w:r w:rsidR="00AD78A9" w:rsidRPr="00AE6675">
        <w:rPr>
          <w:rStyle w:val="BodyTextChar3"/>
          <w:color w:val="000000"/>
          <w:sz w:val="22"/>
          <w:szCs w:val="22"/>
          <w:lang w:val="fr-CA"/>
        </w:rPr>
        <w:t>’</w:t>
      </w:r>
      <w:r w:rsidRPr="00AE6675">
        <w:rPr>
          <w:rStyle w:val="BodyTextChar3"/>
          <w:color w:val="000000"/>
          <w:sz w:val="22"/>
          <w:szCs w:val="22"/>
          <w:lang w:val="fr-CA"/>
        </w:rPr>
        <w:t>entrée pourrait être assez important sur les paramètres estimés, tels que le taux de mortalité par pêche, la biomasse du stock reproducteur et le recrutement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_Ref13037737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7</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_Ref13037740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8</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_Ref13037742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9</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Il n</w:t>
      </w:r>
      <w:r w:rsidR="00AD78A9" w:rsidRPr="00AE6675">
        <w:rPr>
          <w:rStyle w:val="BodyTextChar3"/>
          <w:color w:val="000000"/>
          <w:sz w:val="22"/>
          <w:szCs w:val="22"/>
          <w:lang w:val="fr-CA"/>
        </w:rPr>
        <w:t>’</w:t>
      </w:r>
      <w:r w:rsidRPr="00AE6675">
        <w:rPr>
          <w:rStyle w:val="BodyTextChar3"/>
          <w:color w:val="000000"/>
          <w:sz w:val="22"/>
          <w:szCs w:val="22"/>
          <w:lang w:val="fr-CA"/>
        </w:rPr>
        <w:t>y a pas eu d</w:t>
      </w:r>
      <w:r w:rsidR="00AD78A9" w:rsidRPr="00AE6675">
        <w:rPr>
          <w:rStyle w:val="BodyTextChar3"/>
          <w:color w:val="000000"/>
          <w:sz w:val="22"/>
          <w:szCs w:val="22"/>
          <w:lang w:val="fr-CA"/>
        </w:rPr>
        <w:t>’</w:t>
      </w:r>
      <w:r w:rsidRPr="00AE6675">
        <w:rPr>
          <w:rStyle w:val="BodyTextChar3"/>
          <w:color w:val="000000"/>
          <w:sz w:val="22"/>
          <w:szCs w:val="22"/>
          <w:lang w:val="fr-CA"/>
        </w:rPr>
        <w:t>évaluation d</w:t>
      </w:r>
      <w:r w:rsidR="00AD78A9" w:rsidRPr="00AE6675">
        <w:rPr>
          <w:rStyle w:val="BodyTextChar3"/>
          <w:color w:val="000000"/>
          <w:sz w:val="22"/>
          <w:szCs w:val="22"/>
          <w:lang w:val="fr-CA"/>
        </w:rPr>
        <w:t>’</w:t>
      </w:r>
      <w:r w:rsidRPr="00AE6675">
        <w:rPr>
          <w:rStyle w:val="BodyTextChar3"/>
          <w:color w:val="000000"/>
          <w:sz w:val="22"/>
          <w:szCs w:val="22"/>
          <w:lang w:val="fr-CA"/>
        </w:rPr>
        <w:t>autres diagnostics pour ces passes, qui pourraient donc ne pas être comprises dans un ensemble final de modèles de l</w:t>
      </w:r>
      <w:r w:rsidR="00AD78A9" w:rsidRPr="00AE6675">
        <w:rPr>
          <w:rStyle w:val="BodyTextChar3"/>
          <w:color w:val="000000"/>
          <w:sz w:val="22"/>
          <w:szCs w:val="22"/>
          <w:lang w:val="fr-CA"/>
        </w:rPr>
        <w:t>’</w:t>
      </w:r>
      <w:r w:rsidRPr="00AE6675">
        <w:rPr>
          <w:rStyle w:val="BodyTextChar3"/>
          <w:color w:val="000000"/>
          <w:sz w:val="22"/>
          <w:szCs w:val="22"/>
          <w:lang w:val="fr-CA"/>
        </w:rPr>
        <w:t>approche Rose. Il est clair que certaines modifications possibles de l</w:t>
      </w:r>
      <w:r w:rsidR="00AD78A9" w:rsidRPr="00AE6675">
        <w:rPr>
          <w:rStyle w:val="BodyTextChar3"/>
          <w:color w:val="000000"/>
          <w:sz w:val="22"/>
          <w:szCs w:val="22"/>
          <w:lang w:val="fr-CA"/>
        </w:rPr>
        <w:t>’</w:t>
      </w:r>
      <w:r w:rsidRPr="00AE6675">
        <w:rPr>
          <w:rStyle w:val="BodyTextChar3"/>
          <w:color w:val="000000"/>
          <w:sz w:val="22"/>
          <w:szCs w:val="22"/>
          <w:lang w:val="fr-CA"/>
        </w:rPr>
        <w:t>entrée sont plus susceptibles de s</w:t>
      </w:r>
      <w:r w:rsidR="00AD78A9" w:rsidRPr="00AE6675">
        <w:rPr>
          <w:rStyle w:val="BodyTextChar3"/>
          <w:color w:val="000000"/>
          <w:sz w:val="22"/>
          <w:szCs w:val="22"/>
          <w:lang w:val="fr-CA"/>
        </w:rPr>
        <w:t>’</w:t>
      </w:r>
      <w:r w:rsidRPr="00AE6675">
        <w:rPr>
          <w:rStyle w:val="BodyTextChar3"/>
          <w:color w:val="000000"/>
          <w:sz w:val="22"/>
          <w:szCs w:val="22"/>
          <w:lang w:val="fr-CA"/>
        </w:rPr>
        <w:t>être produites que d</w:t>
      </w:r>
      <w:r w:rsidR="00AD78A9" w:rsidRPr="00AE6675">
        <w:rPr>
          <w:rStyle w:val="BodyTextChar3"/>
          <w:color w:val="000000"/>
          <w:sz w:val="22"/>
          <w:szCs w:val="22"/>
          <w:lang w:val="fr-CA"/>
        </w:rPr>
        <w:t>’</w:t>
      </w:r>
      <w:r w:rsidRPr="00AE6675">
        <w:rPr>
          <w:rStyle w:val="BodyTextChar3"/>
          <w:color w:val="000000"/>
          <w:sz w:val="22"/>
          <w:szCs w:val="22"/>
          <w:lang w:val="fr-CA"/>
        </w:rPr>
        <w:t>autres, en fonction des modifications de l</w:t>
      </w:r>
      <w:r w:rsidR="00AD78A9" w:rsidRPr="00AE6675">
        <w:rPr>
          <w:rStyle w:val="BodyTextChar3"/>
          <w:color w:val="000000"/>
          <w:sz w:val="22"/>
          <w:szCs w:val="22"/>
          <w:lang w:val="fr-CA"/>
        </w:rPr>
        <w:t>’</w:t>
      </w:r>
      <w:r w:rsidRPr="00AE6675">
        <w:rPr>
          <w:rStyle w:val="BodyTextChar3"/>
          <w:color w:val="000000"/>
          <w:sz w:val="22"/>
          <w:szCs w:val="22"/>
          <w:lang w:val="fr-CA"/>
        </w:rPr>
        <w:t>entrée et des valeurs estimées. Il faudrait avoir des règles de base pour le processus de sélection qui détermine les critères d</w:t>
      </w:r>
      <w:r w:rsidR="00AD78A9" w:rsidRPr="00AE6675">
        <w:rPr>
          <w:rStyle w:val="BodyTextChar3"/>
          <w:color w:val="000000"/>
          <w:sz w:val="22"/>
          <w:szCs w:val="22"/>
          <w:lang w:val="fr-CA"/>
        </w:rPr>
        <w:t>’</w:t>
      </w:r>
      <w:r w:rsidRPr="00AE6675">
        <w:rPr>
          <w:rStyle w:val="BodyTextChar3"/>
          <w:color w:val="000000"/>
          <w:sz w:val="22"/>
          <w:szCs w:val="22"/>
          <w:lang w:val="fr-CA"/>
        </w:rPr>
        <w:t>inclusion d</w:t>
      </w:r>
      <w:r w:rsidR="00AD78A9" w:rsidRPr="00AE6675">
        <w:rPr>
          <w:rStyle w:val="BodyTextChar3"/>
          <w:color w:val="000000"/>
          <w:sz w:val="22"/>
          <w:szCs w:val="22"/>
          <w:lang w:val="fr-CA"/>
        </w:rPr>
        <w:t>’</w:t>
      </w:r>
      <w:r w:rsidRPr="00AE6675">
        <w:rPr>
          <w:rStyle w:val="BodyTextChar3"/>
          <w:color w:val="000000"/>
          <w:sz w:val="22"/>
          <w:szCs w:val="22"/>
          <w:lang w:val="fr-CA"/>
        </w:rPr>
        <w:t>un modèle dans l</w:t>
      </w:r>
      <w:r w:rsidR="00AD78A9" w:rsidRPr="00AE6675">
        <w:rPr>
          <w:rStyle w:val="BodyTextChar3"/>
          <w:color w:val="000000"/>
          <w:sz w:val="22"/>
          <w:szCs w:val="22"/>
          <w:lang w:val="fr-CA"/>
        </w:rPr>
        <w:t>’</w:t>
      </w:r>
      <w:r w:rsidRPr="00AE6675">
        <w:rPr>
          <w:rStyle w:val="BodyTextChar3"/>
          <w:color w:val="000000"/>
          <w:sz w:val="22"/>
          <w:szCs w:val="22"/>
          <w:lang w:val="fr-CA"/>
        </w:rPr>
        <w:t>ensemble final.</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t>Par souci de simplicité, l</w:t>
      </w:r>
      <w:r w:rsidR="00AD78A9" w:rsidRPr="00AE6675">
        <w:rPr>
          <w:rStyle w:val="BodyTextChar3"/>
          <w:color w:val="000000"/>
          <w:sz w:val="22"/>
          <w:szCs w:val="22"/>
          <w:lang w:val="fr-CA"/>
        </w:rPr>
        <w:t>’</w:t>
      </w:r>
      <w:r w:rsidRPr="00AE6675">
        <w:rPr>
          <w:rStyle w:val="BodyTextChar3"/>
          <w:color w:val="000000"/>
          <w:sz w:val="22"/>
          <w:szCs w:val="22"/>
          <w:lang w:val="fr-CA"/>
        </w:rPr>
        <w:t>année de transition typique des projections (l</w:t>
      </w:r>
      <w:r w:rsidR="00AD78A9" w:rsidRPr="00AE6675">
        <w:rPr>
          <w:rStyle w:val="BodyTextChar3"/>
          <w:color w:val="000000"/>
          <w:sz w:val="22"/>
          <w:szCs w:val="22"/>
          <w:lang w:val="fr-CA"/>
        </w:rPr>
        <w:t>’</w:t>
      </w:r>
      <w:r w:rsidRPr="00AE6675">
        <w:rPr>
          <w:rStyle w:val="BodyTextChar3"/>
          <w:color w:val="000000"/>
          <w:sz w:val="22"/>
          <w:szCs w:val="22"/>
          <w:lang w:val="fr-CA"/>
        </w:rPr>
        <w:t>année de prises ou de quota en cours) n</w:t>
      </w:r>
      <w:r w:rsidR="00AD78A9" w:rsidRPr="00AE6675">
        <w:rPr>
          <w:rStyle w:val="BodyTextChar3"/>
          <w:color w:val="000000"/>
          <w:sz w:val="22"/>
          <w:szCs w:val="22"/>
          <w:lang w:val="fr-CA"/>
        </w:rPr>
        <w:t>’</w:t>
      </w:r>
      <w:r w:rsidRPr="00AE6675">
        <w:rPr>
          <w:rStyle w:val="BodyTextChar3"/>
          <w:color w:val="000000"/>
          <w:sz w:val="22"/>
          <w:szCs w:val="22"/>
          <w:lang w:val="fr-CA"/>
        </w:rPr>
        <w:t>a pas été incluse. Nous avons plutôt calculé la mortalité par pêche qui réduit la biomasse du stock reproducteur à 40 % des niveaux d</w:t>
      </w:r>
      <w:r w:rsidR="00AD78A9" w:rsidRPr="00AE6675">
        <w:rPr>
          <w:rStyle w:val="BodyTextChar3"/>
          <w:color w:val="000000"/>
          <w:sz w:val="22"/>
          <w:szCs w:val="22"/>
          <w:lang w:val="fr-CA"/>
        </w:rPr>
        <w:t>’</w:t>
      </w:r>
      <w:r w:rsidRPr="00AE6675">
        <w:rPr>
          <w:rStyle w:val="BodyTextChar3"/>
          <w:color w:val="000000"/>
          <w:sz w:val="22"/>
          <w:szCs w:val="22"/>
          <w:lang w:val="fr-CA"/>
        </w:rPr>
        <w:t>avant la pêche (F40 %) pour chaque cas et l</w:t>
      </w:r>
      <w:r w:rsidR="00AD78A9" w:rsidRPr="00AE6675">
        <w:rPr>
          <w:rStyle w:val="BodyTextChar3"/>
          <w:color w:val="000000"/>
          <w:sz w:val="22"/>
          <w:szCs w:val="22"/>
          <w:lang w:val="fr-CA"/>
        </w:rPr>
        <w:t>’</w:t>
      </w:r>
      <w:r w:rsidRPr="00AE6675">
        <w:rPr>
          <w:rStyle w:val="BodyTextChar3"/>
          <w:color w:val="000000"/>
          <w:sz w:val="22"/>
          <w:szCs w:val="22"/>
          <w:lang w:val="fr-CA"/>
        </w:rPr>
        <w:t>avons appliquée sur trois ans, à titre d</w:t>
      </w:r>
      <w:r w:rsidR="00AD78A9" w:rsidRPr="00AE6675">
        <w:rPr>
          <w:rStyle w:val="BodyTextChar3"/>
          <w:color w:val="000000"/>
          <w:sz w:val="22"/>
          <w:szCs w:val="22"/>
          <w:lang w:val="fr-CA"/>
        </w:rPr>
        <w:t>’</w:t>
      </w:r>
      <w:r w:rsidRPr="00AE6675">
        <w:rPr>
          <w:rStyle w:val="BodyTextChar3"/>
          <w:color w:val="000000"/>
          <w:sz w:val="22"/>
          <w:szCs w:val="22"/>
          <w:lang w:val="fr-CA"/>
        </w:rPr>
        <w:t xml:space="preserve">exemple. Le profil de sélectivité était similaire pour les multiplicateurs des prises ou de la mortalité naturelle </w:t>
      </w:r>
      <w:r w:rsidR="00AD78A9" w:rsidRPr="00AE6675">
        <w:rPr>
          <w:rStyle w:val="BodyTextChar3"/>
          <w:color w:val="000000"/>
          <w:sz w:val="22"/>
          <w:szCs w:val="22"/>
          <w:lang w:val="fr-CA"/>
        </w:rPr>
        <w:t>«</w:t>
      </w:r>
      <w:r w:rsidR="00A81A2C" w:rsidRPr="00AE6675">
        <w:rPr>
          <w:rStyle w:val="BodyTextChar3"/>
          <w:color w:val="000000"/>
          <w:sz w:val="22"/>
          <w:szCs w:val="22"/>
          <w:lang w:val="fr-CA"/>
        </w:rPr>
        <w:t> </w:t>
      </w:r>
      <w:r w:rsidRPr="00AE6675">
        <w:rPr>
          <w:rStyle w:val="BodyTextChar3"/>
          <w:color w:val="000000"/>
          <w:sz w:val="22"/>
          <w:szCs w:val="22"/>
          <w:lang w:val="fr-CA"/>
        </w:rPr>
        <w:t>tous âges</w:t>
      </w:r>
      <w:r w:rsidR="00A81A2C" w:rsidRPr="00AE6675">
        <w:rPr>
          <w:rStyle w:val="BodyTextChar3"/>
          <w:color w:val="000000"/>
          <w:sz w:val="22"/>
          <w:szCs w:val="22"/>
          <w:lang w:val="fr-CA"/>
        </w:rPr>
        <w:t> </w:t>
      </w:r>
      <w:r w:rsidR="00AD78A9" w:rsidRPr="00AE6675">
        <w:rPr>
          <w:rStyle w:val="BodyTextChar3"/>
          <w:color w:val="000000"/>
          <w:sz w:val="22"/>
          <w:szCs w:val="22"/>
          <w:lang w:val="fr-CA"/>
        </w:rPr>
        <w:t>»</w:t>
      </w:r>
      <w:r w:rsidRPr="00AE6675">
        <w:rPr>
          <w:rStyle w:val="BodyTextChar3"/>
          <w:color w:val="000000"/>
          <w:sz w:val="22"/>
          <w:szCs w:val="22"/>
          <w:lang w:val="fr-CA"/>
        </w:rPr>
        <w:t>, ce qui a donné une valeur F40 % similaire de 0,19. Il convient de noter que les changements de la mortalité naturelle sont trop récents pour que le stock puisse réagir sur le plan de l</w:t>
      </w:r>
      <w:r w:rsidR="00AD78A9" w:rsidRPr="00AE6675">
        <w:rPr>
          <w:rStyle w:val="BodyTextChar3"/>
          <w:color w:val="000000"/>
          <w:sz w:val="22"/>
          <w:szCs w:val="22"/>
          <w:lang w:val="fr-CA"/>
        </w:rPr>
        <w:t>’</w:t>
      </w:r>
      <w:r w:rsidRPr="00AE6675">
        <w:rPr>
          <w:rStyle w:val="BodyTextChar3"/>
          <w:color w:val="000000"/>
          <w:sz w:val="22"/>
          <w:szCs w:val="22"/>
          <w:lang w:val="fr-CA"/>
        </w:rPr>
        <w:t>évolution. C</w:t>
      </w:r>
      <w:r w:rsidR="00AD78A9" w:rsidRPr="00AE6675">
        <w:rPr>
          <w:rStyle w:val="BodyTextChar3"/>
          <w:color w:val="000000"/>
          <w:sz w:val="22"/>
          <w:szCs w:val="22"/>
          <w:lang w:val="fr-CA"/>
        </w:rPr>
        <w:t>’</w:t>
      </w:r>
      <w:r w:rsidRPr="00AE6675">
        <w:rPr>
          <w:rStyle w:val="BodyTextChar3"/>
          <w:color w:val="000000"/>
          <w:sz w:val="22"/>
          <w:szCs w:val="22"/>
          <w:lang w:val="fr-CA"/>
        </w:rPr>
        <w:t>est donc le taux de mortalité naturelle de base qui est utilisé dans le calcul de F40 % (Legault et Palmer 2016). Le scénario des poissons jeunes et âgés pour les multiplicateurs des prises a donné des profils de sélectivité légèrement différents pour la flottille sans multiplicateur et à des estimations de F40 % de 0,20 et 0,15, respectivement. L</w:t>
      </w:r>
      <w:r w:rsidR="00AD78A9" w:rsidRPr="00AE6675">
        <w:rPr>
          <w:rStyle w:val="BodyTextChar3"/>
          <w:color w:val="000000"/>
          <w:sz w:val="22"/>
          <w:szCs w:val="22"/>
          <w:lang w:val="fr-CA"/>
        </w:rPr>
        <w:t>’</w:t>
      </w:r>
      <w:r w:rsidRPr="00AE6675">
        <w:rPr>
          <w:rStyle w:val="BodyTextChar3"/>
          <w:color w:val="000000"/>
          <w:sz w:val="22"/>
          <w:szCs w:val="22"/>
          <w:lang w:val="fr-CA"/>
        </w:rPr>
        <w:t>application de ces valeurs de F40 % dans les projections déterministes a produit une série d</w:t>
      </w:r>
      <w:r w:rsidR="00AD78A9" w:rsidRPr="00AE6675">
        <w:rPr>
          <w:rStyle w:val="BodyTextChar3"/>
          <w:color w:val="000000"/>
          <w:sz w:val="22"/>
          <w:szCs w:val="22"/>
          <w:lang w:val="fr-CA"/>
        </w:rPr>
        <w:t>’</w:t>
      </w:r>
      <w:r w:rsidRPr="00AE6675">
        <w:rPr>
          <w:rStyle w:val="BodyTextChar3"/>
          <w:color w:val="000000"/>
          <w:sz w:val="22"/>
          <w:szCs w:val="22"/>
          <w:lang w:val="fr-CA"/>
        </w:rPr>
        <w:t>avis sur les prises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_Ref13037779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Tableau 2</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w:t>
      </w:r>
      <w:r w:rsidR="00950A8C" w:rsidRPr="00AE6675">
        <w:rPr>
          <w:rStyle w:val="BodyTextChar3"/>
          <w:rFonts w:cs="Arial"/>
          <w:color w:val="000000"/>
          <w:sz w:val="22"/>
          <w:szCs w:val="22"/>
          <w:lang w:val="fr-CA"/>
        </w:rPr>
        <w:fldChar w:fldCharType="begin"/>
      </w:r>
      <w:r w:rsidR="00950A8C" w:rsidRPr="00AE6675">
        <w:rPr>
          <w:rStyle w:val="BodyTextChar3"/>
          <w:rFonts w:cs="Arial"/>
          <w:color w:val="000000"/>
          <w:sz w:val="22"/>
          <w:szCs w:val="22"/>
          <w:lang w:val="fr-CA"/>
        </w:rPr>
        <w:instrText xml:space="preserve"> REF _Ref13037914 \h </w:instrText>
      </w:r>
      <w:r w:rsidR="00581903" w:rsidRPr="00AE6675">
        <w:rPr>
          <w:rStyle w:val="BodyTextChar3"/>
          <w:rFonts w:cs="Arial"/>
          <w:color w:val="000000"/>
          <w:sz w:val="22"/>
          <w:szCs w:val="22"/>
          <w:lang w:val="fr-CA"/>
        </w:rPr>
        <w:instrText xml:space="preserve"> \* MERGEFORMAT </w:instrText>
      </w:r>
      <w:r w:rsidR="00950A8C" w:rsidRPr="00AE6675">
        <w:rPr>
          <w:rStyle w:val="BodyTextChar3"/>
          <w:rFonts w:cs="Arial"/>
          <w:color w:val="000000"/>
          <w:sz w:val="22"/>
          <w:szCs w:val="22"/>
          <w:lang w:val="fr-CA"/>
        </w:rPr>
      </w:r>
      <w:r w:rsidR="00950A8C" w:rsidRPr="00AE6675">
        <w:rPr>
          <w:rStyle w:val="BodyTextChar3"/>
          <w:rFonts w:cs="Arial"/>
          <w:color w:val="000000"/>
          <w:sz w:val="22"/>
          <w:szCs w:val="22"/>
          <w:lang w:val="fr-CA"/>
        </w:rPr>
        <w:fldChar w:fldCharType="separate"/>
      </w:r>
      <w:r w:rsidR="00031329" w:rsidRPr="00031329">
        <w:rPr>
          <w:rFonts w:cs="Arial"/>
          <w:szCs w:val="22"/>
          <w:lang w:val="fr-CA"/>
        </w:rPr>
        <w:t>Figure 10</w:t>
      </w:r>
      <w:r w:rsidR="00950A8C" w:rsidRPr="00AE6675">
        <w:rPr>
          <w:rStyle w:val="BodyTextChar3"/>
          <w:rFonts w:cs="Arial"/>
          <w:color w:val="000000"/>
          <w:sz w:val="22"/>
          <w:szCs w:val="22"/>
          <w:lang w:val="fr-CA"/>
        </w:rPr>
        <w:fldChar w:fldCharType="end"/>
      </w:r>
      <w:r w:rsidRPr="00AE6675">
        <w:rPr>
          <w:rStyle w:val="BodyTextChar3"/>
          <w:color w:val="000000"/>
          <w:sz w:val="22"/>
          <w:szCs w:val="22"/>
          <w:lang w:val="fr-CA"/>
        </w:rPr>
        <w:t xml:space="preserve">). Toutefois, il faut ajuster certaines de ces prises avant de pouvoir les utiliser pour les avis sur les prises, car les cas de multiplicateur des prises mettent soudainement fin aux prises manquantes dans ces calculs. Pour corriger ce problème, on peut soit modifier les projections pour continuer la mortalité supplémentaire (comme dans le scénario du multiplicateur de la mortalité naturelle), soit simplement diviser </w:t>
      </w:r>
      <w:r w:rsidR="00AD4E5E" w:rsidRPr="00AE6675">
        <w:rPr>
          <w:rStyle w:val="BodyTextChar3"/>
          <w:color w:val="000000"/>
          <w:sz w:val="22"/>
          <w:szCs w:val="22"/>
          <w:lang w:val="fr-CA"/>
        </w:rPr>
        <w:t xml:space="preserve">les </w:t>
      </w:r>
      <w:r w:rsidRPr="00AE6675">
        <w:rPr>
          <w:rStyle w:val="BodyTextChar3"/>
          <w:color w:val="000000"/>
          <w:sz w:val="22"/>
          <w:szCs w:val="22"/>
          <w:lang w:val="fr-CA"/>
        </w:rPr>
        <w:t>avis sur les prises standard</w:t>
      </w:r>
      <w:r w:rsidR="008E4132" w:rsidRPr="00AE6675">
        <w:rPr>
          <w:rStyle w:val="BodyTextChar3"/>
          <w:color w:val="000000"/>
          <w:sz w:val="22"/>
          <w:szCs w:val="22"/>
          <w:lang w:val="fr-CA"/>
        </w:rPr>
        <w:t>s</w:t>
      </w:r>
      <w:r w:rsidRPr="00AE6675">
        <w:rPr>
          <w:rStyle w:val="BodyTextChar3"/>
          <w:color w:val="000000"/>
          <w:sz w:val="22"/>
          <w:szCs w:val="22"/>
          <w:lang w:val="fr-CA"/>
        </w:rPr>
        <w:t xml:space="preserve"> par le multiplicateur pour produire un avis sur les prises ajusté. C</w:t>
      </w:r>
      <w:r w:rsidR="00AD78A9" w:rsidRPr="00AE6675">
        <w:rPr>
          <w:rStyle w:val="BodyTextChar3"/>
          <w:color w:val="000000"/>
          <w:sz w:val="22"/>
          <w:szCs w:val="22"/>
          <w:lang w:val="fr-CA"/>
        </w:rPr>
        <w:t>’</w:t>
      </w:r>
      <w:r w:rsidRPr="00AE6675">
        <w:rPr>
          <w:rStyle w:val="BodyTextChar3"/>
          <w:color w:val="000000"/>
          <w:sz w:val="22"/>
          <w:szCs w:val="22"/>
          <w:lang w:val="fr-CA"/>
        </w:rPr>
        <w:t xml:space="preserve">est la seconde option </w:t>
      </w:r>
      <w:r w:rsidR="00A81A2C" w:rsidRPr="00AE6675">
        <w:rPr>
          <w:rStyle w:val="BodyTextChar3"/>
          <w:color w:val="000000"/>
          <w:sz w:val="22"/>
          <w:szCs w:val="22"/>
          <w:lang w:val="fr-CA"/>
        </w:rPr>
        <w:t xml:space="preserve">qui </w:t>
      </w:r>
      <w:r w:rsidRPr="00AE6675">
        <w:rPr>
          <w:rStyle w:val="BodyTextChar3"/>
          <w:color w:val="000000"/>
          <w:sz w:val="22"/>
          <w:szCs w:val="22"/>
          <w:lang w:val="fr-CA"/>
        </w:rPr>
        <w:t>a été faite ici, mais la première serait plus appropriée pour une approche Rose. L</w:t>
      </w:r>
      <w:r w:rsidR="00AD78A9" w:rsidRPr="00AE6675">
        <w:rPr>
          <w:rStyle w:val="BodyTextChar3"/>
          <w:color w:val="000000"/>
          <w:sz w:val="22"/>
          <w:szCs w:val="22"/>
          <w:lang w:val="fr-CA"/>
        </w:rPr>
        <w:t>’</w:t>
      </w:r>
      <w:r w:rsidRPr="00AE6675">
        <w:rPr>
          <w:rStyle w:val="BodyTextChar3"/>
          <w:color w:val="000000"/>
          <w:sz w:val="22"/>
          <w:szCs w:val="22"/>
          <w:lang w:val="fr-CA"/>
        </w:rPr>
        <w:t>avis sur les prises ajusté par le modèle de base est obtenu en appliquant un ajustement rétrospectif à la population de départ avant les projections (une pratique courante dans les évaluations américaines des poissons de fond présentant des profils rétrospectifs marqués).</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t>Si l</w:t>
      </w:r>
      <w:r w:rsidR="00AD78A9" w:rsidRPr="00AE6675">
        <w:rPr>
          <w:rStyle w:val="BodyTextChar3"/>
          <w:color w:val="000000"/>
          <w:sz w:val="22"/>
          <w:szCs w:val="22"/>
          <w:lang w:val="fr-CA"/>
        </w:rPr>
        <w:t>’</w:t>
      </w:r>
      <w:r w:rsidRPr="00AE6675">
        <w:rPr>
          <w:rStyle w:val="BodyTextChar3"/>
          <w:color w:val="000000"/>
          <w:sz w:val="22"/>
          <w:szCs w:val="22"/>
          <w:lang w:val="fr-CA"/>
        </w:rPr>
        <w:t>on examine les avis sur les prises ajustés des scénarios, on constate qu</w:t>
      </w:r>
      <w:r w:rsidR="00AD78A9" w:rsidRPr="00AE6675">
        <w:rPr>
          <w:rStyle w:val="BodyTextChar3"/>
          <w:color w:val="000000"/>
          <w:sz w:val="22"/>
          <w:szCs w:val="22"/>
          <w:lang w:val="fr-CA"/>
        </w:rPr>
        <w:t>’</w:t>
      </w:r>
      <w:r w:rsidRPr="00AE6675">
        <w:rPr>
          <w:rStyle w:val="BodyTextChar3"/>
          <w:color w:val="000000"/>
          <w:sz w:val="22"/>
          <w:szCs w:val="22"/>
          <w:lang w:val="fr-CA"/>
        </w:rPr>
        <w:t>ils sont relativement cohérents et que les prises sont à peu près les mêmes qu</w:t>
      </w:r>
      <w:r w:rsidR="00AD78A9" w:rsidRPr="00AE6675">
        <w:rPr>
          <w:rStyle w:val="BodyTextChar3"/>
          <w:color w:val="000000"/>
          <w:sz w:val="22"/>
          <w:szCs w:val="22"/>
          <w:lang w:val="fr-CA"/>
        </w:rPr>
        <w:t>’</w:t>
      </w:r>
      <w:r w:rsidRPr="00AE6675">
        <w:rPr>
          <w:rStyle w:val="BodyTextChar3"/>
          <w:color w:val="000000"/>
          <w:sz w:val="22"/>
          <w:szCs w:val="22"/>
          <w:lang w:val="fr-CA"/>
        </w:rPr>
        <w:t>en 2015 (585 t), allant de 222 à 572 t avec une moyenne de 363 t en 2016. Toutes ces valeurs sont bien inférieures à l</w:t>
      </w:r>
      <w:r w:rsidR="00AD78A9" w:rsidRPr="00AE6675">
        <w:rPr>
          <w:rStyle w:val="BodyTextChar3"/>
          <w:color w:val="000000"/>
          <w:sz w:val="22"/>
          <w:szCs w:val="22"/>
          <w:lang w:val="fr-CA"/>
        </w:rPr>
        <w:t>’</w:t>
      </w:r>
      <w:r w:rsidRPr="00AE6675">
        <w:rPr>
          <w:rStyle w:val="BodyTextChar3"/>
          <w:color w:val="000000"/>
          <w:sz w:val="22"/>
          <w:szCs w:val="22"/>
          <w:lang w:val="fr-CA"/>
        </w:rPr>
        <w:t>avis sur les prises du modèle de base non ajusté, de 708 t en 2016. Les résultats pour les années</w:t>
      </w:r>
      <w:r w:rsidR="00A81A2C" w:rsidRPr="00AE6675">
        <w:rPr>
          <w:rStyle w:val="BodyTextChar3"/>
          <w:color w:val="000000"/>
          <w:sz w:val="22"/>
          <w:szCs w:val="22"/>
          <w:lang w:val="fr-CA"/>
        </w:rPr>
        <w:t> </w:t>
      </w:r>
      <w:r w:rsidRPr="00AE6675">
        <w:rPr>
          <w:rStyle w:val="BodyTextChar3"/>
          <w:color w:val="000000"/>
          <w:sz w:val="22"/>
          <w:szCs w:val="22"/>
          <w:lang w:val="fr-CA"/>
        </w:rPr>
        <w:t>2017 et 2018 sont également inférieurs à l</w:t>
      </w:r>
      <w:r w:rsidR="00AD78A9" w:rsidRPr="00AE6675">
        <w:rPr>
          <w:rStyle w:val="BodyTextChar3"/>
          <w:color w:val="000000"/>
          <w:sz w:val="22"/>
          <w:szCs w:val="22"/>
          <w:lang w:val="fr-CA"/>
        </w:rPr>
        <w:t>’</w:t>
      </w:r>
      <w:r w:rsidRPr="00AE6675">
        <w:rPr>
          <w:rStyle w:val="BodyTextChar3"/>
          <w:color w:val="000000"/>
          <w:sz w:val="22"/>
          <w:szCs w:val="22"/>
          <w:lang w:val="fr-CA"/>
        </w:rPr>
        <w:t>avis sur les prises de base non ajusté. On pourrait fixer par une formule la meilleure façon d</w:t>
      </w:r>
      <w:r w:rsidR="00AD78A9" w:rsidRPr="00AE6675">
        <w:rPr>
          <w:rStyle w:val="BodyTextChar3"/>
          <w:color w:val="000000"/>
          <w:sz w:val="22"/>
          <w:szCs w:val="22"/>
          <w:lang w:val="fr-CA"/>
        </w:rPr>
        <w:t>’</w:t>
      </w:r>
      <w:r w:rsidRPr="00AE6675">
        <w:rPr>
          <w:rStyle w:val="BodyTextChar3"/>
          <w:color w:val="000000"/>
          <w:sz w:val="22"/>
          <w:szCs w:val="22"/>
          <w:lang w:val="fr-CA"/>
        </w:rPr>
        <w:t>utiliser les différents résultats de l</w:t>
      </w:r>
      <w:r w:rsidR="00AD78A9" w:rsidRPr="00AE6675">
        <w:rPr>
          <w:rStyle w:val="BodyTextChar3"/>
          <w:color w:val="000000"/>
          <w:sz w:val="22"/>
          <w:szCs w:val="22"/>
          <w:lang w:val="fr-CA"/>
        </w:rPr>
        <w:t>’</w:t>
      </w:r>
      <w:r w:rsidRPr="00AE6675">
        <w:rPr>
          <w:rStyle w:val="BodyTextChar3"/>
          <w:color w:val="000000"/>
          <w:sz w:val="22"/>
          <w:szCs w:val="22"/>
          <w:lang w:val="fr-CA"/>
        </w:rPr>
        <w:t>approche de l</w:t>
      </w:r>
      <w:r w:rsidR="00AD78A9" w:rsidRPr="00AE6675">
        <w:rPr>
          <w:rStyle w:val="BodyTextChar3"/>
          <w:color w:val="000000"/>
          <w:sz w:val="22"/>
          <w:szCs w:val="22"/>
          <w:lang w:val="fr-CA"/>
        </w:rPr>
        <w:t>’</w:t>
      </w:r>
      <w:r w:rsidRPr="00AE6675">
        <w:rPr>
          <w:rStyle w:val="BodyTextChar3"/>
          <w:color w:val="000000"/>
          <w:sz w:val="22"/>
          <w:szCs w:val="22"/>
          <w:lang w:val="fr-CA"/>
        </w:rPr>
        <w:t xml:space="preserve">ensemble, comme la formule, ou poursuivre les délibérations du COGST. </w:t>
      </w:r>
    </w:p>
    <w:p w:rsidR="00597041" w:rsidRPr="00AE6675" w:rsidRDefault="00597041" w:rsidP="00597041">
      <w:pPr>
        <w:rPr>
          <w:rStyle w:val="BodyTextChar3"/>
          <w:rFonts w:cs="Arial"/>
          <w:color w:val="000000"/>
          <w:sz w:val="22"/>
          <w:szCs w:val="22"/>
          <w:lang w:val="fr-CA"/>
        </w:rPr>
      </w:pPr>
      <w:r w:rsidRPr="00AE6675">
        <w:rPr>
          <w:rStyle w:val="BodyTextChar3"/>
          <w:color w:val="000000"/>
          <w:sz w:val="22"/>
          <w:szCs w:val="22"/>
          <w:lang w:val="fr-CA"/>
        </w:rPr>
        <w:t>L</w:t>
      </w:r>
      <w:r w:rsidR="00AD78A9" w:rsidRPr="00AE6675">
        <w:rPr>
          <w:rStyle w:val="BodyTextChar3"/>
          <w:color w:val="000000"/>
          <w:sz w:val="22"/>
          <w:szCs w:val="22"/>
          <w:lang w:val="fr-CA"/>
        </w:rPr>
        <w:t>’</w:t>
      </w:r>
      <w:r w:rsidRPr="00AE6675">
        <w:rPr>
          <w:rStyle w:val="BodyTextChar3"/>
          <w:color w:val="000000"/>
          <w:sz w:val="22"/>
          <w:szCs w:val="22"/>
          <w:lang w:val="fr-CA"/>
        </w:rPr>
        <w:t>approche Rose présente un certain nombre d</w:t>
      </w:r>
      <w:r w:rsidR="00AD78A9" w:rsidRPr="00AE6675">
        <w:rPr>
          <w:rStyle w:val="BodyTextChar3"/>
          <w:color w:val="000000"/>
          <w:sz w:val="22"/>
          <w:szCs w:val="22"/>
          <w:lang w:val="fr-CA"/>
        </w:rPr>
        <w:t>’</w:t>
      </w:r>
      <w:r w:rsidRPr="00AE6675">
        <w:rPr>
          <w:rStyle w:val="BodyTextChar3"/>
          <w:color w:val="000000"/>
          <w:sz w:val="22"/>
          <w:szCs w:val="22"/>
          <w:lang w:val="fr-CA"/>
        </w:rPr>
        <w:t>avantages et d</w:t>
      </w:r>
      <w:r w:rsidR="00AD78A9" w:rsidRPr="00AE6675">
        <w:rPr>
          <w:rStyle w:val="BodyTextChar3"/>
          <w:color w:val="000000"/>
          <w:sz w:val="22"/>
          <w:szCs w:val="22"/>
          <w:lang w:val="fr-CA"/>
        </w:rPr>
        <w:t>’</w:t>
      </w:r>
      <w:r w:rsidRPr="00AE6675">
        <w:rPr>
          <w:rStyle w:val="BodyTextChar3"/>
          <w:color w:val="000000"/>
          <w:sz w:val="22"/>
          <w:szCs w:val="22"/>
          <w:lang w:val="fr-CA"/>
        </w:rPr>
        <w:t>inconvénients, résumés dans le tableau suivant.</w:t>
      </w:r>
    </w:p>
    <w:tbl>
      <w:tblPr>
        <w:tblStyle w:val="TableGrid"/>
        <w:tblW w:w="0" w:type="auto"/>
        <w:tblLook w:val="04A0" w:firstRow="1" w:lastRow="0" w:firstColumn="1" w:lastColumn="0" w:noHBand="0" w:noVBand="1"/>
      </w:tblPr>
      <w:tblGrid>
        <w:gridCol w:w="4676"/>
        <w:gridCol w:w="4674"/>
      </w:tblGrid>
      <w:tr w:rsidR="00597041" w:rsidRPr="00AE6675" w:rsidTr="00AE6675">
        <w:trPr>
          <w:tblHeader/>
        </w:trPr>
        <w:tc>
          <w:tcPr>
            <w:tcW w:w="4698" w:type="dxa"/>
          </w:tcPr>
          <w:p w:rsidR="00597041" w:rsidRPr="00AE6675" w:rsidRDefault="00597041" w:rsidP="005A72BE">
            <w:pPr>
              <w:rPr>
                <w:rFonts w:cs="Arial"/>
                <w:szCs w:val="22"/>
                <w:lang w:val="fr-CA"/>
              </w:rPr>
            </w:pPr>
            <w:r w:rsidRPr="00AE6675">
              <w:rPr>
                <w:szCs w:val="22"/>
                <w:lang w:val="fr-CA"/>
              </w:rPr>
              <w:t>Avantages</w:t>
            </w:r>
          </w:p>
        </w:tc>
        <w:tc>
          <w:tcPr>
            <w:tcW w:w="4697" w:type="dxa"/>
          </w:tcPr>
          <w:p w:rsidR="00597041" w:rsidRPr="00AE6675" w:rsidRDefault="00597041" w:rsidP="005A72BE">
            <w:pPr>
              <w:rPr>
                <w:rFonts w:cs="Arial"/>
                <w:szCs w:val="22"/>
                <w:lang w:val="fr-CA"/>
              </w:rPr>
            </w:pPr>
            <w:r w:rsidRPr="00AE6675">
              <w:rPr>
                <w:szCs w:val="22"/>
                <w:lang w:val="fr-CA"/>
              </w:rPr>
              <w:t>Inconvénients</w:t>
            </w:r>
          </w:p>
        </w:tc>
      </w:tr>
      <w:tr w:rsidR="00597041" w:rsidRPr="00AE6675" w:rsidTr="00AE6675">
        <w:tc>
          <w:tcPr>
            <w:tcW w:w="4698" w:type="dxa"/>
          </w:tcPr>
          <w:p w:rsidR="00597041" w:rsidRPr="00AE6675" w:rsidRDefault="00597041" w:rsidP="005A72BE">
            <w:pPr>
              <w:rPr>
                <w:rFonts w:cs="Arial"/>
                <w:szCs w:val="22"/>
                <w:lang w:val="fr-CA"/>
              </w:rPr>
            </w:pPr>
            <w:r w:rsidRPr="00AE6675">
              <w:rPr>
                <w:szCs w:val="22"/>
                <w:lang w:val="fr-CA"/>
              </w:rPr>
              <w:lastRenderedPageBreak/>
              <w:t>L</w:t>
            </w:r>
            <w:r w:rsidR="00AD78A9" w:rsidRPr="00AE6675">
              <w:rPr>
                <w:szCs w:val="22"/>
                <w:lang w:val="fr-CA"/>
              </w:rPr>
              <w:t>’</w:t>
            </w:r>
            <w:r w:rsidRPr="00AE6675">
              <w:rPr>
                <w:szCs w:val="22"/>
                <w:lang w:val="fr-CA"/>
              </w:rPr>
              <w:t>approche de l</w:t>
            </w:r>
            <w:r w:rsidR="00AD78A9" w:rsidRPr="00AE6675">
              <w:rPr>
                <w:szCs w:val="22"/>
                <w:lang w:val="fr-CA"/>
              </w:rPr>
              <w:t>’</w:t>
            </w:r>
            <w:r w:rsidRPr="00AE6675">
              <w:rPr>
                <w:szCs w:val="22"/>
                <w:lang w:val="fr-CA"/>
              </w:rPr>
              <w:t>ensemble aborde explicitement l</w:t>
            </w:r>
            <w:r w:rsidR="00AD78A9" w:rsidRPr="00AE6675">
              <w:rPr>
                <w:szCs w:val="22"/>
                <w:lang w:val="fr-CA"/>
              </w:rPr>
              <w:t>’</w:t>
            </w:r>
            <w:r w:rsidRPr="00AE6675">
              <w:rPr>
                <w:szCs w:val="22"/>
                <w:lang w:val="fr-CA"/>
              </w:rPr>
              <w:t>incertitude des modèles.</w:t>
            </w:r>
          </w:p>
        </w:tc>
        <w:tc>
          <w:tcPr>
            <w:tcW w:w="4697" w:type="dxa"/>
          </w:tcPr>
          <w:p w:rsidR="00597041" w:rsidRPr="00AE6675" w:rsidRDefault="00597041" w:rsidP="005A72BE">
            <w:pPr>
              <w:rPr>
                <w:rFonts w:cs="Arial"/>
                <w:szCs w:val="22"/>
                <w:lang w:val="fr-CA"/>
              </w:rPr>
            </w:pPr>
            <w:r w:rsidRPr="00AE6675">
              <w:rPr>
                <w:szCs w:val="22"/>
                <w:lang w:val="fr-CA"/>
              </w:rPr>
              <w:t>Nécessite l</w:t>
            </w:r>
            <w:r w:rsidR="00AD78A9" w:rsidRPr="00AE6675">
              <w:rPr>
                <w:szCs w:val="22"/>
                <w:lang w:val="fr-CA"/>
              </w:rPr>
              <w:t>’</w:t>
            </w:r>
            <w:r w:rsidRPr="00AE6675">
              <w:rPr>
                <w:szCs w:val="22"/>
                <w:lang w:val="fr-CA"/>
              </w:rPr>
              <w:t>élaboration, l</w:t>
            </w:r>
            <w:r w:rsidR="00AD78A9" w:rsidRPr="00AE6675">
              <w:rPr>
                <w:szCs w:val="22"/>
                <w:lang w:val="fr-CA"/>
              </w:rPr>
              <w:t>’</w:t>
            </w:r>
            <w:r w:rsidRPr="00AE6675">
              <w:rPr>
                <w:szCs w:val="22"/>
                <w:lang w:val="fr-CA"/>
              </w:rPr>
              <w:t>exécution et l</w:t>
            </w:r>
            <w:r w:rsidR="00AD78A9" w:rsidRPr="00AE6675">
              <w:rPr>
                <w:szCs w:val="22"/>
                <w:lang w:val="fr-CA"/>
              </w:rPr>
              <w:t>’</w:t>
            </w:r>
            <w:r w:rsidRPr="00AE6675">
              <w:rPr>
                <w:szCs w:val="22"/>
                <w:lang w:val="fr-CA"/>
              </w:rPr>
              <w:t>examen de nombreux modèles pour détecter les problèmes de diagnostic (charge de travail).</w:t>
            </w:r>
          </w:p>
        </w:tc>
      </w:tr>
      <w:tr w:rsidR="00597041" w:rsidRPr="00AE6675" w:rsidTr="00AE6675">
        <w:tc>
          <w:tcPr>
            <w:tcW w:w="4698" w:type="dxa"/>
          </w:tcPr>
          <w:p w:rsidR="00597041" w:rsidRPr="00AE6675" w:rsidRDefault="00597041" w:rsidP="005A72BE">
            <w:pPr>
              <w:rPr>
                <w:rFonts w:cs="Arial"/>
                <w:szCs w:val="22"/>
                <w:lang w:val="fr-CA"/>
              </w:rPr>
            </w:pPr>
            <w:r w:rsidRPr="00AE6675">
              <w:rPr>
                <w:szCs w:val="22"/>
                <w:lang w:val="fr-CA"/>
              </w:rPr>
              <w:t>Tous les modèles dans l</w:t>
            </w:r>
            <w:r w:rsidR="00AD78A9" w:rsidRPr="00AE6675">
              <w:rPr>
                <w:szCs w:val="22"/>
                <w:lang w:val="fr-CA"/>
              </w:rPr>
              <w:t>’</w:t>
            </w:r>
            <w:r w:rsidRPr="00AE6675">
              <w:rPr>
                <w:szCs w:val="22"/>
                <w:lang w:val="fr-CA"/>
              </w:rPr>
              <w:t>ensemble sont raisonnables (pas de profil rétrospectif marqué et bons diagnostics).</w:t>
            </w:r>
          </w:p>
        </w:tc>
        <w:tc>
          <w:tcPr>
            <w:tcW w:w="4697" w:type="dxa"/>
          </w:tcPr>
          <w:p w:rsidR="00597041" w:rsidRPr="00AE6675" w:rsidRDefault="00597041" w:rsidP="005A72BE">
            <w:pPr>
              <w:rPr>
                <w:rFonts w:cs="Arial"/>
                <w:szCs w:val="22"/>
                <w:lang w:val="fr-CA"/>
              </w:rPr>
            </w:pPr>
            <w:r w:rsidRPr="00AE6675">
              <w:rPr>
                <w:szCs w:val="22"/>
                <w:lang w:val="fr-CA"/>
              </w:rPr>
              <w:t>La sélection des modèles dans l</w:t>
            </w:r>
            <w:r w:rsidR="00AD78A9" w:rsidRPr="00AE6675">
              <w:rPr>
                <w:szCs w:val="22"/>
                <w:lang w:val="fr-CA"/>
              </w:rPr>
              <w:t>’</w:t>
            </w:r>
            <w:r w:rsidRPr="00AE6675">
              <w:rPr>
                <w:szCs w:val="22"/>
                <w:lang w:val="fr-CA"/>
              </w:rPr>
              <w:t>ensemble pourrait biaiser les avis.</w:t>
            </w:r>
          </w:p>
          <w:p w:rsidR="00597041" w:rsidRPr="00AE6675" w:rsidRDefault="00597041" w:rsidP="005A72BE">
            <w:pPr>
              <w:rPr>
                <w:rFonts w:cs="Arial"/>
                <w:szCs w:val="22"/>
                <w:lang w:val="fr-CA"/>
              </w:rPr>
            </w:pPr>
          </w:p>
        </w:tc>
      </w:tr>
      <w:tr w:rsidR="00597041" w:rsidRPr="00AE6675" w:rsidTr="00AE6675">
        <w:tc>
          <w:tcPr>
            <w:tcW w:w="4698" w:type="dxa"/>
          </w:tcPr>
          <w:p w:rsidR="00597041" w:rsidRPr="00AE6675" w:rsidRDefault="00597041" w:rsidP="005A72BE">
            <w:pPr>
              <w:rPr>
                <w:rFonts w:cs="Arial"/>
                <w:szCs w:val="22"/>
                <w:lang w:val="fr-CA"/>
              </w:rPr>
            </w:pPr>
            <w:r w:rsidRPr="00AE6675">
              <w:rPr>
                <w:szCs w:val="22"/>
                <w:lang w:val="fr-CA"/>
              </w:rPr>
              <w:t>L</w:t>
            </w:r>
            <w:r w:rsidR="00AD78A9" w:rsidRPr="00AE6675">
              <w:rPr>
                <w:szCs w:val="22"/>
                <w:lang w:val="fr-CA"/>
              </w:rPr>
              <w:t>’</w:t>
            </w:r>
            <w:r w:rsidRPr="00AE6675">
              <w:rPr>
                <w:szCs w:val="22"/>
                <w:lang w:val="fr-CA"/>
              </w:rPr>
              <w:t>éventail des avis sur les prises permet au COGST de compenser les risques.</w:t>
            </w:r>
          </w:p>
        </w:tc>
        <w:tc>
          <w:tcPr>
            <w:tcW w:w="4697" w:type="dxa"/>
          </w:tcPr>
          <w:p w:rsidR="00597041" w:rsidRPr="00AE6675" w:rsidRDefault="00597041" w:rsidP="005A72BE">
            <w:pPr>
              <w:rPr>
                <w:rFonts w:cs="Arial"/>
                <w:szCs w:val="22"/>
                <w:lang w:val="fr-CA"/>
              </w:rPr>
            </w:pPr>
            <w:r w:rsidRPr="00AE6675">
              <w:rPr>
                <w:szCs w:val="22"/>
                <w:lang w:val="fr-CA"/>
              </w:rPr>
              <w:t>L</w:t>
            </w:r>
            <w:r w:rsidR="00AD78A9" w:rsidRPr="00AE6675">
              <w:rPr>
                <w:szCs w:val="22"/>
                <w:lang w:val="fr-CA"/>
              </w:rPr>
              <w:t>’</w:t>
            </w:r>
            <w:r w:rsidRPr="00AE6675">
              <w:rPr>
                <w:szCs w:val="22"/>
                <w:lang w:val="fr-CA"/>
              </w:rPr>
              <w:t>éventail des avis sur les prises oblige le COGST à traiter l</w:t>
            </w:r>
            <w:r w:rsidR="00AD78A9" w:rsidRPr="00AE6675">
              <w:rPr>
                <w:szCs w:val="22"/>
                <w:lang w:val="fr-CA"/>
              </w:rPr>
              <w:t>’</w:t>
            </w:r>
            <w:r w:rsidRPr="00AE6675">
              <w:rPr>
                <w:szCs w:val="22"/>
                <w:lang w:val="fr-CA"/>
              </w:rPr>
              <w:t>incertitude des avis à court terme plutôt qu</w:t>
            </w:r>
            <w:r w:rsidR="00AD78A9" w:rsidRPr="00AE6675">
              <w:rPr>
                <w:szCs w:val="22"/>
                <w:lang w:val="fr-CA"/>
              </w:rPr>
              <w:t>’</w:t>
            </w:r>
            <w:r w:rsidRPr="00AE6675">
              <w:rPr>
                <w:szCs w:val="22"/>
                <w:lang w:val="fr-CA"/>
              </w:rPr>
              <w:t>à long terme.</w:t>
            </w:r>
          </w:p>
        </w:tc>
      </w:tr>
      <w:tr w:rsidR="00597041" w:rsidRPr="00AE6675" w:rsidTr="00AE6675">
        <w:tc>
          <w:tcPr>
            <w:tcW w:w="4698" w:type="dxa"/>
          </w:tcPr>
          <w:p w:rsidR="00597041" w:rsidRPr="00AE6675" w:rsidRDefault="00597041" w:rsidP="005A72BE">
            <w:pPr>
              <w:rPr>
                <w:rFonts w:cs="Arial"/>
                <w:szCs w:val="22"/>
                <w:lang w:val="fr-CA"/>
              </w:rPr>
            </w:pPr>
            <w:r w:rsidRPr="00AE6675">
              <w:rPr>
                <w:szCs w:val="22"/>
                <w:lang w:val="fr-CA"/>
              </w:rPr>
              <w:t xml:space="preserve">Ne nécessite pas de définir </w:t>
            </w:r>
            <w:r w:rsidR="00AD78A9" w:rsidRPr="00AE6675">
              <w:rPr>
                <w:szCs w:val="22"/>
                <w:lang w:val="fr-CA"/>
              </w:rPr>
              <w:t>«</w:t>
            </w:r>
            <w:r w:rsidR="00A81A2C" w:rsidRPr="00AE6675">
              <w:rPr>
                <w:szCs w:val="22"/>
                <w:lang w:val="fr-CA"/>
              </w:rPr>
              <w:t> </w:t>
            </w:r>
            <w:r w:rsidRPr="00AE6675">
              <w:rPr>
                <w:szCs w:val="22"/>
                <w:lang w:val="fr-CA"/>
              </w:rPr>
              <w:t>la</w:t>
            </w:r>
            <w:r w:rsidR="00A81A2C" w:rsidRPr="00AE6675">
              <w:rPr>
                <w:szCs w:val="22"/>
                <w:lang w:val="fr-CA"/>
              </w:rPr>
              <w:t> </w:t>
            </w:r>
            <w:r w:rsidR="00AD78A9" w:rsidRPr="00AE6675">
              <w:rPr>
                <w:szCs w:val="22"/>
                <w:lang w:val="fr-CA"/>
              </w:rPr>
              <w:t>»</w:t>
            </w:r>
            <w:r w:rsidRPr="00AE6675">
              <w:rPr>
                <w:szCs w:val="22"/>
                <w:lang w:val="fr-CA"/>
              </w:rPr>
              <w:t xml:space="preserve"> source du problème.</w:t>
            </w:r>
          </w:p>
        </w:tc>
        <w:tc>
          <w:tcPr>
            <w:tcW w:w="4697" w:type="dxa"/>
          </w:tcPr>
          <w:p w:rsidR="00597041" w:rsidRPr="00AE6675" w:rsidRDefault="00597041" w:rsidP="005A72BE">
            <w:pPr>
              <w:rPr>
                <w:rFonts w:cs="Arial"/>
                <w:szCs w:val="22"/>
                <w:lang w:val="fr-CA"/>
              </w:rPr>
            </w:pPr>
            <w:r w:rsidRPr="00AE6675">
              <w:rPr>
                <w:szCs w:val="22"/>
                <w:lang w:val="fr-CA"/>
              </w:rPr>
              <w:t xml:space="preserve">Ne définit pas </w:t>
            </w:r>
            <w:r w:rsidR="00AD78A9" w:rsidRPr="00AE6675">
              <w:rPr>
                <w:szCs w:val="22"/>
                <w:lang w:val="fr-CA"/>
              </w:rPr>
              <w:t>«</w:t>
            </w:r>
            <w:r w:rsidR="00A81A2C" w:rsidRPr="00AE6675">
              <w:rPr>
                <w:szCs w:val="22"/>
                <w:lang w:val="fr-CA"/>
              </w:rPr>
              <w:t> </w:t>
            </w:r>
            <w:r w:rsidRPr="00AE6675">
              <w:rPr>
                <w:szCs w:val="22"/>
                <w:lang w:val="fr-CA"/>
              </w:rPr>
              <w:t>la</w:t>
            </w:r>
            <w:r w:rsidR="00A81A2C" w:rsidRPr="00AE6675">
              <w:rPr>
                <w:szCs w:val="22"/>
                <w:lang w:val="fr-CA"/>
              </w:rPr>
              <w:t> </w:t>
            </w:r>
            <w:r w:rsidR="00AD78A9" w:rsidRPr="00AE6675">
              <w:rPr>
                <w:szCs w:val="22"/>
                <w:lang w:val="fr-CA"/>
              </w:rPr>
              <w:t>»</w:t>
            </w:r>
            <w:r w:rsidRPr="00AE6675">
              <w:rPr>
                <w:szCs w:val="22"/>
                <w:lang w:val="fr-CA"/>
              </w:rPr>
              <w:t xml:space="preserve"> source du problème.</w:t>
            </w:r>
          </w:p>
        </w:tc>
      </w:tr>
      <w:tr w:rsidR="00597041" w:rsidRPr="00AE6675" w:rsidTr="00AE6675">
        <w:tc>
          <w:tcPr>
            <w:tcW w:w="4698" w:type="dxa"/>
          </w:tcPr>
          <w:p w:rsidR="00597041" w:rsidRPr="00AE6675" w:rsidRDefault="00597041" w:rsidP="005A72BE">
            <w:pPr>
              <w:rPr>
                <w:rFonts w:cs="Arial"/>
                <w:szCs w:val="22"/>
                <w:lang w:val="fr-CA"/>
              </w:rPr>
            </w:pPr>
            <w:r w:rsidRPr="00AE6675">
              <w:rPr>
                <w:szCs w:val="22"/>
                <w:lang w:val="fr-CA"/>
              </w:rPr>
              <w:t>La source du profil rétrospectif se poursuit dans chaque projection (contrairement aux ajustements rétrospectifs).</w:t>
            </w:r>
          </w:p>
        </w:tc>
        <w:tc>
          <w:tcPr>
            <w:tcW w:w="4697" w:type="dxa"/>
          </w:tcPr>
          <w:p w:rsidR="00597041" w:rsidRPr="00AE6675" w:rsidRDefault="00597041" w:rsidP="005A72BE">
            <w:pPr>
              <w:rPr>
                <w:rFonts w:cs="Arial"/>
                <w:szCs w:val="22"/>
                <w:lang w:val="fr-CA"/>
              </w:rPr>
            </w:pPr>
            <w:r w:rsidRPr="00AE6675">
              <w:rPr>
                <w:szCs w:val="22"/>
                <w:lang w:val="fr-CA"/>
              </w:rPr>
              <w:t>Test de simulation difficile en raison de l</w:t>
            </w:r>
            <w:r w:rsidR="00AD78A9" w:rsidRPr="00AE6675">
              <w:rPr>
                <w:szCs w:val="22"/>
                <w:lang w:val="fr-CA"/>
              </w:rPr>
              <w:t>’</w:t>
            </w:r>
            <w:r w:rsidRPr="00AE6675">
              <w:rPr>
                <w:szCs w:val="22"/>
                <w:lang w:val="fr-CA"/>
              </w:rPr>
              <w:t>existence de nombreux modèles dans l</w:t>
            </w:r>
            <w:r w:rsidR="00AD78A9" w:rsidRPr="00AE6675">
              <w:rPr>
                <w:szCs w:val="22"/>
                <w:lang w:val="fr-CA"/>
              </w:rPr>
              <w:t>’</w:t>
            </w:r>
            <w:r w:rsidRPr="00AE6675">
              <w:rPr>
                <w:szCs w:val="22"/>
                <w:lang w:val="fr-CA"/>
              </w:rPr>
              <w:t>ensemble.</w:t>
            </w:r>
          </w:p>
        </w:tc>
      </w:tr>
      <w:tr w:rsidR="00597041" w:rsidRPr="00AE6675" w:rsidTr="00AE6675">
        <w:tc>
          <w:tcPr>
            <w:tcW w:w="4698" w:type="dxa"/>
          </w:tcPr>
          <w:p w:rsidR="00597041" w:rsidRPr="00AE6675" w:rsidRDefault="00597041" w:rsidP="005A72BE">
            <w:pPr>
              <w:rPr>
                <w:rFonts w:cs="Arial"/>
                <w:szCs w:val="22"/>
                <w:lang w:val="fr-CA"/>
              </w:rPr>
            </w:pPr>
          </w:p>
        </w:tc>
        <w:tc>
          <w:tcPr>
            <w:tcW w:w="4697" w:type="dxa"/>
          </w:tcPr>
          <w:p w:rsidR="00597041" w:rsidRPr="00AE6675" w:rsidRDefault="00597041" w:rsidP="005A72BE">
            <w:pPr>
              <w:rPr>
                <w:rFonts w:cs="Arial"/>
                <w:szCs w:val="22"/>
                <w:lang w:val="fr-CA"/>
              </w:rPr>
            </w:pPr>
            <w:r w:rsidRPr="00AE6675">
              <w:rPr>
                <w:szCs w:val="22"/>
                <w:lang w:val="fr-CA"/>
              </w:rPr>
              <w:t>Szuwalski et ses collaborateurs (2018) ont constaté que la solution utilisée dans une ESG est importante, mais n</w:t>
            </w:r>
            <w:r w:rsidR="00AD78A9" w:rsidRPr="00AE6675">
              <w:rPr>
                <w:szCs w:val="22"/>
                <w:lang w:val="fr-CA"/>
              </w:rPr>
              <w:t>’</w:t>
            </w:r>
            <w:r w:rsidRPr="00AE6675">
              <w:rPr>
                <w:szCs w:val="22"/>
                <w:lang w:val="fr-CA"/>
              </w:rPr>
              <w:t>ont pas envisagé une approche de l</w:t>
            </w:r>
            <w:r w:rsidR="00AD78A9" w:rsidRPr="00AE6675">
              <w:rPr>
                <w:szCs w:val="22"/>
                <w:lang w:val="fr-CA"/>
              </w:rPr>
              <w:t>’</w:t>
            </w:r>
            <w:r w:rsidRPr="00AE6675">
              <w:rPr>
                <w:szCs w:val="22"/>
                <w:lang w:val="fr-CA"/>
              </w:rPr>
              <w:t>ensemble pour les avis sur les prises.</w:t>
            </w:r>
          </w:p>
        </w:tc>
      </w:tr>
    </w:tbl>
    <w:p w:rsidR="00FB3D1E" w:rsidRPr="00AE6675" w:rsidRDefault="00FB3D1E" w:rsidP="00763604">
      <w:pPr>
        <w:pStyle w:val="Heading1"/>
        <w:rPr>
          <w:lang w:val="fr-CA"/>
        </w:rPr>
      </w:pPr>
      <w:bookmarkStart w:id="3" w:name="_Toc44316224"/>
      <w:r w:rsidRPr="00AE6675">
        <w:rPr>
          <w:lang w:val="fr-CA"/>
        </w:rPr>
        <w:t>APPROCHE DLMTOOL</w:t>
      </w:r>
      <w:bookmarkEnd w:id="3"/>
    </w:p>
    <w:p w:rsidR="009A44FF" w:rsidRPr="00AE6675" w:rsidRDefault="009A44FF" w:rsidP="00AE6675">
      <w:pPr>
        <w:pStyle w:val="BodyText"/>
        <w:rPr>
          <w:rStyle w:val="BodyTextChar3"/>
          <w:rFonts w:cs="Arial"/>
          <w:sz w:val="22"/>
          <w:szCs w:val="22"/>
          <w:lang w:val="fr-CA"/>
        </w:rPr>
      </w:pPr>
      <w:r w:rsidRPr="00AE6675">
        <w:rPr>
          <w:rStyle w:val="BodyTextChar3"/>
          <w:sz w:val="22"/>
          <w:szCs w:val="22"/>
          <w:lang w:val="fr-CA"/>
        </w:rPr>
        <w:t>Plusieurs évaluations récentes de la morue de l</w:t>
      </w:r>
      <w:r w:rsidR="00AD78A9" w:rsidRPr="00AE6675">
        <w:rPr>
          <w:rStyle w:val="BodyTextChar3"/>
          <w:sz w:val="22"/>
          <w:szCs w:val="22"/>
          <w:lang w:val="fr-CA"/>
        </w:rPr>
        <w:t>’</w:t>
      </w:r>
      <w:r w:rsidRPr="00AE6675">
        <w:rPr>
          <w:rStyle w:val="BodyTextChar3"/>
          <w:sz w:val="22"/>
          <w:szCs w:val="22"/>
          <w:lang w:val="fr-CA"/>
        </w:rPr>
        <w:t>est du banc de Georges réalisées par le CERT ont démontré des erreurs de spécification non diagnostiquées dans les modèles structurés selon l</w:t>
      </w:r>
      <w:r w:rsidR="00AD78A9" w:rsidRPr="00AE6675">
        <w:rPr>
          <w:rStyle w:val="BodyTextChar3"/>
          <w:sz w:val="22"/>
          <w:szCs w:val="22"/>
          <w:lang w:val="fr-CA"/>
        </w:rPr>
        <w:t>’</w:t>
      </w:r>
      <w:r w:rsidRPr="00AE6675">
        <w:rPr>
          <w:rStyle w:val="BodyTextChar3"/>
          <w:sz w:val="22"/>
          <w:szCs w:val="22"/>
          <w:lang w:val="fr-CA"/>
        </w:rPr>
        <w:t>âge proposés à la réunion d</w:t>
      </w:r>
      <w:r w:rsidR="00AD78A9" w:rsidRPr="00AE6675">
        <w:rPr>
          <w:rStyle w:val="BodyTextChar3"/>
          <w:sz w:val="22"/>
          <w:szCs w:val="22"/>
          <w:lang w:val="fr-CA"/>
        </w:rPr>
        <w:t>’</w:t>
      </w:r>
      <w:r w:rsidRPr="00AE6675">
        <w:rPr>
          <w:rStyle w:val="BodyTextChar3"/>
          <w:sz w:val="22"/>
          <w:szCs w:val="22"/>
          <w:lang w:val="fr-CA"/>
        </w:rPr>
        <w:t>évaluation des points de référence de 2013 (Wang et O</w:t>
      </w:r>
      <w:r w:rsidR="00AD78A9" w:rsidRPr="00AE6675">
        <w:rPr>
          <w:rStyle w:val="BodyTextChar3"/>
          <w:sz w:val="22"/>
          <w:szCs w:val="22"/>
          <w:lang w:val="fr-CA"/>
        </w:rPr>
        <w:t>’</w:t>
      </w:r>
      <w:r w:rsidRPr="00AE6675">
        <w:rPr>
          <w:rStyle w:val="BodyTextChar3"/>
          <w:sz w:val="22"/>
          <w:szCs w:val="22"/>
          <w:lang w:val="fr-CA"/>
        </w:rPr>
        <w:t xml:space="preserve">Brien 2013b, Martin </w:t>
      </w:r>
      <w:r w:rsidRPr="00AE6675">
        <w:rPr>
          <w:rStyle w:val="BodyTextChar3"/>
          <w:i/>
          <w:iCs/>
          <w:sz w:val="22"/>
          <w:szCs w:val="22"/>
          <w:lang w:val="fr-CA"/>
        </w:rPr>
        <w:t>et al</w:t>
      </w:r>
      <w:r w:rsidRPr="00AE6675">
        <w:rPr>
          <w:rStyle w:val="BodyTextChar3"/>
          <w:sz w:val="22"/>
          <w:szCs w:val="22"/>
          <w:lang w:val="fr-CA"/>
        </w:rPr>
        <w:t xml:space="preserve">. 2017, Andrushchenko </w:t>
      </w:r>
      <w:r w:rsidRPr="00AE6675">
        <w:rPr>
          <w:rStyle w:val="BodyTextChar3"/>
          <w:i/>
          <w:iCs/>
          <w:sz w:val="22"/>
          <w:szCs w:val="22"/>
          <w:lang w:val="fr-CA"/>
        </w:rPr>
        <w:t>et al</w:t>
      </w:r>
      <w:r w:rsidRPr="00AE6675">
        <w:rPr>
          <w:rStyle w:val="BodyTextChar3"/>
          <w:sz w:val="22"/>
          <w:szCs w:val="22"/>
          <w:lang w:val="fr-CA"/>
        </w:rPr>
        <w:t>. 2018). Bien que diverses causes aient été envisagées, la source de la disparité croissante entre les tendances de la mortalité relative par pêche (relF) et de la mortalité totale (Z) domine les discussions du CERT depuis la réunion d</w:t>
      </w:r>
      <w:r w:rsidR="00AD78A9" w:rsidRPr="00AE6675">
        <w:rPr>
          <w:rStyle w:val="BodyTextChar3"/>
          <w:sz w:val="22"/>
          <w:szCs w:val="22"/>
          <w:lang w:val="fr-CA"/>
        </w:rPr>
        <w:t>’</w:t>
      </w:r>
      <w:r w:rsidRPr="00AE6675">
        <w:rPr>
          <w:rStyle w:val="BodyTextChar3"/>
          <w:sz w:val="22"/>
          <w:szCs w:val="22"/>
          <w:lang w:val="fr-CA"/>
        </w:rPr>
        <w:t>évaluation des points de référence (Claytor et O</w:t>
      </w:r>
      <w:r w:rsidR="00AD78A9" w:rsidRPr="00AE6675">
        <w:rPr>
          <w:rStyle w:val="BodyTextChar3"/>
          <w:sz w:val="22"/>
          <w:szCs w:val="22"/>
          <w:lang w:val="fr-CA"/>
        </w:rPr>
        <w:t>’</w:t>
      </w:r>
      <w:r w:rsidRPr="00AE6675">
        <w:rPr>
          <w:rStyle w:val="BodyTextChar3"/>
          <w:sz w:val="22"/>
          <w:szCs w:val="22"/>
          <w:lang w:val="fr-CA"/>
        </w:rPr>
        <w:t>Brien 2013, Brooks et Curran 2016). L</w:t>
      </w:r>
      <w:r w:rsidR="00AD78A9" w:rsidRPr="00AE6675">
        <w:rPr>
          <w:rStyle w:val="BodyTextChar3"/>
          <w:sz w:val="22"/>
          <w:szCs w:val="22"/>
          <w:lang w:val="fr-CA"/>
        </w:rPr>
        <w:t>’</w:t>
      </w:r>
      <w:r w:rsidRPr="00AE6675">
        <w:rPr>
          <w:rStyle w:val="BodyTextChar3"/>
          <w:sz w:val="22"/>
          <w:szCs w:val="22"/>
          <w:lang w:val="fr-CA"/>
        </w:rPr>
        <w:t>objectif de l</w:t>
      </w:r>
      <w:r w:rsidR="00AD78A9" w:rsidRPr="00AE6675">
        <w:rPr>
          <w:rStyle w:val="BodyTextChar3"/>
          <w:sz w:val="22"/>
          <w:szCs w:val="22"/>
          <w:lang w:val="fr-CA"/>
        </w:rPr>
        <w:t>’</w:t>
      </w:r>
      <w:r w:rsidRPr="00AE6675">
        <w:rPr>
          <w:rStyle w:val="BodyTextChar3"/>
          <w:sz w:val="22"/>
          <w:szCs w:val="22"/>
          <w:lang w:val="fr-CA"/>
        </w:rPr>
        <w:t>approche DLM/MSEtool est de simuler un éventail de dynamiques des populations et de pressions de la pêche qui reflètent les deux causes les plus probables de la disparité entre relF et Z : la mortalité par pêche non comptabilisée (F) et les changements dans la mortalité naturelle (M)</w:t>
      </w:r>
      <w:r w:rsidR="00D10ADE" w:rsidRPr="00AE6675">
        <w:rPr>
          <w:rStyle w:val="BodyTextChar3"/>
          <w:sz w:val="22"/>
          <w:szCs w:val="22"/>
          <w:lang w:val="fr-CA"/>
        </w:rPr>
        <w:t xml:space="preserve">. </w:t>
      </w:r>
      <w:r w:rsidRPr="00AE6675">
        <w:rPr>
          <w:rStyle w:val="BodyTextChar3"/>
          <w:sz w:val="22"/>
          <w:szCs w:val="22"/>
          <w:lang w:val="fr-CA"/>
        </w:rPr>
        <w:t>On peut ensuite mettre à l</w:t>
      </w:r>
      <w:r w:rsidR="00AD78A9" w:rsidRPr="00AE6675">
        <w:rPr>
          <w:rStyle w:val="BodyTextChar3"/>
          <w:sz w:val="22"/>
          <w:szCs w:val="22"/>
          <w:lang w:val="fr-CA"/>
        </w:rPr>
        <w:t>’</w:t>
      </w:r>
      <w:r w:rsidRPr="00AE6675">
        <w:rPr>
          <w:rStyle w:val="BodyTextChar3"/>
          <w:sz w:val="22"/>
          <w:szCs w:val="22"/>
          <w:lang w:val="fr-CA"/>
        </w:rPr>
        <w:t>essai diverses procédures de gestion (PG) dans la simulation (modèle opérationnel, MO), dans l</w:t>
      </w:r>
      <w:r w:rsidR="00AD78A9" w:rsidRPr="00AE6675">
        <w:rPr>
          <w:rStyle w:val="BodyTextChar3"/>
          <w:sz w:val="22"/>
          <w:szCs w:val="22"/>
          <w:lang w:val="fr-CA"/>
        </w:rPr>
        <w:t>’</w:t>
      </w:r>
      <w:r w:rsidRPr="00AE6675">
        <w:rPr>
          <w:rStyle w:val="BodyTextChar3"/>
          <w:sz w:val="22"/>
          <w:szCs w:val="22"/>
          <w:lang w:val="fr-CA"/>
        </w:rPr>
        <w:t>espoir de trouver une procédure de gestion pour la fourniture d</w:t>
      </w:r>
      <w:r w:rsidR="00AD78A9" w:rsidRPr="00AE6675">
        <w:rPr>
          <w:rStyle w:val="BodyTextChar3"/>
          <w:sz w:val="22"/>
          <w:szCs w:val="22"/>
          <w:lang w:val="fr-CA"/>
        </w:rPr>
        <w:t>’</w:t>
      </w:r>
      <w:r w:rsidRPr="00AE6675">
        <w:rPr>
          <w:rStyle w:val="BodyTextChar3"/>
          <w:sz w:val="22"/>
          <w:szCs w:val="22"/>
          <w:lang w:val="fr-CA"/>
        </w:rPr>
        <w:t>avis provisoires qui soit solide face à cette incertitude inhérente aux facteurs de population pour la morue de l</w:t>
      </w:r>
      <w:r w:rsidR="00AD78A9" w:rsidRPr="00AE6675">
        <w:rPr>
          <w:rStyle w:val="BodyTextChar3"/>
          <w:sz w:val="22"/>
          <w:szCs w:val="22"/>
          <w:lang w:val="fr-CA"/>
        </w:rPr>
        <w:t>’</w:t>
      </w:r>
      <w:r w:rsidRPr="00AE6675">
        <w:rPr>
          <w:rStyle w:val="BodyTextChar3"/>
          <w:sz w:val="22"/>
          <w:szCs w:val="22"/>
          <w:lang w:val="fr-CA"/>
        </w:rPr>
        <w:t>est du banc de Georges.</w:t>
      </w:r>
    </w:p>
    <w:p w:rsidR="009A44FF" w:rsidRPr="00AE6675" w:rsidRDefault="00FC2F31" w:rsidP="00AE6675">
      <w:pPr>
        <w:pStyle w:val="BodyText"/>
        <w:rPr>
          <w:rStyle w:val="BodyTextChar3"/>
          <w:sz w:val="22"/>
          <w:lang w:val="fr-CA"/>
        </w:rPr>
      </w:pPr>
      <w:r w:rsidRPr="00AE6675">
        <w:rPr>
          <w:rStyle w:val="BodyTextChar3"/>
          <w:sz w:val="22"/>
          <w:lang w:val="fr-CA"/>
        </w:rPr>
        <w:t>Les modèles opérationnels seront créés à l</w:t>
      </w:r>
      <w:r w:rsidR="00AD78A9" w:rsidRPr="00AE6675">
        <w:rPr>
          <w:rStyle w:val="BodyTextChar3"/>
          <w:sz w:val="22"/>
          <w:lang w:val="fr-CA"/>
        </w:rPr>
        <w:t>’</w:t>
      </w:r>
      <w:r w:rsidRPr="00AE6675">
        <w:rPr>
          <w:rStyle w:val="BodyTextChar3"/>
          <w:sz w:val="22"/>
          <w:lang w:val="fr-CA"/>
        </w:rPr>
        <w:t xml:space="preserve">aide des plateformes DLMtool (Carruthers et Hordyk 2019) et MSEtool. Diverses procédures de gestion sont disponibles sur les plateformes DLMtool (108) et MSEtool (9), mais la Gestion des ressources doit contribuer à la sélection des PG </w:t>
      </w:r>
      <w:r w:rsidRPr="00AE6675">
        <w:rPr>
          <w:rStyle w:val="BodyTextChar3"/>
          <w:sz w:val="22"/>
          <w:lang w:val="fr-CA"/>
        </w:rPr>
        <w:lastRenderedPageBreak/>
        <w:t>applicables et de leurs paramètres d</w:t>
      </w:r>
      <w:r w:rsidR="00AD78A9" w:rsidRPr="00AE6675">
        <w:rPr>
          <w:rStyle w:val="BodyTextChar3"/>
          <w:sz w:val="22"/>
          <w:lang w:val="fr-CA"/>
        </w:rPr>
        <w:t>’</w:t>
      </w:r>
      <w:r w:rsidRPr="00AE6675">
        <w:rPr>
          <w:rStyle w:val="BodyTextChar3"/>
          <w:sz w:val="22"/>
          <w:lang w:val="fr-CA"/>
        </w:rPr>
        <w:t>essai respectifs en définissant des objectifs de gestion tangibles. Voici quelques exemples d</w:t>
      </w:r>
      <w:r w:rsidR="00AD78A9" w:rsidRPr="00AE6675">
        <w:rPr>
          <w:rStyle w:val="BodyTextChar3"/>
          <w:sz w:val="22"/>
          <w:lang w:val="fr-CA"/>
        </w:rPr>
        <w:t>’</w:t>
      </w:r>
      <w:r w:rsidRPr="00AE6675">
        <w:rPr>
          <w:rStyle w:val="BodyTextChar3"/>
          <w:sz w:val="22"/>
          <w:lang w:val="fr-CA"/>
        </w:rPr>
        <w:t>autres PG simples et personnalisées :</w:t>
      </w:r>
    </w:p>
    <w:p w:rsidR="009A44FF" w:rsidRPr="00AE6675" w:rsidRDefault="009A44FF" w:rsidP="00AE6675">
      <w:pPr>
        <w:pStyle w:val="ListBullet"/>
        <w:rPr>
          <w:rStyle w:val="BodyTextChar3"/>
          <w:rFonts w:cs="Arial"/>
          <w:sz w:val="22"/>
          <w:szCs w:val="22"/>
          <w:lang w:val="fr-CA"/>
        </w:rPr>
      </w:pPr>
      <w:r w:rsidRPr="00AE6675">
        <w:rPr>
          <w:rStyle w:val="BodyTextChar3"/>
          <w:sz w:val="22"/>
          <w:szCs w:val="22"/>
          <w:lang w:val="fr-CA"/>
        </w:rPr>
        <w:t>PG personnalisée n</w:t>
      </w:r>
      <w:r w:rsidR="008E4132" w:rsidRPr="00AE6675">
        <w:rPr>
          <w:rStyle w:val="BodyTextChar3"/>
          <w:sz w:val="22"/>
          <w:szCs w:val="22"/>
          <w:vertAlign w:val="superscript"/>
          <w:lang w:val="fr-CA"/>
        </w:rPr>
        <w:t>o</w:t>
      </w:r>
      <w:r w:rsidRPr="00AE6675">
        <w:rPr>
          <w:rStyle w:val="BodyTextChar3"/>
          <w:sz w:val="22"/>
          <w:szCs w:val="22"/>
          <w:lang w:val="fr-CA"/>
        </w:rPr>
        <w:t> 1 : Explorer les séries chronologiques des relevés pour déterminer les périodes où les changements de productivité sont évidents. Résumer la médiane ou la moyenne géométrique de l</w:t>
      </w:r>
      <w:r w:rsidR="00AD78A9" w:rsidRPr="00AE6675">
        <w:rPr>
          <w:rStyle w:val="BodyTextChar3"/>
          <w:sz w:val="22"/>
          <w:szCs w:val="22"/>
          <w:lang w:val="fr-CA"/>
        </w:rPr>
        <w:t>’</w:t>
      </w:r>
      <w:r w:rsidRPr="00AE6675">
        <w:rPr>
          <w:rStyle w:val="BodyTextChar3"/>
          <w:sz w:val="22"/>
          <w:szCs w:val="22"/>
          <w:lang w:val="fr-CA"/>
        </w:rPr>
        <w:t xml:space="preserve">indice pour chaque période, avec les quantiles correspondants. </w:t>
      </w:r>
      <w:r w:rsidRPr="00AE6675">
        <w:rPr>
          <w:rStyle w:val="BodyTextChar3"/>
          <w:sz w:val="22"/>
          <w:lang w:val="fr-CA"/>
        </w:rPr>
        <w:t>Comparer une médiane ou moyenne géométrique récente du relevé à celle d</w:t>
      </w:r>
      <w:r w:rsidR="00AD78A9" w:rsidRPr="00AE6675">
        <w:rPr>
          <w:rStyle w:val="BodyTextChar3"/>
          <w:sz w:val="22"/>
          <w:lang w:val="fr-CA"/>
        </w:rPr>
        <w:t>’</w:t>
      </w:r>
      <w:r w:rsidRPr="00AE6675">
        <w:rPr>
          <w:rStyle w:val="BodyTextChar3"/>
          <w:sz w:val="22"/>
          <w:lang w:val="fr-CA"/>
        </w:rPr>
        <w:t>une période antérieure de la série, en ajustant l</w:t>
      </w:r>
      <w:r w:rsidR="00AD78A9" w:rsidRPr="00AE6675">
        <w:rPr>
          <w:rStyle w:val="BodyTextChar3"/>
          <w:sz w:val="22"/>
          <w:lang w:val="fr-CA"/>
        </w:rPr>
        <w:t>’</w:t>
      </w:r>
      <w:r w:rsidRPr="00AE6675">
        <w:rPr>
          <w:rStyle w:val="BodyTextChar3"/>
          <w:sz w:val="22"/>
          <w:lang w:val="fr-CA"/>
        </w:rPr>
        <w:t>avis en fonction du quantile dans lequel se situe la valeur actuelle. Cette PG s</w:t>
      </w:r>
      <w:r w:rsidR="00AD78A9" w:rsidRPr="00AE6675">
        <w:rPr>
          <w:rStyle w:val="BodyTextChar3"/>
          <w:sz w:val="22"/>
          <w:lang w:val="fr-CA"/>
        </w:rPr>
        <w:t>’</w:t>
      </w:r>
      <w:r w:rsidRPr="00AE6675">
        <w:rPr>
          <w:rStyle w:val="BodyTextChar3"/>
          <w:sz w:val="22"/>
          <w:lang w:val="fr-CA"/>
        </w:rPr>
        <w:t xml:space="preserve">inscrirait dans un objectif de gestion visant le rétablissement du stock. </w:t>
      </w:r>
    </w:p>
    <w:p w:rsidR="009A44FF" w:rsidRPr="00AE6675" w:rsidRDefault="009A44FF" w:rsidP="00AE6675">
      <w:pPr>
        <w:pStyle w:val="ListBullet"/>
        <w:rPr>
          <w:rStyle w:val="BodyTextChar3"/>
          <w:sz w:val="22"/>
          <w:szCs w:val="22"/>
          <w:lang w:val="fr-CA"/>
        </w:rPr>
      </w:pPr>
      <w:r w:rsidRPr="00AE6675">
        <w:rPr>
          <w:rStyle w:val="BodyTextChar3"/>
          <w:sz w:val="22"/>
          <w:szCs w:val="22"/>
          <w:lang w:val="fr-CA"/>
        </w:rPr>
        <w:t>PG personnalisée n</w:t>
      </w:r>
      <w:r w:rsidR="008E4132" w:rsidRPr="00AE6675">
        <w:rPr>
          <w:rStyle w:val="BodyTextChar3"/>
          <w:sz w:val="22"/>
          <w:szCs w:val="22"/>
          <w:vertAlign w:val="superscript"/>
          <w:lang w:val="fr-CA"/>
        </w:rPr>
        <w:t>o</w:t>
      </w:r>
      <w:r w:rsidRPr="00AE6675">
        <w:rPr>
          <w:rStyle w:val="BodyTextChar3"/>
          <w:sz w:val="22"/>
          <w:szCs w:val="22"/>
          <w:lang w:val="fr-CA"/>
        </w:rPr>
        <w:t> 2 : Explorer les indicateurs du relevé (p. ex. kg/trait, biomasse totale) à une échelle pluriannuelle, en vue de distinguer la tendance générale du bruit annuel. Quantifier le bruit annuel sous forme de valeurs quantiles pour une période récente ou pour des périodes où les tendances générales semblent stables. Si les valeurs récentes du relevé continuent d</w:t>
      </w:r>
      <w:r w:rsidR="00AD78A9" w:rsidRPr="00AE6675">
        <w:rPr>
          <w:rStyle w:val="BodyTextChar3"/>
          <w:sz w:val="22"/>
          <w:szCs w:val="22"/>
          <w:lang w:val="fr-CA"/>
        </w:rPr>
        <w:t>’</w:t>
      </w:r>
      <w:r w:rsidRPr="00AE6675">
        <w:rPr>
          <w:rStyle w:val="BodyTextChar3"/>
          <w:sz w:val="22"/>
          <w:szCs w:val="22"/>
          <w:lang w:val="fr-CA"/>
        </w:rPr>
        <w:t xml:space="preserve">osciller dans les limites des quantiles du </w:t>
      </w:r>
      <w:r w:rsidR="00AD78A9" w:rsidRPr="00AE6675">
        <w:rPr>
          <w:rStyle w:val="BodyTextChar3"/>
          <w:sz w:val="22"/>
          <w:szCs w:val="22"/>
          <w:lang w:val="fr-CA"/>
        </w:rPr>
        <w:t>«</w:t>
      </w:r>
      <w:r w:rsidR="00A81A2C" w:rsidRPr="00AE6675">
        <w:rPr>
          <w:rStyle w:val="BodyTextChar3"/>
          <w:sz w:val="22"/>
          <w:szCs w:val="22"/>
          <w:lang w:val="fr-CA"/>
        </w:rPr>
        <w:t> </w:t>
      </w:r>
      <w:r w:rsidRPr="00AE6675">
        <w:rPr>
          <w:rStyle w:val="BodyTextChar3"/>
          <w:sz w:val="22"/>
          <w:szCs w:val="22"/>
          <w:lang w:val="fr-CA"/>
        </w:rPr>
        <w:t>bruit</w:t>
      </w:r>
      <w:r w:rsidR="00A81A2C" w:rsidRPr="00AE6675">
        <w:rPr>
          <w:rStyle w:val="BodyTextChar3"/>
          <w:sz w:val="22"/>
          <w:szCs w:val="22"/>
          <w:lang w:val="fr-CA"/>
        </w:rPr>
        <w:t> </w:t>
      </w:r>
      <w:r w:rsidR="00AD78A9" w:rsidRPr="00AE6675">
        <w:rPr>
          <w:rStyle w:val="BodyTextChar3"/>
          <w:sz w:val="22"/>
          <w:szCs w:val="22"/>
          <w:lang w:val="fr-CA"/>
        </w:rPr>
        <w:t>»</w:t>
      </w:r>
      <w:r w:rsidRPr="00AE6675">
        <w:rPr>
          <w:rStyle w:val="BodyTextChar3"/>
          <w:sz w:val="22"/>
          <w:szCs w:val="22"/>
          <w:lang w:val="fr-CA"/>
        </w:rPr>
        <w:t>, laisser l</w:t>
      </w:r>
      <w:r w:rsidR="00AD78A9" w:rsidRPr="00AE6675">
        <w:rPr>
          <w:rStyle w:val="BodyTextChar3"/>
          <w:sz w:val="22"/>
          <w:szCs w:val="22"/>
          <w:lang w:val="fr-CA"/>
        </w:rPr>
        <w:t>’</w:t>
      </w:r>
      <w:r w:rsidRPr="00AE6675">
        <w:rPr>
          <w:rStyle w:val="BodyTextChar3"/>
          <w:sz w:val="22"/>
          <w:szCs w:val="22"/>
          <w:lang w:val="fr-CA"/>
        </w:rPr>
        <w:t xml:space="preserve">avis inchangé. Si plusieurs années de relevé consécutives se situent au-dessus ou en dessous des quantiles du </w:t>
      </w:r>
      <w:r w:rsidR="00AD78A9" w:rsidRPr="00AE6675">
        <w:rPr>
          <w:rStyle w:val="BodyTextChar3"/>
          <w:sz w:val="22"/>
          <w:szCs w:val="22"/>
          <w:lang w:val="fr-CA"/>
        </w:rPr>
        <w:t>«</w:t>
      </w:r>
      <w:r w:rsidR="00A81A2C" w:rsidRPr="00AE6675">
        <w:rPr>
          <w:rStyle w:val="BodyTextChar3"/>
          <w:sz w:val="22"/>
          <w:szCs w:val="22"/>
          <w:lang w:val="fr-CA"/>
        </w:rPr>
        <w:t> </w:t>
      </w:r>
      <w:r w:rsidRPr="00AE6675">
        <w:rPr>
          <w:rStyle w:val="BodyTextChar3"/>
          <w:sz w:val="22"/>
          <w:szCs w:val="22"/>
          <w:lang w:val="fr-CA"/>
        </w:rPr>
        <w:t>bruit</w:t>
      </w:r>
      <w:r w:rsidR="00A81A2C" w:rsidRPr="00AE6675">
        <w:rPr>
          <w:rStyle w:val="BodyTextChar3"/>
          <w:sz w:val="22"/>
          <w:szCs w:val="22"/>
          <w:lang w:val="fr-CA"/>
        </w:rPr>
        <w:t> </w:t>
      </w:r>
      <w:r w:rsidR="00AD78A9" w:rsidRPr="00AE6675">
        <w:rPr>
          <w:rStyle w:val="BodyTextChar3"/>
          <w:sz w:val="22"/>
          <w:szCs w:val="22"/>
          <w:lang w:val="fr-CA"/>
        </w:rPr>
        <w:t>»</w:t>
      </w:r>
      <w:r w:rsidRPr="00AE6675">
        <w:rPr>
          <w:rStyle w:val="BodyTextChar3"/>
          <w:sz w:val="22"/>
          <w:szCs w:val="22"/>
          <w:lang w:val="fr-CA"/>
        </w:rPr>
        <w:t>, il convient d</w:t>
      </w:r>
      <w:r w:rsidR="00AD78A9" w:rsidRPr="00AE6675">
        <w:rPr>
          <w:rStyle w:val="BodyTextChar3"/>
          <w:sz w:val="22"/>
          <w:szCs w:val="22"/>
          <w:lang w:val="fr-CA"/>
        </w:rPr>
        <w:t>’</w:t>
      </w:r>
      <w:r w:rsidRPr="00AE6675">
        <w:rPr>
          <w:rStyle w:val="BodyTextChar3"/>
          <w:sz w:val="22"/>
          <w:szCs w:val="22"/>
          <w:lang w:val="fr-CA"/>
        </w:rPr>
        <w:t>ajuster le TAC en conséquence. Cette PG s</w:t>
      </w:r>
      <w:r w:rsidR="00AD78A9" w:rsidRPr="00AE6675">
        <w:rPr>
          <w:rStyle w:val="BodyTextChar3"/>
          <w:sz w:val="22"/>
          <w:szCs w:val="22"/>
          <w:lang w:val="fr-CA"/>
        </w:rPr>
        <w:t>’</w:t>
      </w:r>
      <w:r w:rsidRPr="00AE6675">
        <w:rPr>
          <w:rStyle w:val="BodyTextChar3"/>
          <w:sz w:val="22"/>
          <w:szCs w:val="22"/>
          <w:lang w:val="fr-CA"/>
        </w:rPr>
        <w:t>inscrirait dans un objectif de gestion visant la stabilisation des avis sur le TAC.</w:t>
      </w:r>
    </w:p>
    <w:p w:rsidR="00AE6675" w:rsidRPr="00AE6675" w:rsidRDefault="00AE6675" w:rsidP="00AE6675">
      <w:pPr>
        <w:pStyle w:val="Heading2"/>
        <w:rPr>
          <w:lang w:val="fr-CA"/>
        </w:rPr>
      </w:pPr>
      <w:bookmarkStart w:id="4" w:name="_Toc44316225"/>
      <w:r w:rsidRPr="00AE6675">
        <w:rPr>
          <w:lang w:val="fr-CA"/>
        </w:rPr>
        <w:t>MOD</w:t>
      </w:r>
      <w:r w:rsidRPr="00AE6675">
        <w:rPr>
          <w:rStyle w:val="BodyTextChar3"/>
          <w:sz w:val="22"/>
          <w:szCs w:val="20"/>
          <w:lang w:val="fr-CA"/>
        </w:rPr>
        <w:t>È</w:t>
      </w:r>
      <w:r w:rsidRPr="00AE6675">
        <w:rPr>
          <w:lang w:val="fr-CA"/>
        </w:rPr>
        <w:t>LE OP</w:t>
      </w:r>
      <w:r w:rsidRPr="00AE6675">
        <w:rPr>
          <w:rStyle w:val="BodyTextChar3"/>
          <w:sz w:val="22"/>
          <w:szCs w:val="20"/>
          <w:lang w:val="fr-CA"/>
        </w:rPr>
        <w:t>É</w:t>
      </w:r>
      <w:r w:rsidRPr="00AE6675">
        <w:rPr>
          <w:lang w:val="fr-CA"/>
        </w:rPr>
        <w:t>RATIONNEL</w:t>
      </w:r>
      <w:bookmarkEnd w:id="4"/>
    </w:p>
    <w:p w:rsidR="0035623D" w:rsidRPr="00AE6675" w:rsidRDefault="001D2E19" w:rsidP="00AE6675">
      <w:pPr>
        <w:pStyle w:val="BodyText"/>
        <w:rPr>
          <w:rStyle w:val="BodyTextChar3"/>
          <w:sz w:val="22"/>
          <w:lang w:val="fr-CA"/>
        </w:rPr>
      </w:pPr>
      <w:r w:rsidRPr="00AE6675">
        <w:rPr>
          <w:rStyle w:val="BodyTextChar3"/>
          <w:sz w:val="22"/>
          <w:lang w:val="fr-CA"/>
        </w:rPr>
        <w:t>Les modèles opérationnels (MO) définissent la façon dont les populations simulées réagiront à différentes quantités de prises. On créera un éventail de MO pour tenir compte des différentes hypothèses sur ce qui explique la mauvaise performance actuelle des modèles standards d</w:t>
      </w:r>
      <w:r w:rsidR="00AD78A9" w:rsidRPr="00AE6675">
        <w:rPr>
          <w:rStyle w:val="BodyTextChar3"/>
          <w:sz w:val="22"/>
          <w:lang w:val="fr-CA"/>
        </w:rPr>
        <w:t>’</w:t>
      </w:r>
      <w:r w:rsidRPr="00AE6675">
        <w:rPr>
          <w:rStyle w:val="BodyTextChar3"/>
          <w:sz w:val="22"/>
          <w:lang w:val="fr-CA"/>
        </w:rPr>
        <w:t>évaluation des stocks de poissons. Les MO dépendent de paramètres spécifiés par l</w:t>
      </w:r>
      <w:r w:rsidR="00AD78A9" w:rsidRPr="00AE6675">
        <w:rPr>
          <w:rStyle w:val="BodyTextChar3"/>
          <w:sz w:val="22"/>
          <w:lang w:val="fr-CA"/>
        </w:rPr>
        <w:t>’</w:t>
      </w:r>
      <w:r w:rsidRPr="00AE6675">
        <w:rPr>
          <w:rStyle w:val="BodyTextChar3"/>
          <w:sz w:val="22"/>
          <w:lang w:val="fr-CA"/>
        </w:rPr>
        <w:t>utilisateur, qui peuvent être classés dans l</w:t>
      </w:r>
      <w:r w:rsidR="00AD78A9" w:rsidRPr="00AE6675">
        <w:rPr>
          <w:rStyle w:val="BodyTextChar3"/>
          <w:sz w:val="22"/>
          <w:lang w:val="fr-CA"/>
        </w:rPr>
        <w:t>’</w:t>
      </w:r>
      <w:r w:rsidRPr="00AE6675">
        <w:rPr>
          <w:rStyle w:val="BodyTextChar3"/>
          <w:sz w:val="22"/>
          <w:lang w:val="fr-CA"/>
        </w:rPr>
        <w:t xml:space="preserve">un des quatre objets suivants : </w:t>
      </w:r>
    </w:p>
    <w:p w:rsidR="0035623D" w:rsidRPr="00AE6675" w:rsidRDefault="00AB0E0C" w:rsidP="00AE6675">
      <w:pPr>
        <w:pStyle w:val="ListBullet"/>
        <w:rPr>
          <w:rStyle w:val="BodyTextChar3"/>
          <w:sz w:val="22"/>
          <w:lang w:val="fr-CA"/>
        </w:rPr>
      </w:pPr>
      <w:r w:rsidRPr="00AE6675">
        <w:rPr>
          <w:rStyle w:val="BodyTextChar3"/>
          <w:sz w:val="22"/>
          <w:lang w:val="fr-CA"/>
        </w:rPr>
        <w:t>Stock : dynamique de la population du stock de poissons</w:t>
      </w:r>
    </w:p>
    <w:p w:rsidR="0035623D" w:rsidRPr="00AE6675" w:rsidRDefault="00AB0E0C" w:rsidP="00AE6675">
      <w:pPr>
        <w:pStyle w:val="ListBullet"/>
        <w:rPr>
          <w:rStyle w:val="BodyTextChar3"/>
          <w:sz w:val="22"/>
          <w:lang w:val="fr-CA"/>
        </w:rPr>
      </w:pPr>
      <w:r w:rsidRPr="00AE6675">
        <w:rPr>
          <w:rStyle w:val="BodyTextChar3"/>
          <w:sz w:val="22"/>
          <w:lang w:val="fr-CA"/>
        </w:rPr>
        <w:t>Flottille : caractéristiques de la pêche</w:t>
      </w:r>
    </w:p>
    <w:p w:rsidR="0035623D" w:rsidRPr="00AE6675" w:rsidRDefault="00AB0E0C" w:rsidP="00AE6675">
      <w:pPr>
        <w:pStyle w:val="ListBullet"/>
        <w:rPr>
          <w:rStyle w:val="BodyTextChar3"/>
          <w:sz w:val="22"/>
          <w:lang w:val="fr-CA"/>
        </w:rPr>
      </w:pPr>
      <w:r w:rsidRPr="00AE6675">
        <w:rPr>
          <w:rStyle w:val="BodyTextChar3"/>
          <w:sz w:val="22"/>
          <w:lang w:val="fr-CA"/>
        </w:rPr>
        <w:t>Observation : processus d</w:t>
      </w:r>
      <w:r w:rsidR="00AD78A9" w:rsidRPr="00AE6675">
        <w:rPr>
          <w:rStyle w:val="BodyTextChar3"/>
          <w:sz w:val="22"/>
          <w:lang w:val="fr-CA"/>
        </w:rPr>
        <w:t>’</w:t>
      </w:r>
      <w:r w:rsidRPr="00AE6675">
        <w:rPr>
          <w:rStyle w:val="BodyTextChar3"/>
          <w:sz w:val="22"/>
          <w:lang w:val="fr-CA"/>
        </w:rPr>
        <w:t>observation de la collecte de données</w:t>
      </w:r>
    </w:p>
    <w:p w:rsidR="00B1399F" w:rsidRPr="00AE6675" w:rsidRDefault="0035623D" w:rsidP="00AE6675">
      <w:pPr>
        <w:pStyle w:val="ListBullet"/>
        <w:rPr>
          <w:rStyle w:val="BodyTextChar3"/>
          <w:sz w:val="22"/>
          <w:lang w:val="fr-CA"/>
        </w:rPr>
      </w:pPr>
      <w:r w:rsidRPr="00AE6675">
        <w:rPr>
          <w:rStyle w:val="BodyTextChar3"/>
          <w:sz w:val="22"/>
          <w:lang w:val="fr-CA"/>
        </w:rPr>
        <w:t>Mise en œuvre : comment les procédures de gestion sont mises en œuvre</w:t>
      </w:r>
    </w:p>
    <w:p w:rsidR="00561C46" w:rsidRPr="00AE6675" w:rsidRDefault="0035623D" w:rsidP="00AE6675">
      <w:pPr>
        <w:pStyle w:val="BodyText"/>
        <w:rPr>
          <w:rStyle w:val="BodyTextChar3"/>
          <w:sz w:val="22"/>
          <w:szCs w:val="20"/>
        </w:rPr>
      </w:pPr>
      <w:r w:rsidRPr="00AE6675">
        <w:rPr>
          <w:rStyle w:val="BodyTextChar3"/>
          <w:sz w:val="22"/>
          <w:szCs w:val="20"/>
        </w:rPr>
        <w:t>Des détails supplémentaires sur la nature de chaque objet sont disponibles dans Carruthers et Hordyk (2019). Bien que de nombreux paramètres de l</w:t>
      </w:r>
      <w:r w:rsidR="00AD78A9" w:rsidRPr="00AE6675">
        <w:rPr>
          <w:rStyle w:val="BodyTextChar3"/>
          <w:sz w:val="22"/>
          <w:szCs w:val="20"/>
        </w:rPr>
        <w:t>’</w:t>
      </w:r>
      <w:r w:rsidRPr="00AE6675">
        <w:rPr>
          <w:rStyle w:val="BodyTextChar3"/>
          <w:sz w:val="22"/>
          <w:szCs w:val="20"/>
        </w:rPr>
        <w:t>objet Stock puissent être trouvés dans la littérature ou dérivés des données de relevé, certains sont liés à la relation stock-recrutement (SR) perçue pour le stock et dépendent donc soit de l</w:t>
      </w:r>
      <w:r w:rsidR="00AD78A9" w:rsidRPr="00AE6675">
        <w:rPr>
          <w:rStyle w:val="BodyTextChar3"/>
          <w:sz w:val="22"/>
          <w:szCs w:val="20"/>
        </w:rPr>
        <w:t>’</w:t>
      </w:r>
      <w:r w:rsidRPr="00AE6675">
        <w:rPr>
          <w:rStyle w:val="BodyTextChar3"/>
          <w:sz w:val="22"/>
          <w:szCs w:val="20"/>
        </w:rPr>
        <w:t>avis d</w:t>
      </w:r>
      <w:r w:rsidR="00AD78A9" w:rsidRPr="00AE6675">
        <w:rPr>
          <w:rStyle w:val="BodyTextChar3"/>
          <w:sz w:val="22"/>
          <w:szCs w:val="20"/>
        </w:rPr>
        <w:t>’</w:t>
      </w:r>
      <w:r w:rsidRPr="00AE6675">
        <w:rPr>
          <w:rStyle w:val="BodyTextChar3"/>
          <w:sz w:val="22"/>
          <w:szCs w:val="20"/>
        </w:rPr>
        <w:t>experts, soit d</w:t>
      </w:r>
      <w:r w:rsidR="00AD78A9" w:rsidRPr="00AE6675">
        <w:rPr>
          <w:rStyle w:val="BodyTextChar3"/>
          <w:sz w:val="22"/>
          <w:szCs w:val="20"/>
        </w:rPr>
        <w:t>’</w:t>
      </w:r>
      <w:r w:rsidRPr="00AE6675">
        <w:rPr>
          <w:rStyle w:val="BodyTextChar3"/>
          <w:sz w:val="22"/>
          <w:szCs w:val="20"/>
        </w:rPr>
        <w:t>un modèle de population. Les évaluations de la morue de l</w:t>
      </w:r>
      <w:r w:rsidR="00AD78A9" w:rsidRPr="00AE6675">
        <w:rPr>
          <w:rStyle w:val="BodyTextChar3"/>
          <w:sz w:val="22"/>
          <w:szCs w:val="20"/>
        </w:rPr>
        <w:t>’</w:t>
      </w:r>
      <w:r w:rsidRPr="00AE6675">
        <w:rPr>
          <w:rStyle w:val="BodyTextChar3"/>
          <w:sz w:val="22"/>
          <w:szCs w:val="20"/>
        </w:rPr>
        <w:t xml:space="preserve">est du banc de Georges comprennent deux modèles de population (APV et PESA) avec des hypothèses différentes sur la dynamique du stock, ce qui nécessite la conception de trois modèles opérationnels : un pour simuler la </w:t>
      </w:r>
      <w:r w:rsidRPr="00AE6675">
        <w:rPr>
          <w:rStyle w:val="BodyTextChar3"/>
          <w:sz w:val="22"/>
          <w:szCs w:val="20"/>
        </w:rPr>
        <w:lastRenderedPageBreak/>
        <w:t>dynamique SR du stock, comme décrite par l</w:t>
      </w:r>
      <w:r w:rsidR="00AD78A9" w:rsidRPr="00AE6675">
        <w:rPr>
          <w:rStyle w:val="BodyTextChar3"/>
          <w:sz w:val="22"/>
          <w:szCs w:val="20"/>
        </w:rPr>
        <w:t>’</w:t>
      </w:r>
      <w:r w:rsidRPr="00AE6675">
        <w:rPr>
          <w:rStyle w:val="BodyTextChar3"/>
          <w:sz w:val="22"/>
          <w:szCs w:val="20"/>
        </w:rPr>
        <w:t>APV de 2018 (OM_VPA), un pour simuler la dynamique SR de la formulation du PESA de 2018 (OM_ASAP) et un englobant la gamme des paramètres de population dépendants du modèle d</w:t>
      </w:r>
      <w:r w:rsidR="00AD78A9" w:rsidRPr="00AE6675">
        <w:rPr>
          <w:rStyle w:val="BodyTextChar3"/>
          <w:sz w:val="22"/>
          <w:szCs w:val="20"/>
        </w:rPr>
        <w:t>’</w:t>
      </w:r>
      <w:r w:rsidRPr="00AE6675">
        <w:rPr>
          <w:rStyle w:val="BodyTextChar3"/>
          <w:sz w:val="22"/>
          <w:szCs w:val="20"/>
        </w:rPr>
        <w:t>après les deux modèles (OM_COM). Les paramètres indépendants du modèle (p. ex. la croissance des poissons, l</w:t>
      </w:r>
      <w:r w:rsidR="00AD78A9" w:rsidRPr="00AE6675">
        <w:rPr>
          <w:rStyle w:val="BodyTextChar3"/>
          <w:sz w:val="22"/>
          <w:szCs w:val="20"/>
        </w:rPr>
        <w:t>’</w:t>
      </w:r>
      <w:r w:rsidRPr="00AE6675">
        <w:rPr>
          <w:rStyle w:val="BodyTextChar3"/>
          <w:sz w:val="22"/>
          <w:szCs w:val="20"/>
        </w:rPr>
        <w:t>erreur d</w:t>
      </w:r>
      <w:r w:rsidR="00AD78A9" w:rsidRPr="00AE6675">
        <w:rPr>
          <w:rStyle w:val="BodyTextChar3"/>
          <w:sz w:val="22"/>
          <w:szCs w:val="20"/>
        </w:rPr>
        <w:t>’</w:t>
      </w:r>
      <w:r w:rsidRPr="00AE6675">
        <w:rPr>
          <w:rStyle w:val="BodyTextChar3"/>
          <w:sz w:val="22"/>
          <w:szCs w:val="20"/>
        </w:rPr>
        <w:t>observation) sont restés cohérents d</w:t>
      </w:r>
      <w:r w:rsidR="00AD78A9" w:rsidRPr="00AE6675">
        <w:rPr>
          <w:rStyle w:val="BodyTextChar3"/>
          <w:sz w:val="22"/>
          <w:szCs w:val="20"/>
        </w:rPr>
        <w:t>’</w:t>
      </w:r>
      <w:r w:rsidRPr="00AE6675">
        <w:rPr>
          <w:rStyle w:val="BodyTextChar3"/>
          <w:sz w:val="22"/>
          <w:szCs w:val="20"/>
        </w:rPr>
        <w:t>un MO à l</w:t>
      </w:r>
      <w:r w:rsidR="00AD78A9" w:rsidRPr="00AE6675">
        <w:rPr>
          <w:rStyle w:val="BodyTextChar3"/>
          <w:sz w:val="22"/>
          <w:szCs w:val="20"/>
        </w:rPr>
        <w:t>’</w:t>
      </w:r>
      <w:r w:rsidRPr="00AE6675">
        <w:rPr>
          <w:rStyle w:val="BodyTextChar3"/>
          <w:sz w:val="22"/>
          <w:szCs w:val="20"/>
        </w:rPr>
        <w:t>autre.</w:t>
      </w:r>
    </w:p>
    <w:p w:rsidR="00AE6675" w:rsidRPr="0025585E" w:rsidRDefault="00AE6675" w:rsidP="0025585E">
      <w:pPr>
        <w:pStyle w:val="Heading3"/>
      </w:pPr>
      <w:bookmarkStart w:id="5" w:name="_Toc44316226"/>
      <w:r w:rsidRPr="0025585E">
        <w:t>Relations stock-recrutement</w:t>
      </w:r>
      <w:bookmarkEnd w:id="5"/>
    </w:p>
    <w:p w:rsidR="00003988" w:rsidRPr="00AE6675" w:rsidRDefault="000C227A" w:rsidP="00AE6675">
      <w:pPr>
        <w:pStyle w:val="BodyText"/>
        <w:rPr>
          <w:rStyle w:val="BodyTextChar3"/>
          <w:sz w:val="22"/>
          <w:szCs w:val="20"/>
        </w:rPr>
      </w:pPr>
      <w:r w:rsidRPr="00AE6675">
        <w:rPr>
          <w:rStyle w:val="BodyTextChar3"/>
          <w:sz w:val="22"/>
          <w:szCs w:val="20"/>
        </w:rPr>
        <w:t>La productivité du stock est paramétrée dans l</w:t>
      </w:r>
      <w:r w:rsidR="00AD78A9" w:rsidRPr="00AE6675">
        <w:rPr>
          <w:rStyle w:val="BodyTextChar3"/>
          <w:sz w:val="22"/>
          <w:szCs w:val="20"/>
        </w:rPr>
        <w:t>’</w:t>
      </w:r>
      <w:r w:rsidRPr="00AE6675">
        <w:rPr>
          <w:rStyle w:val="BodyTextChar3"/>
          <w:sz w:val="22"/>
          <w:szCs w:val="20"/>
        </w:rPr>
        <w:t>objet Stock, et les hypothèses sur plusieurs des paramètres peuvent être très influentes pour déterminer la résilience du stock dans la simulation. Les paramètres les plus importants (R0, h et D) sont basés sur la relation stock-recrutement perçue pour le stock. Cependant, les relations traditionnelles de Ricker (1975) et de Beverton-Holt (1957) montrent une très mauvaise correspondance aux sorties de l</w:t>
      </w:r>
      <w:r w:rsidR="00AD78A9" w:rsidRPr="00AE6675">
        <w:rPr>
          <w:rStyle w:val="BodyTextChar3"/>
          <w:sz w:val="22"/>
          <w:szCs w:val="20"/>
        </w:rPr>
        <w:t>’</w:t>
      </w:r>
      <w:r w:rsidRPr="00AE6675">
        <w:rPr>
          <w:rStyle w:val="BodyTextChar3"/>
          <w:sz w:val="22"/>
          <w:szCs w:val="20"/>
        </w:rPr>
        <w:t>APV et du PESA de 2018, une ligne droite étant un meilleur prédicteur du recrutement pour une BSR donnée (c</w:t>
      </w:r>
      <w:r w:rsidR="00AD78A9" w:rsidRPr="00AE6675">
        <w:rPr>
          <w:rStyle w:val="BodyTextChar3"/>
          <w:sz w:val="22"/>
          <w:szCs w:val="20"/>
        </w:rPr>
        <w:t>’</w:t>
      </w:r>
      <w:r w:rsidRPr="00AE6675">
        <w:rPr>
          <w:rStyle w:val="BodyTextChar3"/>
          <w:sz w:val="22"/>
          <w:szCs w:val="20"/>
        </w:rPr>
        <w:t xml:space="preserve">est-à-dire AICASAP_BH=802, AICASAP_LN=780). </w:t>
      </w:r>
      <w:r w:rsidRPr="002279B7">
        <w:rPr>
          <w:rStyle w:val="BodyTextChar3"/>
          <w:sz w:val="22"/>
          <w:szCs w:val="20"/>
          <w:lang w:val="fr-CA"/>
        </w:rPr>
        <w:t>En outre, la performance de la relation stock-recrutement se dégrade considérablement lorsque la biomasse du stock reproducteur (BSR) est à des niveaux faibles, surestimant constamment et gravement le recrutement à de faibles niveaux de biomasse ces dernières années (</w:t>
      </w:r>
      <w:r w:rsidR="00950A8C" w:rsidRPr="00AE6675">
        <w:rPr>
          <w:rStyle w:val="BodyTextChar3"/>
          <w:sz w:val="22"/>
          <w:szCs w:val="20"/>
        </w:rPr>
        <w:fldChar w:fldCharType="begin"/>
      </w:r>
      <w:r w:rsidR="00950A8C" w:rsidRPr="002279B7">
        <w:rPr>
          <w:rStyle w:val="BodyTextChar3"/>
          <w:sz w:val="22"/>
          <w:szCs w:val="20"/>
          <w:lang w:val="fr-CA"/>
        </w:rPr>
        <w:instrText xml:space="preserve"> REF _Ref10555610 \h </w:instrText>
      </w:r>
      <w:r w:rsidR="00581903" w:rsidRPr="002279B7">
        <w:rPr>
          <w:rStyle w:val="BodyTextChar3"/>
          <w:sz w:val="22"/>
          <w:szCs w:val="20"/>
          <w:lang w:val="fr-CA"/>
        </w:rPr>
        <w:instrText xml:space="preserve"> \* MERGEFORMAT </w:instrText>
      </w:r>
      <w:r w:rsidR="00950A8C" w:rsidRPr="00AE6675">
        <w:rPr>
          <w:rStyle w:val="BodyTextChar3"/>
          <w:sz w:val="22"/>
          <w:szCs w:val="20"/>
        </w:rPr>
      </w:r>
      <w:r w:rsidR="00950A8C" w:rsidRPr="00AE6675">
        <w:rPr>
          <w:rStyle w:val="BodyTextChar3"/>
          <w:sz w:val="22"/>
          <w:szCs w:val="20"/>
        </w:rPr>
        <w:fldChar w:fldCharType="separate"/>
      </w:r>
      <w:r w:rsidR="00031329" w:rsidRPr="00031329">
        <w:rPr>
          <w:lang w:val="fr-CA"/>
        </w:rPr>
        <w:t>Figure 12</w:t>
      </w:r>
      <w:r w:rsidR="00950A8C" w:rsidRPr="00AE6675">
        <w:rPr>
          <w:rStyle w:val="BodyTextChar3"/>
          <w:sz w:val="22"/>
          <w:szCs w:val="20"/>
        </w:rPr>
        <w:fldChar w:fldCharType="end"/>
      </w:r>
      <w:r w:rsidRPr="002279B7">
        <w:rPr>
          <w:rStyle w:val="BodyTextChar3"/>
          <w:sz w:val="22"/>
          <w:szCs w:val="20"/>
          <w:lang w:val="fr-CA"/>
        </w:rPr>
        <w:t xml:space="preserve">). </w:t>
      </w:r>
      <w:r w:rsidRPr="00AE6675">
        <w:rPr>
          <w:rStyle w:val="BodyTextChar3"/>
          <w:sz w:val="22"/>
          <w:szCs w:val="20"/>
        </w:rPr>
        <w:t>Étant donné les faibles niveaux actuels de la biomasse et la faible probabilité que les projections à court terme s</w:t>
      </w:r>
      <w:r w:rsidR="00AD78A9" w:rsidRPr="00AE6675">
        <w:rPr>
          <w:rStyle w:val="BodyTextChar3"/>
          <w:sz w:val="22"/>
          <w:szCs w:val="20"/>
        </w:rPr>
        <w:t>’</w:t>
      </w:r>
      <w:r w:rsidRPr="00AE6675">
        <w:rPr>
          <w:rStyle w:val="BodyTextChar3"/>
          <w:sz w:val="22"/>
          <w:szCs w:val="20"/>
        </w:rPr>
        <w:t>écartent de cet état, la performance des procédures de gestion serait testée dans des conditions où l</w:t>
      </w:r>
      <w:r w:rsidR="00AD78A9" w:rsidRPr="00AE6675">
        <w:rPr>
          <w:rStyle w:val="BodyTextChar3"/>
          <w:sz w:val="22"/>
          <w:szCs w:val="20"/>
        </w:rPr>
        <w:t>’</w:t>
      </w:r>
      <w:r w:rsidRPr="00AE6675">
        <w:rPr>
          <w:rStyle w:val="BodyTextChar3"/>
          <w:sz w:val="22"/>
          <w:szCs w:val="20"/>
        </w:rPr>
        <w:t xml:space="preserve">on sait que la relation SR est peu fiable. Pour éviter les problèmes de surestimation constante lors des tests des MO, il est possible de modifier la relation SR en raccourcissant la série chronologique (MO </w:t>
      </w:r>
      <w:r w:rsidR="00AD78A9" w:rsidRPr="00AE6675">
        <w:rPr>
          <w:rStyle w:val="BodyTextChar3"/>
          <w:sz w:val="22"/>
          <w:szCs w:val="20"/>
        </w:rPr>
        <w:t>‘</w:t>
      </w:r>
      <w:r w:rsidRPr="00AE6675">
        <w:rPr>
          <w:rStyle w:val="BodyTextChar3"/>
          <w:sz w:val="22"/>
          <w:szCs w:val="20"/>
        </w:rPr>
        <w:t>_short</w:t>
      </w:r>
      <w:r w:rsidR="00AD78A9" w:rsidRPr="00AE6675">
        <w:rPr>
          <w:rStyle w:val="BodyTextChar3"/>
          <w:sz w:val="22"/>
          <w:szCs w:val="20"/>
        </w:rPr>
        <w:t>’</w:t>
      </w:r>
      <w:r w:rsidRPr="00AE6675">
        <w:rPr>
          <w:rStyle w:val="BodyTextChar3"/>
          <w:sz w:val="22"/>
          <w:szCs w:val="20"/>
        </w:rPr>
        <w:t xml:space="preserve">) ou en introduisant une tendance à la baisse progressive dans R0 (MO </w:t>
      </w:r>
      <w:r w:rsidR="00AD78A9" w:rsidRPr="00AE6675">
        <w:rPr>
          <w:rStyle w:val="BodyTextChar3"/>
          <w:sz w:val="22"/>
          <w:szCs w:val="20"/>
        </w:rPr>
        <w:t>‘</w:t>
      </w:r>
      <w:r w:rsidRPr="00AE6675">
        <w:rPr>
          <w:rStyle w:val="BodyTextChar3"/>
          <w:sz w:val="22"/>
          <w:szCs w:val="20"/>
        </w:rPr>
        <w:t>_R0dec</w:t>
      </w:r>
      <w:r w:rsidR="00AD78A9" w:rsidRPr="00AE6675">
        <w:rPr>
          <w:rStyle w:val="BodyTextChar3"/>
          <w:sz w:val="22"/>
          <w:szCs w:val="20"/>
        </w:rPr>
        <w:t>’</w:t>
      </w:r>
      <w:r w:rsidRPr="00AE6675">
        <w:rPr>
          <w:rStyle w:val="BodyTextChar3"/>
          <w:sz w:val="22"/>
          <w:szCs w:val="20"/>
        </w:rPr>
        <w:t>) afin d</w:t>
      </w:r>
      <w:r w:rsidR="00AD78A9" w:rsidRPr="00AE6675">
        <w:rPr>
          <w:rStyle w:val="BodyTextChar3"/>
          <w:sz w:val="22"/>
          <w:szCs w:val="20"/>
        </w:rPr>
        <w:t>’</w:t>
      </w:r>
      <w:r w:rsidRPr="00AE6675">
        <w:rPr>
          <w:rStyle w:val="BodyTextChar3"/>
          <w:sz w:val="22"/>
          <w:szCs w:val="20"/>
        </w:rPr>
        <w:t>améliorer la performance prédictive pour une biomasse faible ces dernières années.</w:t>
      </w:r>
    </w:p>
    <w:p w:rsidR="00E50E54" w:rsidRPr="00AE6675" w:rsidRDefault="00B253F0" w:rsidP="00AE6675">
      <w:pPr>
        <w:pStyle w:val="BodyText"/>
        <w:rPr>
          <w:rStyle w:val="BodyTextChar3"/>
          <w:sz w:val="22"/>
          <w:szCs w:val="20"/>
        </w:rPr>
      </w:pPr>
      <w:r w:rsidRPr="002279B7">
        <w:rPr>
          <w:rStyle w:val="BodyTextChar3"/>
          <w:sz w:val="22"/>
          <w:szCs w:val="20"/>
          <w:lang w:val="fr-CA"/>
        </w:rPr>
        <w:t>Les séries chronologiques de l</w:t>
      </w:r>
      <w:r w:rsidR="00AD78A9" w:rsidRPr="002279B7">
        <w:rPr>
          <w:rStyle w:val="BodyTextChar3"/>
          <w:sz w:val="22"/>
          <w:szCs w:val="20"/>
          <w:lang w:val="fr-CA"/>
        </w:rPr>
        <w:t>’</w:t>
      </w:r>
      <w:r w:rsidRPr="002279B7">
        <w:rPr>
          <w:rStyle w:val="BodyTextChar3"/>
          <w:sz w:val="22"/>
          <w:szCs w:val="20"/>
          <w:lang w:val="fr-CA"/>
        </w:rPr>
        <w:t>APV et du PESA de 2018 remontent jusqu</w:t>
      </w:r>
      <w:r w:rsidR="00AD78A9" w:rsidRPr="002279B7">
        <w:rPr>
          <w:rStyle w:val="BodyTextChar3"/>
          <w:sz w:val="22"/>
          <w:szCs w:val="20"/>
          <w:lang w:val="fr-CA"/>
        </w:rPr>
        <w:t>’</w:t>
      </w:r>
      <w:r w:rsidRPr="002279B7">
        <w:rPr>
          <w:rStyle w:val="BodyTextChar3"/>
          <w:sz w:val="22"/>
          <w:szCs w:val="20"/>
          <w:lang w:val="fr-CA"/>
        </w:rPr>
        <w:t xml:space="preserve">en1978 et on peut déterminer le seuil pour le MO </w:t>
      </w:r>
      <w:r w:rsidR="00AD78A9" w:rsidRPr="002279B7">
        <w:rPr>
          <w:rStyle w:val="BodyTextChar3"/>
          <w:sz w:val="22"/>
          <w:szCs w:val="20"/>
          <w:lang w:val="fr-CA"/>
        </w:rPr>
        <w:t>‘</w:t>
      </w:r>
      <w:r w:rsidRPr="002279B7">
        <w:rPr>
          <w:rStyle w:val="BodyTextChar3"/>
          <w:sz w:val="22"/>
          <w:szCs w:val="20"/>
          <w:lang w:val="fr-CA"/>
        </w:rPr>
        <w:t>_short</w:t>
      </w:r>
      <w:r w:rsidR="00AD78A9" w:rsidRPr="002279B7">
        <w:rPr>
          <w:rStyle w:val="BodyTextChar3"/>
          <w:sz w:val="22"/>
          <w:szCs w:val="20"/>
          <w:lang w:val="fr-CA"/>
        </w:rPr>
        <w:t>’</w:t>
      </w:r>
      <w:r w:rsidRPr="002279B7">
        <w:rPr>
          <w:rStyle w:val="BodyTextChar3"/>
          <w:sz w:val="22"/>
          <w:szCs w:val="20"/>
          <w:lang w:val="fr-CA"/>
        </w:rPr>
        <w:t xml:space="preserve"> soit en utilisant le rasoir de Rago (1999-2000), soit en examinant les valeurs du CIA (</w:t>
      </w:r>
      <w:r w:rsidR="00950A8C" w:rsidRPr="00AE6675">
        <w:rPr>
          <w:rStyle w:val="BodyTextChar3"/>
          <w:sz w:val="22"/>
          <w:szCs w:val="20"/>
        </w:rPr>
        <w:fldChar w:fldCharType="begin"/>
      </w:r>
      <w:r w:rsidR="00950A8C" w:rsidRPr="002279B7">
        <w:rPr>
          <w:rStyle w:val="BodyTextChar3"/>
          <w:sz w:val="22"/>
          <w:szCs w:val="20"/>
          <w:lang w:val="fr-CA"/>
        </w:rPr>
        <w:instrText xml:space="preserve"> REF _Ref11056508 \h </w:instrText>
      </w:r>
      <w:r w:rsidR="00581903" w:rsidRPr="002279B7">
        <w:rPr>
          <w:rStyle w:val="BodyTextChar3"/>
          <w:sz w:val="22"/>
          <w:szCs w:val="20"/>
          <w:lang w:val="fr-CA"/>
        </w:rPr>
        <w:instrText xml:space="preserve"> \* MERGEFORMAT </w:instrText>
      </w:r>
      <w:r w:rsidR="00950A8C" w:rsidRPr="00AE6675">
        <w:rPr>
          <w:rStyle w:val="BodyTextChar3"/>
          <w:sz w:val="22"/>
          <w:szCs w:val="20"/>
        </w:rPr>
      </w:r>
      <w:r w:rsidR="00950A8C" w:rsidRPr="00AE6675">
        <w:rPr>
          <w:rStyle w:val="BodyTextChar3"/>
          <w:sz w:val="22"/>
          <w:szCs w:val="20"/>
        </w:rPr>
        <w:fldChar w:fldCharType="separate"/>
      </w:r>
      <w:r w:rsidR="00031329" w:rsidRPr="00031329">
        <w:rPr>
          <w:lang w:val="fr-CA"/>
        </w:rPr>
        <w:t>Figure 13</w:t>
      </w:r>
      <w:r w:rsidR="00950A8C" w:rsidRPr="00AE6675">
        <w:rPr>
          <w:rStyle w:val="BodyTextChar3"/>
          <w:sz w:val="22"/>
          <w:szCs w:val="20"/>
        </w:rPr>
        <w:fldChar w:fldCharType="end"/>
      </w:r>
      <w:r w:rsidRPr="002279B7">
        <w:rPr>
          <w:rStyle w:val="BodyTextChar3"/>
          <w:sz w:val="22"/>
          <w:szCs w:val="20"/>
          <w:lang w:val="fr-CA"/>
        </w:rPr>
        <w:t xml:space="preserve">; 1991-1992), par exemple. </w:t>
      </w:r>
      <w:r w:rsidRPr="00AE6675">
        <w:rPr>
          <w:rStyle w:val="BodyTextChar3"/>
          <w:sz w:val="22"/>
          <w:szCs w:val="20"/>
        </w:rPr>
        <w:t>Il n</w:t>
      </w:r>
      <w:r w:rsidR="00AD78A9" w:rsidRPr="00AE6675">
        <w:rPr>
          <w:rStyle w:val="BodyTextChar3"/>
          <w:sz w:val="22"/>
          <w:szCs w:val="20"/>
        </w:rPr>
        <w:t>’</w:t>
      </w:r>
      <w:r w:rsidRPr="00AE6675">
        <w:rPr>
          <w:rStyle w:val="BodyTextChar3"/>
          <w:sz w:val="22"/>
          <w:szCs w:val="20"/>
        </w:rPr>
        <w:t>est pas possible d</w:t>
      </w:r>
      <w:r w:rsidR="00AD78A9" w:rsidRPr="00AE6675">
        <w:rPr>
          <w:rStyle w:val="BodyTextChar3"/>
          <w:sz w:val="22"/>
          <w:szCs w:val="20"/>
        </w:rPr>
        <w:t>’</w:t>
      </w:r>
      <w:r w:rsidRPr="00AE6675">
        <w:rPr>
          <w:rStyle w:val="BodyTextChar3"/>
          <w:sz w:val="22"/>
          <w:szCs w:val="20"/>
        </w:rPr>
        <w:t xml:space="preserve">ajuster annuellement R0 pour les MO </w:t>
      </w:r>
      <w:r w:rsidR="00AD78A9" w:rsidRPr="00AE6675">
        <w:rPr>
          <w:rStyle w:val="BodyTextChar3"/>
          <w:sz w:val="22"/>
          <w:szCs w:val="20"/>
        </w:rPr>
        <w:t>‘</w:t>
      </w:r>
      <w:r w:rsidRPr="00AE6675">
        <w:rPr>
          <w:rStyle w:val="BodyTextChar3"/>
          <w:sz w:val="22"/>
          <w:szCs w:val="20"/>
        </w:rPr>
        <w:t>_R0dec</w:t>
      </w:r>
      <w:r w:rsidR="00AD78A9" w:rsidRPr="00AE6675">
        <w:rPr>
          <w:rStyle w:val="BodyTextChar3"/>
          <w:sz w:val="22"/>
          <w:szCs w:val="20"/>
        </w:rPr>
        <w:t>’</w:t>
      </w:r>
      <w:r w:rsidRPr="00AE6675">
        <w:rPr>
          <w:rStyle w:val="BodyTextChar3"/>
          <w:sz w:val="22"/>
          <w:szCs w:val="20"/>
        </w:rPr>
        <w:t xml:space="preserve"> dans les versions actuelles de DLMtool et MSEtool, mais le même effet peut être obtenu en imposant une directionnalité au paramètre d</w:t>
      </w:r>
      <w:r w:rsidR="00AD78A9" w:rsidRPr="00AE6675">
        <w:rPr>
          <w:rStyle w:val="BodyTextChar3"/>
          <w:sz w:val="22"/>
          <w:szCs w:val="20"/>
        </w:rPr>
        <w:t>’</w:t>
      </w:r>
      <w:r w:rsidRPr="00AE6675">
        <w:rPr>
          <w:rStyle w:val="BodyTextChar3"/>
          <w:sz w:val="22"/>
          <w:szCs w:val="20"/>
        </w:rPr>
        <w:t>erreur associé au recrutement annuel (Perr). Le paramètre Perr peut être fondé sur l</w:t>
      </w:r>
      <w:r w:rsidR="00AD78A9" w:rsidRPr="00AE6675">
        <w:rPr>
          <w:rStyle w:val="BodyTextChar3"/>
          <w:sz w:val="22"/>
          <w:szCs w:val="20"/>
        </w:rPr>
        <w:t>’</w:t>
      </w:r>
      <w:r w:rsidRPr="00AE6675">
        <w:rPr>
          <w:rStyle w:val="BodyTextChar3"/>
          <w:sz w:val="22"/>
          <w:szCs w:val="20"/>
        </w:rPr>
        <w:t>estimation d</w:t>
      </w:r>
      <w:r w:rsidR="00AD78A9" w:rsidRPr="00AE6675">
        <w:rPr>
          <w:rStyle w:val="BodyTextChar3"/>
          <w:sz w:val="22"/>
          <w:szCs w:val="20"/>
        </w:rPr>
        <w:t>’</w:t>
      </w:r>
      <w:r w:rsidRPr="00AE6675">
        <w:rPr>
          <w:rStyle w:val="BodyTextChar3"/>
          <w:sz w:val="22"/>
          <w:szCs w:val="20"/>
        </w:rPr>
        <w:t>un trajet aléatoire dans R0, modifié d</w:t>
      </w:r>
      <w:r w:rsidR="00AD78A9" w:rsidRPr="00AE6675">
        <w:rPr>
          <w:rStyle w:val="BodyTextChar3"/>
          <w:sz w:val="22"/>
          <w:szCs w:val="20"/>
        </w:rPr>
        <w:t>’</w:t>
      </w:r>
      <w:r w:rsidRPr="00AE6675">
        <w:rPr>
          <w:rStyle w:val="BodyTextChar3"/>
          <w:sz w:val="22"/>
          <w:szCs w:val="20"/>
        </w:rPr>
        <w:t xml:space="preserve">après </w:t>
      </w:r>
      <w:r w:rsidRPr="000B7653">
        <w:rPr>
          <w:rStyle w:val="BodyTextChar3"/>
          <w:sz w:val="22"/>
          <w:szCs w:val="20"/>
        </w:rPr>
        <w:t>Tableau et al. 2019</w:t>
      </w:r>
      <w:r w:rsidRPr="00AE6675">
        <w:rPr>
          <w:rStyle w:val="BodyTextChar3"/>
          <w:sz w:val="22"/>
          <w:szCs w:val="20"/>
        </w:rPr>
        <w:t xml:space="preserve">. Toutefois, comme ce paramètre est traité comme une </w:t>
      </w:r>
      <w:r w:rsidR="00AD78A9" w:rsidRPr="00AE6675">
        <w:rPr>
          <w:rStyle w:val="BodyTextChar3"/>
          <w:sz w:val="22"/>
          <w:szCs w:val="20"/>
        </w:rPr>
        <w:t>«</w:t>
      </w:r>
      <w:r w:rsidR="00A81A2C" w:rsidRPr="00AE6675">
        <w:rPr>
          <w:rStyle w:val="BodyTextChar3"/>
          <w:sz w:val="22"/>
          <w:szCs w:val="20"/>
        </w:rPr>
        <w:t> </w:t>
      </w:r>
      <w:r w:rsidRPr="00AE6675">
        <w:rPr>
          <w:rStyle w:val="BodyTextChar3"/>
          <w:sz w:val="22"/>
          <w:szCs w:val="20"/>
        </w:rPr>
        <w:t>erreur</w:t>
      </w:r>
      <w:r w:rsidR="00A81A2C" w:rsidRPr="00AE6675">
        <w:rPr>
          <w:rStyle w:val="BodyTextChar3"/>
          <w:sz w:val="22"/>
          <w:szCs w:val="20"/>
        </w:rPr>
        <w:t> </w:t>
      </w:r>
      <w:r w:rsidR="00AD78A9" w:rsidRPr="00AE6675">
        <w:rPr>
          <w:rStyle w:val="BodyTextChar3"/>
          <w:sz w:val="22"/>
          <w:szCs w:val="20"/>
        </w:rPr>
        <w:t>»</w:t>
      </w:r>
      <w:r w:rsidRPr="00AE6675">
        <w:rPr>
          <w:rStyle w:val="BodyTextChar3"/>
          <w:sz w:val="22"/>
          <w:szCs w:val="20"/>
        </w:rPr>
        <w:t xml:space="preserve"> dans le MO et non comme une baisse réelle de R0 pour la population, les points de référence ne sont pas automatiquement ajustés dans la simulation. Par conséquent, il ne sera pas possible d</w:t>
      </w:r>
      <w:r w:rsidR="00AD78A9" w:rsidRPr="00AE6675">
        <w:rPr>
          <w:rStyle w:val="BodyTextChar3"/>
          <w:sz w:val="22"/>
          <w:szCs w:val="20"/>
        </w:rPr>
        <w:t>’</w:t>
      </w:r>
      <w:r w:rsidRPr="00AE6675">
        <w:rPr>
          <w:rStyle w:val="BodyTextChar3"/>
          <w:sz w:val="22"/>
          <w:szCs w:val="20"/>
        </w:rPr>
        <w:t>utiliser plusieurs des paramètres de performance standards lorsque l</w:t>
      </w:r>
      <w:r w:rsidR="00AD78A9" w:rsidRPr="00AE6675">
        <w:rPr>
          <w:rStyle w:val="BodyTextChar3"/>
          <w:sz w:val="22"/>
          <w:szCs w:val="20"/>
        </w:rPr>
        <w:t>’</w:t>
      </w:r>
      <w:r w:rsidRPr="00AE6675">
        <w:rPr>
          <w:rStyle w:val="BodyTextChar3"/>
          <w:sz w:val="22"/>
          <w:szCs w:val="20"/>
        </w:rPr>
        <w:t>on mettra à l</w:t>
      </w:r>
      <w:r w:rsidR="00AD78A9" w:rsidRPr="00AE6675">
        <w:rPr>
          <w:rStyle w:val="BodyTextChar3"/>
          <w:sz w:val="22"/>
          <w:szCs w:val="20"/>
        </w:rPr>
        <w:t>’</w:t>
      </w:r>
      <w:r w:rsidRPr="00AE6675">
        <w:rPr>
          <w:rStyle w:val="BodyTextChar3"/>
          <w:sz w:val="22"/>
          <w:szCs w:val="20"/>
        </w:rPr>
        <w:t xml:space="preserve">essai les procédures de gestion par rapport à ces paramètres dans le MO </w:t>
      </w:r>
      <w:r w:rsidR="00AD78A9" w:rsidRPr="00AE6675">
        <w:rPr>
          <w:rStyle w:val="BodyTextChar3"/>
          <w:sz w:val="22"/>
          <w:szCs w:val="20"/>
        </w:rPr>
        <w:t>‘</w:t>
      </w:r>
      <w:r w:rsidRPr="00AE6675">
        <w:rPr>
          <w:rStyle w:val="BodyTextChar3"/>
          <w:sz w:val="22"/>
          <w:szCs w:val="20"/>
        </w:rPr>
        <w:t>_R0dec</w:t>
      </w:r>
      <w:r w:rsidR="00AD78A9" w:rsidRPr="00AE6675">
        <w:rPr>
          <w:rStyle w:val="BodyTextChar3"/>
          <w:sz w:val="22"/>
          <w:szCs w:val="20"/>
        </w:rPr>
        <w:t>’</w:t>
      </w:r>
      <w:r w:rsidRPr="00AE6675">
        <w:rPr>
          <w:rStyle w:val="BodyTextChar3"/>
          <w:sz w:val="22"/>
          <w:szCs w:val="20"/>
        </w:rPr>
        <w:t>.</w:t>
      </w:r>
    </w:p>
    <w:p w:rsidR="005943C5" w:rsidRPr="005943C5" w:rsidRDefault="005943C5" w:rsidP="0025585E">
      <w:pPr>
        <w:pStyle w:val="Heading3"/>
      </w:pPr>
      <w:bookmarkStart w:id="6" w:name="_Toc44316227"/>
      <w:r>
        <w:t>Affaissement et recrutement inexploité</w:t>
      </w:r>
      <w:bookmarkStart w:id="7" w:name="_GoBack"/>
      <w:bookmarkEnd w:id="6"/>
      <w:bookmarkEnd w:id="7"/>
    </w:p>
    <w:p w:rsidR="00CF4F05" w:rsidRPr="00AE6675" w:rsidRDefault="00056CEB" w:rsidP="005943C5">
      <w:pPr>
        <w:pStyle w:val="BodyText"/>
        <w:rPr>
          <w:rStyle w:val="BodyTextChar3"/>
          <w:sz w:val="22"/>
          <w:szCs w:val="22"/>
          <w:lang w:val="fr-CA"/>
        </w:rPr>
      </w:pPr>
      <w:r w:rsidRPr="00AE6675">
        <w:rPr>
          <w:rStyle w:val="BodyTextChar3"/>
          <w:sz w:val="22"/>
          <w:szCs w:val="22"/>
          <w:lang w:val="fr-CA"/>
        </w:rPr>
        <w:t>Le paramètre d</w:t>
      </w:r>
      <w:r w:rsidR="00AD78A9" w:rsidRPr="00AE6675">
        <w:rPr>
          <w:rStyle w:val="BodyTextChar3"/>
          <w:sz w:val="22"/>
          <w:szCs w:val="22"/>
          <w:lang w:val="fr-CA"/>
        </w:rPr>
        <w:t>’</w:t>
      </w:r>
      <w:r w:rsidRPr="00AE6675">
        <w:rPr>
          <w:rStyle w:val="BodyTextChar3"/>
          <w:sz w:val="22"/>
          <w:szCs w:val="22"/>
          <w:lang w:val="fr-CA"/>
        </w:rPr>
        <w:t>affaissement des stocks (D) et le recrutement non exploité (R</w:t>
      </w:r>
      <w:r w:rsidRPr="00AE6675">
        <w:rPr>
          <w:rStyle w:val="BodyTextChar3"/>
          <w:sz w:val="22"/>
          <w:szCs w:val="22"/>
          <w:vertAlign w:val="subscript"/>
          <w:lang w:val="fr-CA"/>
        </w:rPr>
        <w:t>0</w:t>
      </w:r>
      <w:r w:rsidRPr="00AE6675">
        <w:rPr>
          <w:rStyle w:val="BodyTextChar3"/>
          <w:sz w:val="22"/>
          <w:szCs w:val="22"/>
          <w:lang w:val="fr-CA"/>
        </w:rPr>
        <w:t>) sont également des paramètres dépendants du modèle, D étant défini comme BSR</w:t>
      </w:r>
      <w:r w:rsidRPr="00AE6675">
        <w:rPr>
          <w:rStyle w:val="BodyTextChar3"/>
          <w:sz w:val="22"/>
          <w:szCs w:val="22"/>
          <w:vertAlign w:val="subscript"/>
          <w:lang w:val="fr-CA"/>
        </w:rPr>
        <w:t>actuelle</w:t>
      </w:r>
      <w:r w:rsidRPr="00AE6675">
        <w:rPr>
          <w:rStyle w:val="BodyTextChar3"/>
          <w:sz w:val="22"/>
          <w:szCs w:val="22"/>
          <w:lang w:val="fr-CA"/>
        </w:rPr>
        <w:t>/BSR</w:t>
      </w:r>
      <w:r w:rsidRPr="00AE6675">
        <w:rPr>
          <w:rStyle w:val="BodyTextChar3"/>
          <w:sz w:val="22"/>
          <w:szCs w:val="22"/>
          <w:vertAlign w:val="subscript"/>
          <w:lang w:val="fr-CA"/>
        </w:rPr>
        <w:t>non exploitée</w:t>
      </w:r>
      <w:r w:rsidRPr="00AE6675">
        <w:rPr>
          <w:rStyle w:val="BodyTextChar3"/>
          <w:sz w:val="22"/>
          <w:szCs w:val="22"/>
          <w:lang w:val="fr-CA"/>
        </w:rPr>
        <w:t xml:space="preserve"> (SSB</w:t>
      </w:r>
      <w:r w:rsidRPr="00AE6675">
        <w:rPr>
          <w:rStyle w:val="BodyTextChar3"/>
          <w:sz w:val="22"/>
          <w:szCs w:val="22"/>
          <w:vertAlign w:val="subscript"/>
          <w:lang w:val="fr-CA"/>
        </w:rPr>
        <w:t>current</w:t>
      </w:r>
      <w:r w:rsidRPr="00AE6675">
        <w:rPr>
          <w:rStyle w:val="BodyTextChar3"/>
          <w:sz w:val="22"/>
          <w:szCs w:val="22"/>
          <w:lang w:val="fr-CA"/>
        </w:rPr>
        <w:t>/SSB</w:t>
      </w:r>
      <w:r w:rsidRPr="00AE6675">
        <w:rPr>
          <w:rStyle w:val="BodyTextChar3"/>
          <w:sz w:val="22"/>
          <w:szCs w:val="22"/>
          <w:vertAlign w:val="subscript"/>
          <w:lang w:val="fr-CA"/>
        </w:rPr>
        <w:t>unfished</w:t>
      </w:r>
      <w:r w:rsidRPr="00AE6675">
        <w:rPr>
          <w:rStyle w:val="BodyTextChar3"/>
          <w:sz w:val="22"/>
          <w:szCs w:val="22"/>
          <w:lang w:val="fr-CA"/>
        </w:rPr>
        <w:t xml:space="preserve">). Pour le MO </w:t>
      </w:r>
      <w:r w:rsidR="00AD78A9" w:rsidRPr="00AE6675">
        <w:rPr>
          <w:rStyle w:val="BodyTextChar3"/>
          <w:sz w:val="22"/>
          <w:szCs w:val="22"/>
          <w:lang w:val="fr-CA"/>
        </w:rPr>
        <w:t>‘</w:t>
      </w:r>
      <w:r w:rsidRPr="00AE6675">
        <w:rPr>
          <w:rStyle w:val="BodyTextChar3"/>
          <w:sz w:val="22"/>
          <w:szCs w:val="22"/>
          <w:lang w:val="fr-CA"/>
        </w:rPr>
        <w:t>_short</w:t>
      </w:r>
      <w:r w:rsidR="00AD78A9" w:rsidRPr="00AE6675">
        <w:rPr>
          <w:rStyle w:val="BodyTextChar3"/>
          <w:sz w:val="22"/>
          <w:szCs w:val="22"/>
          <w:lang w:val="fr-CA"/>
        </w:rPr>
        <w:t>’</w:t>
      </w:r>
      <w:r w:rsidRPr="00AE6675">
        <w:rPr>
          <w:rStyle w:val="BodyTextChar3"/>
          <w:sz w:val="22"/>
          <w:szCs w:val="22"/>
          <w:lang w:val="fr-CA"/>
        </w:rPr>
        <w:t>, D et R</w:t>
      </w:r>
      <w:r w:rsidRPr="00AE6675">
        <w:rPr>
          <w:rStyle w:val="BodyTextChar3"/>
          <w:sz w:val="22"/>
          <w:szCs w:val="22"/>
          <w:vertAlign w:val="subscript"/>
          <w:lang w:val="fr-CA"/>
        </w:rPr>
        <w:t>0</w:t>
      </w:r>
      <w:r w:rsidRPr="00AE6675">
        <w:rPr>
          <w:rStyle w:val="BodyTextChar3"/>
          <w:sz w:val="22"/>
          <w:szCs w:val="22"/>
          <w:lang w:val="fr-CA"/>
        </w:rPr>
        <w:t xml:space="preserve"> peuvent tous deux être dérivés de la relation SR. Pour le MO </w:t>
      </w:r>
      <w:r w:rsidR="00AD78A9" w:rsidRPr="00AE6675">
        <w:rPr>
          <w:rStyle w:val="BodyTextChar3"/>
          <w:sz w:val="22"/>
          <w:szCs w:val="22"/>
          <w:lang w:val="fr-CA"/>
        </w:rPr>
        <w:t>‘</w:t>
      </w:r>
      <w:r w:rsidRPr="00AE6675">
        <w:rPr>
          <w:rStyle w:val="BodyTextChar3"/>
          <w:sz w:val="22"/>
          <w:szCs w:val="22"/>
          <w:lang w:val="fr-CA"/>
        </w:rPr>
        <w:t>_R0dec</w:t>
      </w:r>
      <w:r w:rsidR="00AD78A9" w:rsidRPr="00AE6675">
        <w:rPr>
          <w:rStyle w:val="BodyTextChar3"/>
          <w:sz w:val="22"/>
          <w:szCs w:val="22"/>
          <w:lang w:val="fr-CA"/>
        </w:rPr>
        <w:t>’</w:t>
      </w:r>
      <w:r w:rsidRPr="00AE6675">
        <w:rPr>
          <w:rStyle w:val="BodyTextChar3"/>
          <w:sz w:val="22"/>
          <w:szCs w:val="22"/>
          <w:lang w:val="fr-CA"/>
        </w:rPr>
        <w:t>, D et R</w:t>
      </w:r>
      <w:r w:rsidRPr="00AE6675">
        <w:rPr>
          <w:rStyle w:val="BodyTextChar3"/>
          <w:sz w:val="22"/>
          <w:szCs w:val="22"/>
          <w:vertAlign w:val="subscript"/>
          <w:lang w:val="fr-CA"/>
        </w:rPr>
        <w:t>0</w:t>
      </w:r>
      <w:r w:rsidRPr="00AE6675">
        <w:rPr>
          <w:rStyle w:val="BodyTextChar3"/>
          <w:sz w:val="22"/>
          <w:szCs w:val="22"/>
          <w:lang w:val="fr-CA"/>
        </w:rPr>
        <w:t xml:space="preserve"> peuvent tous deux être calculés sur la base de la relation SR du début des séries chronologiques, car la simulation ne reconnaît pas une diminution de R</w:t>
      </w:r>
      <w:r w:rsidRPr="00AE6675">
        <w:rPr>
          <w:rStyle w:val="BodyTextChar3"/>
          <w:sz w:val="22"/>
          <w:szCs w:val="22"/>
          <w:vertAlign w:val="subscript"/>
          <w:lang w:val="fr-CA"/>
        </w:rPr>
        <w:t>0</w:t>
      </w:r>
      <w:r w:rsidRPr="00AE6675">
        <w:rPr>
          <w:rStyle w:val="BodyTextChar3"/>
          <w:sz w:val="22"/>
          <w:szCs w:val="22"/>
          <w:lang w:val="fr-CA"/>
        </w:rPr>
        <w:t xml:space="preserve"> et optimise l</w:t>
      </w:r>
      <w:r w:rsidR="00AD78A9" w:rsidRPr="00AE6675">
        <w:rPr>
          <w:rStyle w:val="BodyTextChar3"/>
          <w:sz w:val="22"/>
          <w:szCs w:val="22"/>
          <w:lang w:val="fr-CA"/>
        </w:rPr>
        <w:t>’</w:t>
      </w:r>
      <w:r w:rsidRPr="00AE6675">
        <w:rPr>
          <w:rStyle w:val="BodyTextChar3"/>
          <w:sz w:val="22"/>
          <w:szCs w:val="22"/>
          <w:lang w:val="fr-CA"/>
        </w:rPr>
        <w:t>affaissement de la relation SR de la dernière année avant l</w:t>
      </w:r>
      <w:r w:rsidR="00AD78A9" w:rsidRPr="00AE6675">
        <w:rPr>
          <w:rStyle w:val="BodyTextChar3"/>
          <w:sz w:val="22"/>
          <w:szCs w:val="22"/>
          <w:lang w:val="fr-CA"/>
        </w:rPr>
        <w:t>’</w:t>
      </w:r>
      <w:r w:rsidRPr="00AE6675">
        <w:rPr>
          <w:rStyle w:val="BodyTextChar3"/>
          <w:sz w:val="22"/>
          <w:szCs w:val="22"/>
          <w:lang w:val="fr-CA"/>
        </w:rPr>
        <w:t>application de l</w:t>
      </w:r>
      <w:r w:rsidR="00AD78A9" w:rsidRPr="00AE6675">
        <w:rPr>
          <w:rStyle w:val="BodyTextChar3"/>
          <w:sz w:val="22"/>
          <w:szCs w:val="22"/>
          <w:lang w:val="fr-CA"/>
        </w:rPr>
        <w:t>’</w:t>
      </w:r>
      <w:r w:rsidRPr="00AE6675">
        <w:rPr>
          <w:rStyle w:val="BodyTextChar3"/>
          <w:sz w:val="22"/>
          <w:szCs w:val="22"/>
          <w:lang w:val="fr-CA"/>
        </w:rPr>
        <w:t>erreur de recrutement (Perr). Le paramètre d</w:t>
      </w:r>
      <w:r w:rsidR="00AD78A9" w:rsidRPr="00AE6675">
        <w:rPr>
          <w:rStyle w:val="BodyTextChar3"/>
          <w:sz w:val="22"/>
          <w:szCs w:val="22"/>
          <w:lang w:val="fr-CA"/>
        </w:rPr>
        <w:t>’</w:t>
      </w:r>
      <w:r w:rsidRPr="00AE6675">
        <w:rPr>
          <w:rStyle w:val="BodyTextChar3"/>
          <w:sz w:val="22"/>
          <w:szCs w:val="22"/>
          <w:lang w:val="fr-CA"/>
        </w:rPr>
        <w:t>affaissement peut également être estimé en analysant le rendement par recrue.</w:t>
      </w:r>
    </w:p>
    <w:p w:rsidR="00746F29" w:rsidRPr="00AE6675" w:rsidRDefault="00FB470C" w:rsidP="005943C5">
      <w:pPr>
        <w:pStyle w:val="BodyText"/>
        <w:rPr>
          <w:rStyle w:val="BodyTextChar3"/>
          <w:sz w:val="22"/>
          <w:szCs w:val="22"/>
          <w:lang w:val="fr-CA"/>
        </w:rPr>
      </w:pPr>
      <w:r w:rsidRPr="00AE6675">
        <w:rPr>
          <w:rStyle w:val="BodyTextChar3"/>
          <w:sz w:val="22"/>
          <w:szCs w:val="22"/>
          <w:lang w:val="fr-CA"/>
        </w:rPr>
        <w:t>On peut aussi estimer les valeurs d</w:t>
      </w:r>
      <w:r w:rsidR="00AD78A9" w:rsidRPr="00AE6675">
        <w:rPr>
          <w:rStyle w:val="BodyTextChar3"/>
          <w:sz w:val="22"/>
          <w:szCs w:val="22"/>
          <w:lang w:val="fr-CA"/>
        </w:rPr>
        <w:t>’</w:t>
      </w:r>
      <w:r w:rsidRPr="00AE6675">
        <w:rPr>
          <w:rStyle w:val="BodyTextChar3"/>
          <w:sz w:val="22"/>
          <w:szCs w:val="22"/>
          <w:lang w:val="fr-CA"/>
        </w:rPr>
        <w:t>affaissement de la biomasse totale à partir des trois relevés disponibles [MPO, National Marine Fisheries Service (NMFS) - printemps et NMFS - automne] en comparant la biomasse moyenne des cinq premières années de la série (1978-1982 pour le NMFS, 1986-1990 pour le MPO) à la biomasse moyenne des cinq dernières années de chaque série (2014-2018 pour l</w:t>
      </w:r>
      <w:r w:rsidR="00AD78A9" w:rsidRPr="00AE6675">
        <w:rPr>
          <w:rStyle w:val="BodyTextChar3"/>
          <w:sz w:val="22"/>
          <w:szCs w:val="22"/>
          <w:lang w:val="fr-CA"/>
        </w:rPr>
        <w:t>’</w:t>
      </w:r>
      <w:r w:rsidRPr="00AE6675">
        <w:rPr>
          <w:rStyle w:val="BodyTextChar3"/>
          <w:sz w:val="22"/>
          <w:szCs w:val="22"/>
          <w:lang w:val="fr-CA"/>
        </w:rPr>
        <w:t>automne, 2015-2019 pour le printemps). Comme la population était déjà exploitée au début de chaque série de relevés, ces valeurs sont considérées comme les estimations de l</w:t>
      </w:r>
      <w:r w:rsidR="00AD78A9" w:rsidRPr="00AE6675">
        <w:rPr>
          <w:rStyle w:val="BodyTextChar3"/>
          <w:sz w:val="22"/>
          <w:szCs w:val="22"/>
          <w:lang w:val="fr-CA"/>
        </w:rPr>
        <w:t>’</w:t>
      </w:r>
      <w:r w:rsidRPr="00AE6675">
        <w:rPr>
          <w:rStyle w:val="BodyTextChar3"/>
          <w:sz w:val="22"/>
          <w:szCs w:val="22"/>
          <w:lang w:val="fr-CA"/>
        </w:rPr>
        <w:t>affaissement minimum de la biomasse pour la morue de l</w:t>
      </w:r>
      <w:r w:rsidR="00AD78A9" w:rsidRPr="00AE6675">
        <w:rPr>
          <w:rStyle w:val="BodyTextChar3"/>
          <w:sz w:val="22"/>
          <w:szCs w:val="22"/>
          <w:lang w:val="fr-CA"/>
        </w:rPr>
        <w:t>’</w:t>
      </w:r>
      <w:r w:rsidRPr="00AE6675">
        <w:rPr>
          <w:rStyle w:val="BodyTextChar3"/>
          <w:sz w:val="22"/>
          <w:szCs w:val="22"/>
          <w:lang w:val="fr-CA"/>
        </w:rPr>
        <w:t>est du banc de Georges (</w:t>
      </w:r>
      <w:r w:rsidR="00950A8C" w:rsidRPr="00AE6675">
        <w:rPr>
          <w:rStyle w:val="BodyTextChar3"/>
          <w:sz w:val="22"/>
          <w:szCs w:val="22"/>
          <w:lang w:val="fr-CA"/>
        </w:rPr>
        <w:fldChar w:fldCharType="begin"/>
      </w:r>
      <w:r w:rsidR="00950A8C" w:rsidRPr="00AE6675">
        <w:rPr>
          <w:rStyle w:val="BodyTextChar3"/>
          <w:sz w:val="22"/>
          <w:szCs w:val="22"/>
          <w:lang w:val="fr-CA"/>
        </w:rPr>
        <w:instrText xml:space="preserve"> REF _Ref11071434 \h </w:instrText>
      </w:r>
      <w:r w:rsidR="00581903" w:rsidRPr="00AE6675">
        <w:rPr>
          <w:rStyle w:val="BodyTextChar3"/>
          <w:sz w:val="22"/>
          <w:szCs w:val="22"/>
          <w:lang w:val="fr-CA"/>
        </w:rPr>
        <w:instrText xml:space="preserve"> \* MERGEFORMAT </w:instrText>
      </w:r>
      <w:r w:rsidR="00950A8C" w:rsidRPr="00AE6675">
        <w:rPr>
          <w:rStyle w:val="BodyTextChar3"/>
          <w:sz w:val="22"/>
          <w:szCs w:val="22"/>
          <w:lang w:val="fr-CA"/>
        </w:rPr>
      </w:r>
      <w:r w:rsidR="00950A8C" w:rsidRPr="00AE6675">
        <w:rPr>
          <w:rStyle w:val="BodyTextChar3"/>
          <w:sz w:val="22"/>
          <w:szCs w:val="22"/>
          <w:lang w:val="fr-CA"/>
        </w:rPr>
        <w:fldChar w:fldCharType="separate"/>
      </w:r>
      <w:r w:rsidR="00031329" w:rsidRPr="00031329">
        <w:rPr>
          <w:rFonts w:cs="Arial"/>
          <w:bCs/>
          <w:iCs/>
          <w:u w:color="000000"/>
          <w:lang w:val="fr-CA"/>
        </w:rPr>
        <w:t>Tableau 3</w:t>
      </w:r>
      <w:r w:rsidR="00950A8C" w:rsidRPr="00AE6675">
        <w:rPr>
          <w:rStyle w:val="BodyTextChar3"/>
          <w:sz w:val="22"/>
          <w:szCs w:val="22"/>
          <w:lang w:val="fr-CA"/>
        </w:rPr>
        <w:fldChar w:fldCharType="end"/>
      </w:r>
      <w:r w:rsidRPr="00AE6675">
        <w:rPr>
          <w:rStyle w:val="BodyTextChar3"/>
          <w:sz w:val="22"/>
          <w:szCs w:val="22"/>
          <w:lang w:val="fr-CA"/>
        </w:rPr>
        <w:t xml:space="preserve">). </w:t>
      </w:r>
    </w:p>
    <w:p w:rsidR="0071566E" w:rsidRPr="0025585E" w:rsidRDefault="0071566E" w:rsidP="0025585E">
      <w:pPr>
        <w:pStyle w:val="Heading3"/>
        <w:rPr>
          <w:rStyle w:val="BodyTextChar3"/>
          <w:bCs w:val="0"/>
          <w:iCs w:val="0"/>
          <w:sz w:val="22"/>
          <w:lang w:val="fr-CA"/>
        </w:rPr>
      </w:pPr>
      <w:bookmarkStart w:id="8" w:name="_Toc44316228"/>
      <w:r w:rsidRPr="0025585E">
        <w:rPr>
          <w:rStyle w:val="BodyTextChar3"/>
          <w:bCs w:val="0"/>
          <w:iCs w:val="0"/>
          <w:sz w:val="22"/>
          <w:lang w:val="fr-CA"/>
        </w:rPr>
        <w:t>Clé âge-longueur</w:t>
      </w:r>
      <w:bookmarkEnd w:id="8"/>
    </w:p>
    <w:p w:rsidR="009A44FF" w:rsidRPr="00AE6675" w:rsidRDefault="009A44FF" w:rsidP="005943C5">
      <w:pPr>
        <w:pStyle w:val="BodyText"/>
        <w:rPr>
          <w:rStyle w:val="BodyTextChar3"/>
          <w:rFonts w:cs="Arial"/>
          <w:sz w:val="22"/>
          <w:szCs w:val="22"/>
          <w:lang w:val="fr-CA"/>
        </w:rPr>
      </w:pPr>
      <w:r w:rsidRPr="00AE6675">
        <w:rPr>
          <w:rStyle w:val="BodyTextChar3"/>
          <w:sz w:val="22"/>
          <w:szCs w:val="22"/>
          <w:lang w:val="fr-CA"/>
        </w:rPr>
        <w:t>Les paramètres de croissance (L</w:t>
      </w:r>
      <w:r w:rsidRPr="00AE6675">
        <w:rPr>
          <w:rStyle w:val="BodyTextChar3"/>
          <w:sz w:val="22"/>
          <w:szCs w:val="22"/>
          <w:vertAlign w:val="subscript"/>
          <w:lang w:val="fr-CA"/>
        </w:rPr>
        <w:t>inf</w:t>
      </w:r>
      <w:r w:rsidRPr="00AE6675">
        <w:rPr>
          <w:rStyle w:val="BodyTextChar3"/>
          <w:sz w:val="22"/>
          <w:szCs w:val="22"/>
          <w:lang w:val="fr-CA"/>
        </w:rPr>
        <w:t>, K, t</w:t>
      </w:r>
      <w:r w:rsidRPr="00AE6675">
        <w:rPr>
          <w:rStyle w:val="BodyTextChar3"/>
          <w:sz w:val="22"/>
          <w:szCs w:val="22"/>
          <w:vertAlign w:val="subscript"/>
          <w:lang w:val="fr-CA"/>
        </w:rPr>
        <w:t>0</w:t>
      </w:r>
      <w:r w:rsidRPr="00AE6675">
        <w:rPr>
          <w:rStyle w:val="BodyTextChar3"/>
          <w:sz w:val="22"/>
          <w:szCs w:val="22"/>
          <w:lang w:val="fr-CA"/>
        </w:rPr>
        <w:t>) sont considérés comme indépendants du modèle et peuvent être calculés en utilisant toutes les données disponibles des relevés américains et du MPO réalisés sur l</w:t>
      </w:r>
      <w:r w:rsidR="00AD78A9" w:rsidRPr="00AE6675">
        <w:rPr>
          <w:rStyle w:val="BodyTextChar3"/>
          <w:sz w:val="22"/>
          <w:szCs w:val="22"/>
          <w:lang w:val="fr-CA"/>
        </w:rPr>
        <w:t>’</w:t>
      </w:r>
      <w:r w:rsidRPr="00AE6675">
        <w:rPr>
          <w:rStyle w:val="BodyTextChar3"/>
          <w:sz w:val="22"/>
          <w:szCs w:val="22"/>
          <w:lang w:val="fr-CA"/>
        </w:rPr>
        <w:t>est du banc de Georges depuis 1978 (N=31 000). La progression de la croissance saisonnière est prise en compte en attribuant un âge partiel, en fonction du jour et du mois où le poisson a été capturé, et en supposant une date de naissance au 1</w:t>
      </w:r>
      <w:r w:rsidRPr="00AE6675">
        <w:rPr>
          <w:rStyle w:val="BodyTextChar3"/>
          <w:sz w:val="22"/>
          <w:szCs w:val="22"/>
          <w:vertAlign w:val="superscript"/>
          <w:lang w:val="fr-CA"/>
        </w:rPr>
        <w:t>er</w:t>
      </w:r>
      <w:r w:rsidRPr="00AE6675">
        <w:rPr>
          <w:rStyle w:val="BodyTextChar3"/>
          <w:sz w:val="22"/>
          <w:szCs w:val="22"/>
          <w:lang w:val="fr-CA"/>
        </w:rPr>
        <w:t> février. On peut déterminer les tendances temporelles des paramètres de croissance en ajustant les courbes de croissance annuelles et en suivant la tendance des paramètres de von Bertallanfy dans le temps (</w:t>
      </w:r>
      <w:r w:rsidRPr="00AE6675">
        <w:rPr>
          <w:rStyle w:val="BodyTextChar3"/>
          <w:rFonts w:cs="Arial"/>
          <w:sz w:val="22"/>
          <w:szCs w:val="22"/>
          <w:lang w:val="fr-CA"/>
        </w:rPr>
        <w:fldChar w:fldCharType="begin"/>
      </w:r>
      <w:r w:rsidRPr="00AE6675">
        <w:rPr>
          <w:rStyle w:val="BodyTextChar3"/>
          <w:rFonts w:cs="Arial"/>
          <w:sz w:val="22"/>
          <w:szCs w:val="22"/>
          <w:lang w:val="fr-CA"/>
        </w:rPr>
        <w:instrText xml:space="preserve"> REF _Ref11674310 \h  \* MERGEFORMAT </w:instrText>
      </w:r>
      <w:r w:rsidRPr="00AE6675">
        <w:rPr>
          <w:rStyle w:val="BodyTextChar3"/>
          <w:rFonts w:cs="Arial"/>
          <w:sz w:val="22"/>
          <w:szCs w:val="22"/>
          <w:lang w:val="fr-CA"/>
        </w:rPr>
      </w:r>
      <w:r w:rsidRPr="00AE6675">
        <w:rPr>
          <w:rStyle w:val="BodyTextChar3"/>
          <w:rFonts w:cs="Arial"/>
          <w:sz w:val="22"/>
          <w:szCs w:val="22"/>
          <w:lang w:val="fr-CA"/>
        </w:rPr>
        <w:fldChar w:fldCharType="separate"/>
      </w:r>
      <w:r w:rsidR="00031329" w:rsidRPr="00031329">
        <w:rPr>
          <w:rFonts w:cs="Arial"/>
          <w:lang w:val="fr-CA"/>
        </w:rPr>
        <w:t>Figure </w:t>
      </w:r>
      <w:r w:rsidR="00031329">
        <w:rPr>
          <w:rFonts w:cs="Arial"/>
          <w:lang w:val="fr-CA"/>
        </w:rPr>
        <w:t>14</w:t>
      </w:r>
      <w:r w:rsidRPr="00AE6675">
        <w:rPr>
          <w:rStyle w:val="BodyTextChar3"/>
          <w:rFonts w:cs="Arial"/>
          <w:sz w:val="22"/>
          <w:szCs w:val="22"/>
          <w:lang w:val="fr-CA"/>
        </w:rPr>
        <w:fldChar w:fldCharType="end"/>
      </w:r>
      <w:r w:rsidRPr="00AE6675">
        <w:rPr>
          <w:rStyle w:val="BodyTextChar3"/>
          <w:sz w:val="22"/>
          <w:szCs w:val="22"/>
          <w:lang w:val="fr-CA"/>
        </w:rPr>
        <w:t xml:space="preserve">). </w:t>
      </w:r>
    </w:p>
    <w:p w:rsidR="009A44FF" w:rsidRPr="00AE6675" w:rsidRDefault="009A44FF" w:rsidP="005943C5">
      <w:pPr>
        <w:pStyle w:val="BodyText"/>
        <w:rPr>
          <w:rStyle w:val="BodyTextChar3"/>
          <w:rFonts w:cs="Arial"/>
          <w:sz w:val="22"/>
          <w:szCs w:val="22"/>
          <w:lang w:val="fr-CA"/>
        </w:rPr>
      </w:pPr>
      <w:r w:rsidRPr="00AE6675">
        <w:rPr>
          <w:rStyle w:val="BodyTextChar3"/>
          <w:sz w:val="22"/>
          <w:szCs w:val="22"/>
          <w:lang w:val="fr-CA"/>
        </w:rPr>
        <w:t>En général, la courbe de croissance est restée constante pendant les premières années (1978</w:t>
      </w:r>
      <w:r w:rsidR="00EE52B0" w:rsidRPr="00AE6675">
        <w:rPr>
          <w:rStyle w:val="BodyTextChar3"/>
          <w:sz w:val="22"/>
          <w:szCs w:val="22"/>
          <w:lang w:val="fr-CA"/>
        </w:rPr>
        <w:noBreakHyphen/>
      </w:r>
      <w:r w:rsidRPr="00AE6675">
        <w:rPr>
          <w:rStyle w:val="BodyTextChar3"/>
          <w:sz w:val="22"/>
          <w:szCs w:val="22"/>
          <w:lang w:val="fr-CA"/>
        </w:rPr>
        <w:t>1996) et a changé pendant la période la plus récente (2003-2019) avec la disparition des poissons plus âgés et des jeunes poissons plus gros des données des relevés (</w:t>
      </w:r>
      <w:r w:rsidRPr="00AE6675">
        <w:rPr>
          <w:rStyle w:val="BodyTextChar3"/>
          <w:rFonts w:cs="Arial"/>
          <w:sz w:val="22"/>
          <w:szCs w:val="22"/>
          <w:lang w:val="fr-CA"/>
        </w:rPr>
        <w:fldChar w:fldCharType="begin"/>
      </w:r>
      <w:r w:rsidRPr="00AE6675">
        <w:rPr>
          <w:rStyle w:val="BodyTextChar3"/>
          <w:rFonts w:cs="Arial"/>
          <w:sz w:val="22"/>
          <w:szCs w:val="22"/>
          <w:lang w:val="fr-CA"/>
        </w:rPr>
        <w:instrText xml:space="preserve"> REF _Ref11674310 \h  \* MERGEFORMAT </w:instrText>
      </w:r>
      <w:r w:rsidRPr="00AE6675">
        <w:rPr>
          <w:rStyle w:val="BodyTextChar3"/>
          <w:rFonts w:cs="Arial"/>
          <w:sz w:val="22"/>
          <w:szCs w:val="22"/>
          <w:lang w:val="fr-CA"/>
        </w:rPr>
      </w:r>
      <w:r w:rsidRPr="00AE6675">
        <w:rPr>
          <w:rStyle w:val="BodyTextChar3"/>
          <w:rFonts w:cs="Arial"/>
          <w:sz w:val="22"/>
          <w:szCs w:val="22"/>
          <w:lang w:val="fr-CA"/>
        </w:rPr>
        <w:fldChar w:fldCharType="separate"/>
      </w:r>
      <w:r w:rsidR="00031329" w:rsidRPr="00031329">
        <w:rPr>
          <w:rFonts w:cs="Arial"/>
          <w:lang w:val="fr-CA"/>
        </w:rPr>
        <w:t>Figure </w:t>
      </w:r>
      <w:r w:rsidR="00031329">
        <w:rPr>
          <w:rFonts w:cs="Arial"/>
          <w:lang w:val="fr-CA"/>
        </w:rPr>
        <w:t>14</w:t>
      </w:r>
      <w:r w:rsidRPr="00AE6675">
        <w:rPr>
          <w:rStyle w:val="BodyTextChar3"/>
          <w:rFonts w:cs="Arial"/>
          <w:sz w:val="22"/>
          <w:szCs w:val="22"/>
          <w:lang w:val="fr-CA"/>
        </w:rPr>
        <w:fldChar w:fldCharType="end"/>
      </w:r>
      <w:r w:rsidRPr="00AE6675">
        <w:rPr>
          <w:rStyle w:val="BodyTextChar3"/>
          <w:sz w:val="22"/>
          <w:szCs w:val="22"/>
          <w:lang w:val="fr-CA"/>
        </w:rPr>
        <w:t xml:space="preserve">; </w:t>
      </w:r>
      <w:r w:rsidRPr="00AE6675">
        <w:rPr>
          <w:rStyle w:val="BodyTextChar3"/>
          <w:rFonts w:cs="Arial"/>
          <w:sz w:val="22"/>
          <w:szCs w:val="22"/>
          <w:lang w:val="fr-CA"/>
        </w:rPr>
        <w:fldChar w:fldCharType="begin"/>
      </w:r>
      <w:r w:rsidRPr="00AE6675">
        <w:rPr>
          <w:rStyle w:val="BodyTextChar3"/>
          <w:rFonts w:cs="Arial"/>
          <w:sz w:val="22"/>
          <w:szCs w:val="22"/>
          <w:lang w:val="fr-CA"/>
        </w:rPr>
        <w:instrText xml:space="preserve"> REF _Ref11674364 \h  \* MERGEFORMAT </w:instrText>
      </w:r>
      <w:r w:rsidRPr="00AE6675">
        <w:rPr>
          <w:rStyle w:val="BodyTextChar3"/>
          <w:rFonts w:cs="Arial"/>
          <w:sz w:val="22"/>
          <w:szCs w:val="22"/>
          <w:lang w:val="fr-CA"/>
        </w:rPr>
      </w:r>
      <w:r w:rsidRPr="00AE6675">
        <w:rPr>
          <w:rStyle w:val="BodyTextChar3"/>
          <w:rFonts w:cs="Arial"/>
          <w:sz w:val="22"/>
          <w:szCs w:val="22"/>
          <w:lang w:val="fr-CA"/>
        </w:rPr>
        <w:fldChar w:fldCharType="separate"/>
      </w:r>
      <w:r w:rsidR="00031329" w:rsidRPr="00031329">
        <w:rPr>
          <w:rFonts w:cs="Arial"/>
          <w:lang w:val="fr-CA"/>
        </w:rPr>
        <w:t>Figure </w:t>
      </w:r>
      <w:r w:rsidR="00031329">
        <w:rPr>
          <w:rFonts w:cs="Arial"/>
          <w:lang w:val="fr-CA"/>
        </w:rPr>
        <w:t>15</w:t>
      </w:r>
      <w:r w:rsidRPr="00AE6675">
        <w:rPr>
          <w:rStyle w:val="BodyTextChar3"/>
          <w:rFonts w:cs="Arial"/>
          <w:sz w:val="22"/>
          <w:szCs w:val="22"/>
          <w:lang w:val="fr-CA"/>
        </w:rPr>
        <w:fldChar w:fldCharType="end"/>
      </w:r>
      <w:r w:rsidRPr="00AE6675">
        <w:rPr>
          <w:rStyle w:val="BodyTextChar3"/>
          <w:sz w:val="22"/>
          <w:szCs w:val="22"/>
          <w:lang w:val="fr-CA"/>
        </w:rPr>
        <w:t>). Les courbes de croissance ajustées aux données collectées entre 1997 et 2002 affichaient un fort écart par rapport aux deux autres périodes et sont caractérisées par des valeurs extrêmes pour les trois paramètres (</w:t>
      </w:r>
      <w:r w:rsidRPr="00AE6675">
        <w:rPr>
          <w:rStyle w:val="BodyTextChar3"/>
          <w:rFonts w:cs="Arial"/>
          <w:sz w:val="22"/>
          <w:szCs w:val="22"/>
          <w:lang w:val="fr-CA"/>
        </w:rPr>
        <w:fldChar w:fldCharType="begin"/>
      </w:r>
      <w:r w:rsidRPr="00AE6675">
        <w:rPr>
          <w:rStyle w:val="BodyTextChar3"/>
          <w:rFonts w:cs="Arial"/>
          <w:sz w:val="22"/>
          <w:szCs w:val="22"/>
          <w:lang w:val="fr-CA"/>
        </w:rPr>
        <w:instrText xml:space="preserve"> REF _Ref11674310 \h </w:instrText>
      </w:r>
      <w:r w:rsidR="00597041" w:rsidRPr="00AE6675">
        <w:rPr>
          <w:rStyle w:val="BodyTextChar3"/>
          <w:rFonts w:cs="Arial"/>
          <w:sz w:val="22"/>
          <w:szCs w:val="22"/>
          <w:lang w:val="fr-CA"/>
        </w:rPr>
        <w:instrText xml:space="preserve"> \* MERGEFORMAT </w:instrText>
      </w:r>
      <w:r w:rsidRPr="00AE6675">
        <w:rPr>
          <w:rStyle w:val="BodyTextChar3"/>
          <w:rFonts w:cs="Arial"/>
          <w:sz w:val="22"/>
          <w:szCs w:val="22"/>
          <w:lang w:val="fr-CA"/>
        </w:rPr>
      </w:r>
      <w:r w:rsidRPr="00AE6675">
        <w:rPr>
          <w:rStyle w:val="BodyTextChar3"/>
          <w:rFonts w:cs="Arial"/>
          <w:sz w:val="22"/>
          <w:szCs w:val="22"/>
          <w:lang w:val="fr-CA"/>
        </w:rPr>
        <w:fldChar w:fldCharType="separate"/>
      </w:r>
      <w:r w:rsidR="00031329" w:rsidRPr="00031329">
        <w:rPr>
          <w:rFonts w:cs="Arial"/>
          <w:lang w:val="fr-CA"/>
        </w:rPr>
        <w:t>Figure </w:t>
      </w:r>
      <w:r w:rsidR="00031329">
        <w:rPr>
          <w:rFonts w:cs="Arial"/>
          <w:lang w:val="fr-CA"/>
        </w:rPr>
        <w:t>14</w:t>
      </w:r>
      <w:r w:rsidRPr="00AE6675">
        <w:rPr>
          <w:rStyle w:val="BodyTextChar3"/>
          <w:rFonts w:cs="Arial"/>
          <w:sz w:val="22"/>
          <w:szCs w:val="22"/>
          <w:lang w:val="fr-CA"/>
        </w:rPr>
        <w:fldChar w:fldCharType="end"/>
      </w:r>
      <w:r w:rsidRPr="00AE6675">
        <w:rPr>
          <w:rStyle w:val="BodyTextChar3"/>
          <w:sz w:val="22"/>
          <w:szCs w:val="22"/>
          <w:lang w:val="fr-CA"/>
        </w:rPr>
        <w:t>). On pense que ce changement inattendu résulte de l</w:t>
      </w:r>
      <w:r w:rsidR="00AD78A9" w:rsidRPr="00AE6675">
        <w:rPr>
          <w:rStyle w:val="BodyTextChar3"/>
          <w:sz w:val="22"/>
          <w:szCs w:val="22"/>
          <w:lang w:val="fr-CA"/>
        </w:rPr>
        <w:t>’</w:t>
      </w:r>
      <w:r w:rsidRPr="00AE6675">
        <w:rPr>
          <w:rStyle w:val="BodyTextChar3"/>
          <w:sz w:val="22"/>
          <w:szCs w:val="22"/>
          <w:lang w:val="fr-CA"/>
        </w:rPr>
        <w:t>échantillonnage (c</w:t>
      </w:r>
      <w:r w:rsidR="00AD78A9" w:rsidRPr="00AE6675">
        <w:rPr>
          <w:rStyle w:val="BodyTextChar3"/>
          <w:sz w:val="22"/>
          <w:szCs w:val="22"/>
          <w:lang w:val="fr-CA"/>
        </w:rPr>
        <w:t>’</w:t>
      </w:r>
      <w:r w:rsidRPr="00AE6675">
        <w:rPr>
          <w:rStyle w:val="BodyTextChar3"/>
          <w:sz w:val="22"/>
          <w:szCs w:val="22"/>
          <w:lang w:val="fr-CA"/>
        </w:rPr>
        <w:t>est-à-dire de l</w:t>
      </w:r>
      <w:r w:rsidR="00AD78A9" w:rsidRPr="00AE6675">
        <w:rPr>
          <w:rStyle w:val="BodyTextChar3"/>
          <w:sz w:val="22"/>
          <w:szCs w:val="22"/>
          <w:lang w:val="fr-CA"/>
        </w:rPr>
        <w:t>’</w:t>
      </w:r>
      <w:r w:rsidRPr="00AE6675">
        <w:rPr>
          <w:rStyle w:val="BodyTextChar3"/>
          <w:sz w:val="22"/>
          <w:szCs w:val="22"/>
          <w:lang w:val="fr-CA"/>
        </w:rPr>
        <w:t>absence de poissons &lt;25 cm ou &lt;10 dans les données de relevé de l</w:t>
      </w:r>
      <w:r w:rsidR="00AD78A9" w:rsidRPr="00AE6675">
        <w:rPr>
          <w:rStyle w:val="BodyTextChar3"/>
          <w:sz w:val="22"/>
          <w:szCs w:val="22"/>
          <w:lang w:val="fr-CA"/>
        </w:rPr>
        <w:t>’</w:t>
      </w:r>
      <w:r w:rsidRPr="00AE6675">
        <w:rPr>
          <w:rStyle w:val="BodyTextChar3"/>
          <w:sz w:val="22"/>
          <w:szCs w:val="22"/>
          <w:lang w:val="fr-CA"/>
        </w:rPr>
        <w:t xml:space="preserve">époque; </w:t>
      </w:r>
      <w:r w:rsidRPr="00AE6675">
        <w:rPr>
          <w:rStyle w:val="BodyTextChar3"/>
          <w:rFonts w:cs="Arial"/>
          <w:sz w:val="22"/>
          <w:szCs w:val="22"/>
          <w:lang w:val="fr-CA"/>
        </w:rPr>
        <w:fldChar w:fldCharType="begin"/>
      </w:r>
      <w:r w:rsidRPr="00AE6675">
        <w:rPr>
          <w:rStyle w:val="BodyTextChar3"/>
          <w:rFonts w:cs="Arial"/>
          <w:sz w:val="22"/>
          <w:szCs w:val="22"/>
          <w:lang w:val="fr-CA"/>
        </w:rPr>
        <w:instrText xml:space="preserve"> REF _Ref11674415 \h </w:instrText>
      </w:r>
      <w:r w:rsidR="00597041" w:rsidRPr="00AE6675">
        <w:rPr>
          <w:rStyle w:val="BodyTextChar3"/>
          <w:rFonts w:cs="Arial"/>
          <w:sz w:val="22"/>
          <w:szCs w:val="22"/>
          <w:lang w:val="fr-CA"/>
        </w:rPr>
        <w:instrText xml:space="preserve"> \* MERGEFORMAT </w:instrText>
      </w:r>
      <w:r w:rsidRPr="00AE6675">
        <w:rPr>
          <w:rStyle w:val="BodyTextChar3"/>
          <w:rFonts w:cs="Arial"/>
          <w:sz w:val="22"/>
          <w:szCs w:val="22"/>
          <w:lang w:val="fr-CA"/>
        </w:rPr>
      </w:r>
      <w:r w:rsidRPr="00AE6675">
        <w:rPr>
          <w:rStyle w:val="BodyTextChar3"/>
          <w:rFonts w:cs="Arial"/>
          <w:sz w:val="22"/>
          <w:szCs w:val="22"/>
          <w:lang w:val="fr-CA"/>
        </w:rPr>
        <w:fldChar w:fldCharType="separate"/>
      </w:r>
      <w:r w:rsidR="00031329" w:rsidRPr="00031329">
        <w:rPr>
          <w:rFonts w:cs="Arial"/>
          <w:lang w:val="fr-CA"/>
        </w:rPr>
        <w:t>Figure </w:t>
      </w:r>
      <w:r w:rsidR="00031329">
        <w:rPr>
          <w:rFonts w:cs="Arial"/>
          <w:lang w:val="fr-CA"/>
        </w:rPr>
        <w:t>16</w:t>
      </w:r>
      <w:r w:rsidRPr="00AE6675">
        <w:rPr>
          <w:rStyle w:val="BodyTextChar3"/>
          <w:rFonts w:cs="Arial"/>
          <w:sz w:val="22"/>
          <w:szCs w:val="22"/>
          <w:lang w:val="fr-CA"/>
        </w:rPr>
        <w:fldChar w:fldCharType="end"/>
      </w:r>
      <w:r w:rsidRPr="00AE6675">
        <w:rPr>
          <w:rStyle w:val="BodyTextChar3"/>
          <w:sz w:val="22"/>
          <w:szCs w:val="22"/>
          <w:lang w:val="fr-CA"/>
        </w:rPr>
        <w:t xml:space="preserve">) et ne reflète pas un changement réel de la dynamique de croissance du poisson; il a donc été exclu des calculs des paramètres de croissance. </w:t>
      </w:r>
    </w:p>
    <w:p w:rsidR="009A44FF" w:rsidRPr="00AE6675" w:rsidRDefault="009A44FF" w:rsidP="005943C5">
      <w:pPr>
        <w:pStyle w:val="BodyText"/>
        <w:rPr>
          <w:rStyle w:val="BodyTextChar3"/>
          <w:rFonts w:cs="Arial"/>
          <w:sz w:val="22"/>
          <w:szCs w:val="22"/>
          <w:lang w:val="fr-CA"/>
        </w:rPr>
      </w:pPr>
      <w:r w:rsidRPr="00AE6675">
        <w:rPr>
          <w:rStyle w:val="BodyTextChar3"/>
          <w:sz w:val="22"/>
          <w:szCs w:val="22"/>
          <w:lang w:val="fr-CA"/>
        </w:rPr>
        <w:t>Les paramètres de croissance définitifs pour tous les MO peuvent être fixés en deux étapes, destinées à refléter la perte des poissons plus âgés et des grands poissons plus jeunes ces dernières années (</w:t>
      </w:r>
      <w:r w:rsidRPr="00AE6675">
        <w:rPr>
          <w:rStyle w:val="BodyTextChar3"/>
          <w:rFonts w:cs="Arial"/>
          <w:b/>
          <w:i/>
          <w:sz w:val="22"/>
          <w:szCs w:val="22"/>
          <w:lang w:val="fr-CA"/>
        </w:rPr>
        <w:fldChar w:fldCharType="begin"/>
      </w:r>
      <w:r w:rsidRPr="00AE6675">
        <w:rPr>
          <w:rStyle w:val="BodyTextChar3"/>
          <w:rFonts w:cs="Arial"/>
          <w:sz w:val="22"/>
          <w:szCs w:val="22"/>
          <w:lang w:val="fr-CA"/>
        </w:rPr>
        <w:instrText xml:space="preserve"> REF _Ref11674713 \h </w:instrText>
      </w:r>
      <w:r w:rsidR="00597041" w:rsidRPr="00AE6675">
        <w:rPr>
          <w:rStyle w:val="BodyTextChar3"/>
          <w:rFonts w:cs="Arial"/>
          <w:b/>
          <w:i/>
          <w:sz w:val="22"/>
          <w:szCs w:val="22"/>
          <w:lang w:val="fr-CA"/>
        </w:rPr>
        <w:instrText xml:space="preserve"> \* MERGEFORMAT </w:instrText>
      </w:r>
      <w:r w:rsidRPr="00AE6675">
        <w:rPr>
          <w:rStyle w:val="BodyTextChar3"/>
          <w:rFonts w:cs="Arial"/>
          <w:b/>
          <w:i/>
          <w:sz w:val="22"/>
          <w:szCs w:val="22"/>
          <w:lang w:val="fr-CA"/>
        </w:rPr>
      </w:r>
      <w:r w:rsidRPr="00AE6675">
        <w:rPr>
          <w:rStyle w:val="BodyTextChar3"/>
          <w:rFonts w:cs="Arial"/>
          <w:b/>
          <w:i/>
          <w:sz w:val="22"/>
          <w:szCs w:val="22"/>
          <w:lang w:val="fr-CA"/>
        </w:rPr>
        <w:fldChar w:fldCharType="separate"/>
      </w:r>
      <w:r w:rsidR="00031329" w:rsidRPr="00031329">
        <w:rPr>
          <w:rFonts w:cs="Arial"/>
          <w:lang w:val="fr-CA"/>
        </w:rPr>
        <w:t>Tableau 4</w:t>
      </w:r>
      <w:r w:rsidRPr="00AE6675">
        <w:rPr>
          <w:rStyle w:val="BodyTextChar3"/>
          <w:rFonts w:cs="Arial"/>
          <w:b/>
          <w:i/>
          <w:sz w:val="22"/>
          <w:szCs w:val="22"/>
          <w:lang w:val="fr-CA"/>
        </w:rPr>
        <w:fldChar w:fldCharType="end"/>
      </w:r>
      <w:r w:rsidRPr="00AE6675">
        <w:rPr>
          <w:rStyle w:val="BodyTextChar3"/>
          <w:sz w:val="22"/>
          <w:szCs w:val="22"/>
          <w:lang w:val="fr-CA"/>
        </w:rPr>
        <w:t>), cette dernière étape étant appliquée aux analyses de prévision.</w:t>
      </w:r>
    </w:p>
    <w:p w:rsidR="005943C5" w:rsidRPr="005943C5" w:rsidRDefault="005943C5" w:rsidP="0025585E">
      <w:pPr>
        <w:pStyle w:val="Heading3"/>
      </w:pPr>
      <w:bookmarkStart w:id="9" w:name="_Toc44316229"/>
      <w:r>
        <w:t>Mortalité totale, naturelle et par pêche</w:t>
      </w:r>
      <w:bookmarkEnd w:id="9"/>
    </w:p>
    <w:p w:rsidR="009A44FF" w:rsidRPr="00AE6675" w:rsidRDefault="009A44FF" w:rsidP="005943C5">
      <w:pPr>
        <w:pStyle w:val="BodyText"/>
        <w:rPr>
          <w:rFonts w:cs="Arial"/>
          <w:lang w:val="fr-CA"/>
        </w:rPr>
      </w:pPr>
      <w:r w:rsidRPr="00AE6675">
        <w:rPr>
          <w:lang w:val="fr-CA"/>
        </w:rPr>
        <w:t>Le paramétrage de la mortalité naturelle (M) dans chaque MO peut être utilisé pour simuler l</w:t>
      </w:r>
      <w:r w:rsidR="00AD78A9" w:rsidRPr="00AE6675">
        <w:rPr>
          <w:lang w:val="fr-CA"/>
        </w:rPr>
        <w:t>’</w:t>
      </w:r>
      <w:r w:rsidRPr="00AE6675">
        <w:rPr>
          <w:lang w:val="fr-CA"/>
        </w:rPr>
        <w:t xml:space="preserve">une des deux causes de la disparité entre Z et relF, et mis en correspondance avec les changements des paramètres de la pression de la pêche, qui représentent la deuxième cause possible de la disparité. Pour commencer, il existe trois options de paramétrage de la dynamique M-F : </w:t>
      </w:r>
    </w:p>
    <w:p w:rsidR="009A44FF" w:rsidRPr="00AE6675" w:rsidRDefault="009A44FF" w:rsidP="005943C5">
      <w:pPr>
        <w:pStyle w:val="ListBullet"/>
        <w:rPr>
          <w:rFonts w:cs="Arial"/>
          <w:lang w:val="fr-CA"/>
        </w:rPr>
      </w:pPr>
      <w:r w:rsidRPr="00AE6675">
        <w:rPr>
          <w:lang w:val="fr-CA"/>
        </w:rPr>
        <w:t xml:space="preserve">MO </w:t>
      </w:r>
      <w:r w:rsidR="00AD78A9" w:rsidRPr="00AE6675">
        <w:rPr>
          <w:lang w:val="fr-CA"/>
        </w:rPr>
        <w:t>‘</w:t>
      </w:r>
      <w:r w:rsidRPr="00AE6675">
        <w:rPr>
          <w:lang w:val="fr-CA"/>
        </w:rPr>
        <w:t>_dM</w:t>
      </w:r>
      <w:r w:rsidR="00AD78A9" w:rsidRPr="00AE6675">
        <w:rPr>
          <w:lang w:val="fr-CA"/>
        </w:rPr>
        <w:t>’</w:t>
      </w:r>
      <w:r w:rsidRPr="00AE6675">
        <w:rPr>
          <w:lang w:val="fr-CA"/>
        </w:rPr>
        <w:t> : On suppose que les débarquements déclarés sont généralement exacts, tandis que la matrice M selon l</w:t>
      </w:r>
      <w:r w:rsidR="00AD78A9" w:rsidRPr="00AE6675">
        <w:rPr>
          <w:lang w:val="fr-CA"/>
        </w:rPr>
        <w:t>’</w:t>
      </w:r>
      <w:r w:rsidRPr="00AE6675">
        <w:rPr>
          <w:lang w:val="fr-CA"/>
        </w:rPr>
        <w:t>âge est définie de manière à s</w:t>
      </w:r>
      <w:r w:rsidR="00AD78A9" w:rsidRPr="00AE6675">
        <w:rPr>
          <w:lang w:val="fr-CA"/>
        </w:rPr>
        <w:t>’</w:t>
      </w:r>
      <w:r w:rsidRPr="00AE6675">
        <w:rPr>
          <w:lang w:val="fr-CA"/>
        </w:rPr>
        <w:t xml:space="preserve">ajuster dans le temps en fonction de la divergence entre Z et relF. </w:t>
      </w:r>
    </w:p>
    <w:p w:rsidR="009A44FF" w:rsidRPr="00AE6675" w:rsidRDefault="009A44FF" w:rsidP="005943C5">
      <w:pPr>
        <w:pStyle w:val="ListBullet"/>
        <w:rPr>
          <w:rFonts w:cs="Arial"/>
          <w:lang w:val="fr-CA"/>
        </w:rPr>
      </w:pPr>
      <w:r w:rsidRPr="00AE6675">
        <w:rPr>
          <w:lang w:val="fr-CA"/>
        </w:rPr>
        <w:t xml:space="preserve">MO </w:t>
      </w:r>
      <w:r w:rsidR="00AD78A9" w:rsidRPr="00AE6675">
        <w:rPr>
          <w:lang w:val="fr-CA"/>
        </w:rPr>
        <w:t>‘</w:t>
      </w:r>
      <w:r w:rsidRPr="00AE6675">
        <w:rPr>
          <w:lang w:val="fr-CA"/>
        </w:rPr>
        <w:t>_dF</w:t>
      </w:r>
      <w:r w:rsidR="00AD78A9" w:rsidRPr="00AE6675">
        <w:rPr>
          <w:lang w:val="fr-CA"/>
        </w:rPr>
        <w:t>’</w:t>
      </w:r>
      <w:r w:rsidRPr="00AE6675">
        <w:rPr>
          <w:lang w:val="fr-CA"/>
        </w:rPr>
        <w:t> : On suppose que la mortalité naturelle reste stable tout au long de la période de simulation et présente une faible variation annuelle réaliste, tandis que la pression de la pêche est ajustée pour tenir compte de l</w:t>
      </w:r>
      <w:r w:rsidR="00AD78A9" w:rsidRPr="00AE6675">
        <w:rPr>
          <w:lang w:val="fr-CA"/>
        </w:rPr>
        <w:t>’</w:t>
      </w:r>
      <w:r w:rsidRPr="00AE6675">
        <w:rPr>
          <w:lang w:val="fr-CA"/>
        </w:rPr>
        <w:t>augmentation de Z. Présentement, on simulera l</w:t>
      </w:r>
      <w:r w:rsidR="00AD78A9" w:rsidRPr="00AE6675">
        <w:rPr>
          <w:lang w:val="fr-CA"/>
        </w:rPr>
        <w:t>’</w:t>
      </w:r>
      <w:r w:rsidRPr="00AE6675">
        <w:rPr>
          <w:lang w:val="fr-CA"/>
        </w:rPr>
        <w:t xml:space="preserve">intensification de la pression de la pêche en augmentant les débarquements, ce qui suppose la même sélectivité que les flottilles canadiennes/américaines </w:t>
      </w:r>
      <w:r w:rsidRPr="00AE6675">
        <w:rPr>
          <w:lang w:val="fr-CA"/>
        </w:rPr>
        <w:lastRenderedPageBreak/>
        <w:t>combinées. Une autre option consiste à simuler un effet semblable à l</w:t>
      </w:r>
      <w:r w:rsidR="00AD78A9" w:rsidRPr="00AE6675">
        <w:rPr>
          <w:lang w:val="fr-CA"/>
        </w:rPr>
        <w:t>’</w:t>
      </w:r>
      <w:r w:rsidRPr="00AE6675">
        <w:rPr>
          <w:lang w:val="fr-CA"/>
        </w:rPr>
        <w:t>aide des paramètres de l</w:t>
      </w:r>
      <w:r w:rsidR="00AD78A9" w:rsidRPr="00AE6675">
        <w:rPr>
          <w:lang w:val="fr-CA"/>
        </w:rPr>
        <w:t>’</w:t>
      </w:r>
      <w:r w:rsidRPr="00AE6675">
        <w:rPr>
          <w:lang w:val="fr-CA"/>
        </w:rPr>
        <w:t>objet Observation (p. ex. Cobs)</w:t>
      </w:r>
      <w:r w:rsidR="00D10ADE" w:rsidRPr="00AE6675">
        <w:rPr>
          <w:lang w:val="fr-CA"/>
        </w:rPr>
        <w:t xml:space="preserve">. </w:t>
      </w:r>
    </w:p>
    <w:p w:rsidR="009A44FF" w:rsidRPr="00AE6675" w:rsidRDefault="009A44FF" w:rsidP="005943C5">
      <w:pPr>
        <w:pStyle w:val="ListBullet"/>
        <w:rPr>
          <w:rFonts w:cs="Arial"/>
          <w:lang w:val="fr-CA"/>
        </w:rPr>
      </w:pPr>
      <w:r w:rsidRPr="00AE6675">
        <w:rPr>
          <w:lang w:val="fr-CA"/>
        </w:rPr>
        <w:t xml:space="preserve">MO </w:t>
      </w:r>
      <w:r w:rsidR="00AD78A9" w:rsidRPr="00AE6675">
        <w:rPr>
          <w:lang w:val="fr-CA"/>
        </w:rPr>
        <w:t>‘</w:t>
      </w:r>
      <w:r w:rsidRPr="00AE6675">
        <w:rPr>
          <w:lang w:val="fr-CA"/>
        </w:rPr>
        <w:t>_dMF</w:t>
      </w:r>
      <w:r w:rsidR="00AD78A9" w:rsidRPr="00AE6675">
        <w:rPr>
          <w:lang w:val="fr-CA"/>
        </w:rPr>
        <w:t>’</w:t>
      </w:r>
      <w:r w:rsidRPr="00AE6675">
        <w:rPr>
          <w:lang w:val="fr-CA"/>
        </w:rPr>
        <w:t> : On ajuste la mortalité naturelle et les débarquements déclarés progressivement afin que leur effet combiné corresponde à la divergence entre Z et relF. Actuellement, les variations respectives de M et F représenteraient des proportions égales de l</w:t>
      </w:r>
      <w:r w:rsidR="00AD78A9" w:rsidRPr="00AE6675">
        <w:rPr>
          <w:lang w:val="fr-CA"/>
        </w:rPr>
        <w:t>’</w:t>
      </w:r>
      <w:r w:rsidRPr="00AE6675">
        <w:rPr>
          <w:lang w:val="fr-CA"/>
        </w:rPr>
        <w:t xml:space="preserve">augmentation, mais cette hypothèse peut être ajustée si des informations supplémentaires deviennent disponibles. </w:t>
      </w:r>
    </w:p>
    <w:p w:rsidR="00AF7E2A" w:rsidRPr="00AE6675" w:rsidRDefault="009A44FF" w:rsidP="005943C5">
      <w:pPr>
        <w:pStyle w:val="BodyText"/>
        <w:rPr>
          <w:rFonts w:cs="Arial"/>
          <w:lang w:val="fr-CA"/>
        </w:rPr>
      </w:pPr>
      <w:r w:rsidRPr="00AE6675">
        <w:rPr>
          <w:lang w:val="fr-CA"/>
        </w:rPr>
        <w:t xml:space="preserve">Les modèles opérationnels </w:t>
      </w:r>
      <w:r w:rsidR="00AD78A9" w:rsidRPr="00AE6675">
        <w:rPr>
          <w:lang w:val="fr-CA"/>
        </w:rPr>
        <w:t>‘</w:t>
      </w:r>
      <w:r w:rsidRPr="00AE6675">
        <w:rPr>
          <w:lang w:val="fr-CA"/>
        </w:rPr>
        <w:t>_dM</w:t>
      </w:r>
      <w:r w:rsidR="00AD78A9" w:rsidRPr="00AE6675">
        <w:rPr>
          <w:lang w:val="fr-CA"/>
        </w:rPr>
        <w:t>’</w:t>
      </w:r>
      <w:r w:rsidRPr="00AE6675">
        <w:rPr>
          <w:lang w:val="fr-CA"/>
        </w:rPr>
        <w:t xml:space="preserve"> et </w:t>
      </w:r>
      <w:r w:rsidR="00AD78A9" w:rsidRPr="00AE6675">
        <w:rPr>
          <w:lang w:val="fr-CA"/>
        </w:rPr>
        <w:t>‘</w:t>
      </w:r>
      <w:r w:rsidRPr="00AE6675">
        <w:rPr>
          <w:lang w:val="fr-CA"/>
        </w:rPr>
        <w:t>_dF</w:t>
      </w:r>
      <w:r w:rsidR="00AD78A9" w:rsidRPr="00AE6675">
        <w:rPr>
          <w:lang w:val="fr-CA"/>
        </w:rPr>
        <w:t>’</w:t>
      </w:r>
      <w:r w:rsidRPr="00AE6675">
        <w:rPr>
          <w:lang w:val="fr-CA"/>
        </w:rPr>
        <w:t xml:space="preserve"> sont considérés comme des cas extrêmes où la source de la disparité est entièrement attribuée à M ou à F. Bien que le modèle opérationnel </w:t>
      </w:r>
      <w:r w:rsidR="00AD78A9" w:rsidRPr="00AE6675">
        <w:rPr>
          <w:lang w:val="fr-CA"/>
        </w:rPr>
        <w:t>‘</w:t>
      </w:r>
      <w:r w:rsidRPr="00AE6675">
        <w:rPr>
          <w:lang w:val="fr-CA"/>
        </w:rPr>
        <w:t>_dMF</w:t>
      </w:r>
      <w:r w:rsidR="00AD78A9" w:rsidRPr="00AE6675">
        <w:rPr>
          <w:lang w:val="fr-CA"/>
        </w:rPr>
        <w:t>’</w:t>
      </w:r>
      <w:r w:rsidRPr="00AE6675">
        <w:rPr>
          <w:lang w:val="fr-CA"/>
        </w:rPr>
        <w:t xml:space="preserve"> suppose arbitrairement que M et F contribuent de manière égale à l</w:t>
      </w:r>
      <w:r w:rsidR="00AD78A9" w:rsidRPr="00AE6675">
        <w:rPr>
          <w:lang w:val="fr-CA"/>
        </w:rPr>
        <w:t>’</w:t>
      </w:r>
      <w:r w:rsidRPr="00AE6675">
        <w:rPr>
          <w:lang w:val="fr-CA"/>
        </w:rPr>
        <w:t>augmentation de Z, l</w:t>
      </w:r>
      <w:r w:rsidR="00AD78A9" w:rsidRPr="00AE6675">
        <w:rPr>
          <w:lang w:val="fr-CA"/>
        </w:rPr>
        <w:t>’</w:t>
      </w:r>
      <w:r w:rsidRPr="00AE6675">
        <w:rPr>
          <w:lang w:val="fr-CA"/>
        </w:rPr>
        <w:t xml:space="preserve">objectif de ce modèle opérationnel est de fournir un environnement de test entre les deux extrêmes pour les procédures de gestion, plutôt que de refléter avec précision les contributions de F et de M à la valeur totale de Z. </w:t>
      </w:r>
    </w:p>
    <w:p w:rsidR="005943C5" w:rsidRPr="005943C5" w:rsidRDefault="005943C5" w:rsidP="0025585E">
      <w:pPr>
        <w:pStyle w:val="Heading3"/>
      </w:pPr>
      <w:bookmarkStart w:id="10" w:name="_Toc44316230"/>
      <w:r>
        <w:t>Paramètres en suspens et considérations supplémentaires</w:t>
      </w:r>
      <w:bookmarkEnd w:id="10"/>
    </w:p>
    <w:p w:rsidR="00473DA7" w:rsidRPr="00AE6675" w:rsidRDefault="003127BE" w:rsidP="00564020">
      <w:pPr>
        <w:pStyle w:val="BodyText"/>
        <w:rPr>
          <w:rStyle w:val="BodyTextChar3"/>
          <w:sz w:val="22"/>
          <w:lang w:val="fr-CA"/>
        </w:rPr>
      </w:pPr>
      <w:r w:rsidRPr="00AE6675">
        <w:rPr>
          <w:rStyle w:val="BodyTextChar3"/>
          <w:sz w:val="22"/>
          <w:lang w:val="fr-CA"/>
        </w:rPr>
        <w:t>D</w:t>
      </w:r>
      <w:r w:rsidR="00AD78A9" w:rsidRPr="00AE6675">
        <w:rPr>
          <w:rStyle w:val="BodyTextChar3"/>
          <w:sz w:val="22"/>
          <w:lang w:val="fr-CA"/>
        </w:rPr>
        <w:t>’</w:t>
      </w:r>
      <w:r w:rsidRPr="00AE6675">
        <w:rPr>
          <w:rStyle w:val="BodyTextChar3"/>
          <w:sz w:val="22"/>
          <w:lang w:val="fr-CA"/>
        </w:rPr>
        <w:t>autres paramètres biologiques (maturité, relation longueur-poids) pour tous les MO peuvent être dérivés des données combinées des relevés. La sélectivité de la pêche était un paramètre dépendant du modèle dans les applications précédentes du DLMtool, mais il convient d</w:t>
      </w:r>
      <w:r w:rsidR="00AD78A9" w:rsidRPr="00AE6675">
        <w:rPr>
          <w:rStyle w:val="BodyTextChar3"/>
          <w:sz w:val="22"/>
          <w:lang w:val="fr-CA"/>
        </w:rPr>
        <w:t>’</w:t>
      </w:r>
      <w:r w:rsidRPr="00AE6675">
        <w:rPr>
          <w:rStyle w:val="BodyTextChar3"/>
          <w:sz w:val="22"/>
          <w:lang w:val="fr-CA"/>
        </w:rPr>
        <w:t>explorer les possibilités d</w:t>
      </w:r>
      <w:r w:rsidR="00AD78A9" w:rsidRPr="00AE6675">
        <w:rPr>
          <w:rStyle w:val="BodyTextChar3"/>
          <w:sz w:val="22"/>
          <w:lang w:val="fr-CA"/>
        </w:rPr>
        <w:t>’</w:t>
      </w:r>
      <w:r w:rsidRPr="00AE6675">
        <w:rPr>
          <w:rStyle w:val="BodyTextChar3"/>
          <w:sz w:val="22"/>
          <w:lang w:val="fr-CA"/>
        </w:rPr>
        <w:t>estimation indépendante du modèle.</w:t>
      </w:r>
    </w:p>
    <w:p w:rsidR="00567870" w:rsidRPr="00AE6675" w:rsidRDefault="000617EC" w:rsidP="00564020">
      <w:pPr>
        <w:pStyle w:val="BodyText"/>
        <w:rPr>
          <w:rStyle w:val="BodyTextChar3"/>
          <w:sz w:val="22"/>
          <w:szCs w:val="22"/>
          <w:lang w:val="fr-CA"/>
        </w:rPr>
      </w:pPr>
      <w:r w:rsidRPr="00AE6675">
        <w:rPr>
          <w:szCs w:val="22"/>
          <w:lang w:val="fr-CA"/>
        </w:rPr>
        <w:t>L</w:t>
      </w:r>
      <w:r w:rsidR="00AD78A9" w:rsidRPr="00AE6675">
        <w:rPr>
          <w:szCs w:val="22"/>
          <w:lang w:val="fr-CA"/>
        </w:rPr>
        <w:t>’</w:t>
      </w:r>
      <w:r w:rsidRPr="00AE6675">
        <w:rPr>
          <w:szCs w:val="22"/>
          <w:lang w:val="fr-CA"/>
        </w:rPr>
        <w:t xml:space="preserve">approche </w:t>
      </w:r>
      <w:r w:rsidRPr="00AE6675">
        <w:rPr>
          <w:rStyle w:val="BodyTextChar3"/>
          <w:sz w:val="22"/>
          <w:szCs w:val="22"/>
          <w:lang w:val="fr-CA"/>
        </w:rPr>
        <w:t>DLMtool cherche à simuler un éventail de dynamiques des populations et de pressions de la pêche dont on pense qu</w:t>
      </w:r>
      <w:r w:rsidR="00AD78A9" w:rsidRPr="00AE6675">
        <w:rPr>
          <w:rStyle w:val="BodyTextChar3"/>
          <w:sz w:val="22"/>
          <w:szCs w:val="22"/>
          <w:lang w:val="fr-CA"/>
        </w:rPr>
        <w:t>’</w:t>
      </w:r>
      <w:r w:rsidRPr="00AE6675">
        <w:rPr>
          <w:rStyle w:val="BodyTextChar3"/>
          <w:sz w:val="22"/>
          <w:szCs w:val="22"/>
          <w:lang w:val="fr-CA"/>
        </w:rPr>
        <w:t>elles touchent la morue de l</w:t>
      </w:r>
      <w:r w:rsidR="00AD78A9" w:rsidRPr="00AE6675">
        <w:rPr>
          <w:rStyle w:val="BodyTextChar3"/>
          <w:sz w:val="22"/>
          <w:szCs w:val="22"/>
          <w:lang w:val="fr-CA"/>
        </w:rPr>
        <w:t>’</w:t>
      </w:r>
      <w:r w:rsidRPr="00AE6675">
        <w:rPr>
          <w:rStyle w:val="BodyTextChar3"/>
          <w:sz w:val="22"/>
          <w:szCs w:val="22"/>
          <w:lang w:val="fr-CA"/>
        </w:rPr>
        <w:t>est du banc de Georges, et à tester les performances des méthodes provisoires de fourniture d</w:t>
      </w:r>
      <w:r w:rsidR="00AD78A9" w:rsidRPr="00AE6675">
        <w:rPr>
          <w:rStyle w:val="BodyTextChar3"/>
          <w:sz w:val="22"/>
          <w:szCs w:val="22"/>
          <w:lang w:val="fr-CA"/>
        </w:rPr>
        <w:t>’</w:t>
      </w:r>
      <w:r w:rsidRPr="00AE6675">
        <w:rPr>
          <w:rStyle w:val="BodyTextChar3"/>
          <w:sz w:val="22"/>
          <w:szCs w:val="22"/>
          <w:lang w:val="fr-CA"/>
        </w:rPr>
        <w:t>avis sur les prises par rapport à cette gamme d</w:t>
      </w:r>
      <w:r w:rsidR="00AD78A9" w:rsidRPr="00AE6675">
        <w:rPr>
          <w:rStyle w:val="BodyTextChar3"/>
          <w:sz w:val="22"/>
          <w:szCs w:val="22"/>
          <w:lang w:val="fr-CA"/>
        </w:rPr>
        <w:t>’</w:t>
      </w:r>
      <w:r w:rsidRPr="00AE6675">
        <w:rPr>
          <w:rStyle w:val="BodyTextChar3"/>
          <w:sz w:val="22"/>
          <w:szCs w:val="22"/>
          <w:lang w:val="fr-CA"/>
        </w:rPr>
        <w:t>incertitudes; elle n</w:t>
      </w:r>
      <w:r w:rsidR="00AD78A9" w:rsidRPr="00AE6675">
        <w:rPr>
          <w:rStyle w:val="BodyTextChar3"/>
          <w:sz w:val="22"/>
          <w:szCs w:val="22"/>
          <w:lang w:val="fr-CA"/>
        </w:rPr>
        <w:t>’</w:t>
      </w:r>
      <w:r w:rsidRPr="00AE6675">
        <w:rPr>
          <w:rStyle w:val="BodyTextChar3"/>
          <w:sz w:val="22"/>
          <w:szCs w:val="22"/>
          <w:lang w:val="fr-CA"/>
        </w:rPr>
        <w:t>est pas destinée à remplacer une évaluation des stocks, ni à évaluer les facteurs concurrents de la dynamique des stocks pour déterminer les plus probables. Bien que le DLMtool puisse mettre à l</w:t>
      </w:r>
      <w:r w:rsidR="00AD78A9" w:rsidRPr="00AE6675">
        <w:rPr>
          <w:rStyle w:val="BodyTextChar3"/>
          <w:sz w:val="22"/>
          <w:szCs w:val="22"/>
          <w:lang w:val="fr-CA"/>
        </w:rPr>
        <w:t>’</w:t>
      </w:r>
      <w:r w:rsidRPr="00AE6675">
        <w:rPr>
          <w:rStyle w:val="BodyTextChar3"/>
          <w:sz w:val="22"/>
          <w:szCs w:val="22"/>
          <w:lang w:val="fr-CA"/>
        </w:rPr>
        <w:t>essai plusieurs procédures de gestion simples par rapport à une gamme d</w:t>
      </w:r>
      <w:r w:rsidR="00AD78A9" w:rsidRPr="00AE6675">
        <w:rPr>
          <w:rStyle w:val="BodyTextChar3"/>
          <w:sz w:val="22"/>
          <w:szCs w:val="22"/>
          <w:lang w:val="fr-CA"/>
        </w:rPr>
        <w:t>’</w:t>
      </w:r>
      <w:r w:rsidRPr="00AE6675">
        <w:rPr>
          <w:rStyle w:val="BodyTextChar3"/>
          <w:sz w:val="22"/>
          <w:szCs w:val="22"/>
          <w:lang w:val="fr-CA"/>
        </w:rPr>
        <w:t>incertitudes dans les facteurs de la dynamique des stocks, il n</w:t>
      </w:r>
      <w:r w:rsidR="00AD78A9" w:rsidRPr="00AE6675">
        <w:rPr>
          <w:rStyle w:val="BodyTextChar3"/>
          <w:sz w:val="22"/>
          <w:szCs w:val="22"/>
          <w:lang w:val="fr-CA"/>
        </w:rPr>
        <w:t>’</w:t>
      </w:r>
      <w:r w:rsidRPr="00AE6675">
        <w:rPr>
          <w:rStyle w:val="BodyTextChar3"/>
          <w:sz w:val="22"/>
          <w:szCs w:val="22"/>
          <w:lang w:val="fr-CA"/>
        </w:rPr>
        <w:t>y a aucune garantie qu</w:t>
      </w:r>
      <w:r w:rsidR="00AD78A9" w:rsidRPr="00AE6675">
        <w:rPr>
          <w:rStyle w:val="BodyTextChar3"/>
          <w:sz w:val="22"/>
          <w:szCs w:val="22"/>
          <w:lang w:val="fr-CA"/>
        </w:rPr>
        <w:t>’</w:t>
      </w:r>
      <w:r w:rsidRPr="00AE6675">
        <w:rPr>
          <w:rStyle w:val="BodyTextChar3"/>
          <w:sz w:val="22"/>
          <w:szCs w:val="22"/>
          <w:lang w:val="fr-CA"/>
        </w:rPr>
        <w:t>il trouvera une procédure unique qui résiste à toute la gamme des incertitudes simulées. En outre, les conditions de l</w:t>
      </w:r>
      <w:r w:rsidR="00AD78A9" w:rsidRPr="00AE6675">
        <w:rPr>
          <w:rStyle w:val="BodyTextChar3"/>
          <w:sz w:val="22"/>
          <w:szCs w:val="22"/>
          <w:lang w:val="fr-CA"/>
        </w:rPr>
        <w:t>’</w:t>
      </w:r>
      <w:r w:rsidRPr="00AE6675">
        <w:rPr>
          <w:rStyle w:val="BodyTextChar3"/>
          <w:sz w:val="22"/>
          <w:szCs w:val="22"/>
          <w:lang w:val="fr-CA"/>
        </w:rPr>
        <w:t xml:space="preserve">évolution de la dynamique des populations peuvent influencer les points de référence traditionnels, de sorte que la Gestion des ressources doit examiner attentivement la nature des paramètres de performance choisis pour évaluer les procédures de gestion et y contribuer. </w:t>
      </w:r>
    </w:p>
    <w:p w:rsidR="00355820" w:rsidRPr="00AE6675" w:rsidRDefault="000617EC" w:rsidP="00564020">
      <w:pPr>
        <w:pStyle w:val="BodyText"/>
        <w:rPr>
          <w:rStyle w:val="BodyTextChar3"/>
          <w:rFonts w:cs="Arial"/>
          <w:sz w:val="22"/>
          <w:szCs w:val="22"/>
          <w:lang w:val="fr-CA"/>
        </w:rPr>
      </w:pPr>
      <w:r w:rsidRPr="00AE6675">
        <w:rPr>
          <w:rStyle w:val="BodyTextChar3"/>
          <w:sz w:val="22"/>
          <w:szCs w:val="22"/>
          <w:lang w:val="fr-CA"/>
        </w:rPr>
        <w:t>Ces considérations et d</w:t>
      </w:r>
      <w:r w:rsidR="00AD78A9" w:rsidRPr="00AE6675">
        <w:rPr>
          <w:rStyle w:val="BodyTextChar3"/>
          <w:sz w:val="22"/>
          <w:szCs w:val="22"/>
          <w:lang w:val="fr-CA"/>
        </w:rPr>
        <w:t>’</w:t>
      </w:r>
      <w:r w:rsidRPr="00AE6675">
        <w:rPr>
          <w:rStyle w:val="BodyTextChar3"/>
          <w:sz w:val="22"/>
          <w:szCs w:val="22"/>
          <w:lang w:val="fr-CA"/>
        </w:rPr>
        <w:t>autres considérations préliminaires concernant l</w:t>
      </w:r>
      <w:r w:rsidR="00AD78A9" w:rsidRPr="00AE6675">
        <w:rPr>
          <w:rStyle w:val="BodyTextChar3"/>
          <w:sz w:val="22"/>
          <w:szCs w:val="22"/>
          <w:lang w:val="fr-CA"/>
        </w:rPr>
        <w:t>’</w:t>
      </w:r>
      <w:r w:rsidRPr="00AE6675">
        <w:rPr>
          <w:rStyle w:val="BodyTextChar3"/>
          <w:sz w:val="22"/>
          <w:szCs w:val="22"/>
          <w:lang w:val="fr-CA"/>
        </w:rPr>
        <w:t>application de l</w:t>
      </w:r>
      <w:r w:rsidR="00AD78A9" w:rsidRPr="00AE6675">
        <w:rPr>
          <w:rStyle w:val="BodyTextChar3"/>
          <w:sz w:val="22"/>
          <w:szCs w:val="22"/>
          <w:lang w:val="fr-CA"/>
        </w:rPr>
        <w:t>’</w:t>
      </w:r>
      <w:r w:rsidRPr="00AE6675">
        <w:rPr>
          <w:rStyle w:val="BodyTextChar3"/>
          <w:sz w:val="22"/>
          <w:szCs w:val="22"/>
          <w:lang w:val="fr-CA"/>
        </w:rPr>
        <w:t>approche DLMtool à la morue de l</w:t>
      </w:r>
      <w:r w:rsidR="00AD78A9" w:rsidRPr="00AE6675">
        <w:rPr>
          <w:rStyle w:val="BodyTextChar3"/>
          <w:sz w:val="22"/>
          <w:szCs w:val="22"/>
          <w:lang w:val="fr-CA"/>
        </w:rPr>
        <w:t>’</w:t>
      </w:r>
      <w:r w:rsidRPr="00AE6675">
        <w:rPr>
          <w:rStyle w:val="BodyTextChar3"/>
          <w:sz w:val="22"/>
          <w:szCs w:val="22"/>
          <w:lang w:val="fr-CA"/>
        </w:rPr>
        <w:t>est du banc de Georges sont résumées dans le tableau ci</w:t>
      </w:r>
      <w:r w:rsidR="00EE52B0" w:rsidRPr="00AE6675">
        <w:rPr>
          <w:rStyle w:val="BodyTextChar3"/>
          <w:sz w:val="22"/>
          <w:szCs w:val="22"/>
          <w:lang w:val="fr-CA"/>
        </w:rPr>
        <w:noBreakHyphen/>
      </w:r>
      <w:r w:rsidRPr="00AE6675">
        <w:rPr>
          <w:rStyle w:val="BodyTextChar3"/>
          <w:sz w:val="22"/>
          <w:szCs w:val="22"/>
          <w:lang w:val="fr-CA"/>
        </w:rPr>
        <w:t>après :</w:t>
      </w:r>
    </w:p>
    <w:tbl>
      <w:tblPr>
        <w:tblStyle w:val="TableGrid"/>
        <w:tblW w:w="0" w:type="auto"/>
        <w:tblLook w:val="04A0" w:firstRow="1" w:lastRow="0" w:firstColumn="1" w:lastColumn="0" w:noHBand="0" w:noVBand="1"/>
      </w:tblPr>
      <w:tblGrid>
        <w:gridCol w:w="4671"/>
        <w:gridCol w:w="4679"/>
      </w:tblGrid>
      <w:tr w:rsidR="00405167" w:rsidRPr="00AE6675" w:rsidTr="00564020">
        <w:trPr>
          <w:tblHeader/>
        </w:trPr>
        <w:tc>
          <w:tcPr>
            <w:tcW w:w="4693" w:type="dxa"/>
          </w:tcPr>
          <w:p w:rsidR="005B302E" w:rsidRPr="00AE6675" w:rsidRDefault="005B302E" w:rsidP="005A72BE">
            <w:pPr>
              <w:rPr>
                <w:rFonts w:cs="Arial"/>
                <w:szCs w:val="22"/>
                <w:lang w:val="fr-CA"/>
              </w:rPr>
            </w:pPr>
            <w:r w:rsidRPr="00AE6675">
              <w:rPr>
                <w:szCs w:val="22"/>
                <w:lang w:val="fr-CA"/>
              </w:rPr>
              <w:t>Avantages</w:t>
            </w:r>
          </w:p>
        </w:tc>
        <w:tc>
          <w:tcPr>
            <w:tcW w:w="4702" w:type="dxa"/>
          </w:tcPr>
          <w:p w:rsidR="005B302E" w:rsidRPr="00AE6675" w:rsidRDefault="005B302E" w:rsidP="005A72BE">
            <w:pPr>
              <w:rPr>
                <w:rFonts w:cs="Arial"/>
                <w:szCs w:val="22"/>
                <w:lang w:val="fr-CA"/>
              </w:rPr>
            </w:pPr>
            <w:r w:rsidRPr="00AE6675">
              <w:rPr>
                <w:szCs w:val="22"/>
                <w:lang w:val="fr-CA"/>
              </w:rPr>
              <w:t>Inconvénients</w:t>
            </w:r>
          </w:p>
        </w:tc>
      </w:tr>
      <w:tr w:rsidR="00405167" w:rsidRPr="00AE6675" w:rsidTr="00FA1090">
        <w:tc>
          <w:tcPr>
            <w:tcW w:w="4693" w:type="dxa"/>
          </w:tcPr>
          <w:p w:rsidR="005B302E" w:rsidRPr="00AE6675" w:rsidRDefault="00C366D1" w:rsidP="00C366D1">
            <w:pPr>
              <w:rPr>
                <w:rFonts w:cs="Arial"/>
                <w:szCs w:val="22"/>
                <w:lang w:val="fr-CA"/>
              </w:rPr>
            </w:pPr>
            <w:r w:rsidRPr="00AE6675">
              <w:rPr>
                <w:szCs w:val="22"/>
                <w:lang w:val="fr-CA"/>
              </w:rPr>
              <w:t>Plateforme flexible et donc capable de prendre en compte une gamme d</w:t>
            </w:r>
            <w:r w:rsidR="00AD78A9" w:rsidRPr="00AE6675">
              <w:rPr>
                <w:szCs w:val="22"/>
                <w:lang w:val="fr-CA"/>
              </w:rPr>
              <w:t>’</w:t>
            </w:r>
            <w:r w:rsidRPr="00AE6675">
              <w:rPr>
                <w:szCs w:val="22"/>
                <w:lang w:val="fr-CA"/>
              </w:rPr>
              <w:t>incertitudes dans la dynamique des stocks.</w:t>
            </w:r>
          </w:p>
        </w:tc>
        <w:tc>
          <w:tcPr>
            <w:tcW w:w="4702" w:type="dxa"/>
          </w:tcPr>
          <w:p w:rsidR="005B302E" w:rsidRPr="00AE6675" w:rsidRDefault="001145EE" w:rsidP="001145EE">
            <w:pPr>
              <w:rPr>
                <w:rFonts w:cs="Arial"/>
                <w:szCs w:val="22"/>
                <w:lang w:val="fr-CA"/>
              </w:rPr>
            </w:pPr>
            <w:r w:rsidRPr="00AE6675">
              <w:rPr>
                <w:szCs w:val="22"/>
                <w:lang w:val="fr-CA"/>
              </w:rPr>
              <w:t>Le nombre de MO nécessaires pour couvrir toute la gamme d</w:t>
            </w:r>
            <w:r w:rsidR="00AD78A9" w:rsidRPr="00AE6675">
              <w:rPr>
                <w:szCs w:val="22"/>
                <w:lang w:val="fr-CA"/>
              </w:rPr>
              <w:t>’</w:t>
            </w:r>
            <w:r w:rsidRPr="00AE6675">
              <w:rPr>
                <w:szCs w:val="22"/>
                <w:lang w:val="fr-CA"/>
              </w:rPr>
              <w:t>incertitudes en jeu pourrait poser un problème de charge de travail.</w:t>
            </w:r>
          </w:p>
        </w:tc>
      </w:tr>
      <w:tr w:rsidR="00405167" w:rsidRPr="00AE6675" w:rsidTr="00FA1090">
        <w:tc>
          <w:tcPr>
            <w:tcW w:w="4693" w:type="dxa"/>
          </w:tcPr>
          <w:p w:rsidR="005B302E" w:rsidRPr="00AE6675" w:rsidRDefault="00FA1090" w:rsidP="00FA1090">
            <w:pPr>
              <w:rPr>
                <w:rFonts w:cs="Arial"/>
                <w:szCs w:val="22"/>
                <w:lang w:val="fr-CA"/>
              </w:rPr>
            </w:pPr>
            <w:r w:rsidRPr="00AE6675">
              <w:rPr>
                <w:szCs w:val="22"/>
                <w:lang w:val="fr-CA"/>
              </w:rPr>
              <w:lastRenderedPageBreak/>
              <w:t>Permet la spécification de PG personnalisées.</w:t>
            </w:r>
          </w:p>
        </w:tc>
        <w:tc>
          <w:tcPr>
            <w:tcW w:w="4702" w:type="dxa"/>
          </w:tcPr>
          <w:p w:rsidR="005B302E" w:rsidRPr="00AE6675" w:rsidRDefault="001145EE" w:rsidP="00405167">
            <w:pPr>
              <w:rPr>
                <w:rFonts w:cs="Arial"/>
                <w:szCs w:val="22"/>
                <w:lang w:val="fr-CA"/>
              </w:rPr>
            </w:pPr>
            <w:r w:rsidRPr="00AE6675">
              <w:rPr>
                <w:szCs w:val="22"/>
                <w:lang w:val="fr-CA"/>
              </w:rPr>
              <w:t>N</w:t>
            </w:r>
            <w:r w:rsidR="00AD78A9" w:rsidRPr="00AE6675">
              <w:rPr>
                <w:szCs w:val="22"/>
                <w:lang w:val="fr-CA"/>
              </w:rPr>
              <w:t>’</w:t>
            </w:r>
            <w:r w:rsidRPr="00AE6675">
              <w:rPr>
                <w:szCs w:val="22"/>
                <w:lang w:val="fr-CA"/>
              </w:rPr>
              <w:t>intègre pas de modèle d</w:t>
            </w:r>
            <w:r w:rsidR="00AD78A9" w:rsidRPr="00AE6675">
              <w:rPr>
                <w:szCs w:val="22"/>
                <w:lang w:val="fr-CA"/>
              </w:rPr>
              <w:t>’</w:t>
            </w:r>
            <w:r w:rsidRPr="00AE6675">
              <w:rPr>
                <w:szCs w:val="22"/>
                <w:lang w:val="fr-CA"/>
              </w:rPr>
              <w:t>évaluation des stocks, de sorte que les PG disponibles ont tendance à être des approches simples, fondées sur un indice.</w:t>
            </w:r>
          </w:p>
        </w:tc>
      </w:tr>
      <w:tr w:rsidR="00FA1090" w:rsidRPr="00AE6675" w:rsidTr="00FA1090">
        <w:tc>
          <w:tcPr>
            <w:tcW w:w="4693" w:type="dxa"/>
          </w:tcPr>
          <w:p w:rsidR="00FA1090" w:rsidRPr="00AE6675" w:rsidRDefault="00C366D1" w:rsidP="00C366D1">
            <w:pPr>
              <w:rPr>
                <w:rFonts w:cs="Arial"/>
                <w:szCs w:val="22"/>
                <w:lang w:val="fr-CA"/>
              </w:rPr>
            </w:pPr>
            <w:r w:rsidRPr="00AE6675">
              <w:rPr>
                <w:szCs w:val="22"/>
                <w:lang w:val="fr-CA"/>
              </w:rPr>
              <w:t>N</w:t>
            </w:r>
            <w:r w:rsidR="00AD78A9" w:rsidRPr="00AE6675">
              <w:rPr>
                <w:szCs w:val="22"/>
                <w:lang w:val="fr-CA"/>
              </w:rPr>
              <w:t>’</w:t>
            </w:r>
            <w:r w:rsidRPr="00AE6675">
              <w:rPr>
                <w:szCs w:val="22"/>
                <w:lang w:val="fr-CA"/>
              </w:rPr>
              <w:t xml:space="preserve">exige pas de retenir un seul point de vue </w:t>
            </w:r>
            <w:r w:rsidR="00AD78A9" w:rsidRPr="00AE6675">
              <w:rPr>
                <w:szCs w:val="22"/>
                <w:lang w:val="fr-CA"/>
              </w:rPr>
              <w:t>«</w:t>
            </w:r>
            <w:r w:rsidR="00A81A2C" w:rsidRPr="00AE6675">
              <w:rPr>
                <w:szCs w:val="22"/>
                <w:lang w:val="fr-CA"/>
              </w:rPr>
              <w:t> </w:t>
            </w:r>
            <w:r w:rsidRPr="00AE6675">
              <w:rPr>
                <w:szCs w:val="22"/>
                <w:lang w:val="fr-CA"/>
              </w:rPr>
              <w:t>correct</w:t>
            </w:r>
            <w:r w:rsidR="00A81A2C" w:rsidRPr="00AE6675">
              <w:rPr>
                <w:szCs w:val="22"/>
                <w:lang w:val="fr-CA"/>
              </w:rPr>
              <w:t> </w:t>
            </w:r>
            <w:r w:rsidR="00AD78A9" w:rsidRPr="00AE6675">
              <w:rPr>
                <w:szCs w:val="22"/>
                <w:lang w:val="fr-CA"/>
              </w:rPr>
              <w:t>»</w:t>
            </w:r>
            <w:r w:rsidRPr="00AE6675">
              <w:rPr>
                <w:szCs w:val="22"/>
                <w:lang w:val="fr-CA"/>
              </w:rPr>
              <w:t xml:space="preserve"> de la dynamique des stocks parmi les possibilités.</w:t>
            </w:r>
          </w:p>
        </w:tc>
        <w:tc>
          <w:tcPr>
            <w:tcW w:w="4702" w:type="dxa"/>
          </w:tcPr>
          <w:p w:rsidR="00FA1090" w:rsidRPr="00AE6675" w:rsidRDefault="00FA1090" w:rsidP="001145EE">
            <w:pPr>
              <w:rPr>
                <w:rFonts w:cs="Arial"/>
                <w:szCs w:val="22"/>
                <w:lang w:val="fr-CA"/>
              </w:rPr>
            </w:pPr>
            <w:r w:rsidRPr="00AE6675">
              <w:rPr>
                <w:szCs w:val="22"/>
                <w:lang w:val="fr-CA"/>
              </w:rPr>
              <w:t>N</w:t>
            </w:r>
            <w:r w:rsidR="00AD78A9" w:rsidRPr="00AE6675">
              <w:rPr>
                <w:szCs w:val="22"/>
                <w:lang w:val="fr-CA"/>
              </w:rPr>
              <w:t>’</w:t>
            </w:r>
            <w:r w:rsidRPr="00AE6675">
              <w:rPr>
                <w:szCs w:val="22"/>
                <w:lang w:val="fr-CA"/>
              </w:rPr>
              <w:t>évalue pas les points de vue concurrents sur la dynamique des stocks, et est donc incapable d</w:t>
            </w:r>
            <w:r w:rsidR="00AD78A9" w:rsidRPr="00AE6675">
              <w:rPr>
                <w:szCs w:val="22"/>
                <w:lang w:val="fr-CA"/>
              </w:rPr>
              <w:t>’</w:t>
            </w:r>
            <w:r w:rsidRPr="00AE6675">
              <w:rPr>
                <w:szCs w:val="22"/>
                <w:lang w:val="fr-CA"/>
              </w:rPr>
              <w:t xml:space="preserve">en relever un seul </w:t>
            </w:r>
            <w:r w:rsidR="00AD78A9" w:rsidRPr="00AE6675">
              <w:rPr>
                <w:szCs w:val="22"/>
                <w:lang w:val="fr-CA"/>
              </w:rPr>
              <w:t>«</w:t>
            </w:r>
            <w:r w:rsidR="00A81A2C" w:rsidRPr="00AE6675">
              <w:rPr>
                <w:szCs w:val="22"/>
                <w:lang w:val="fr-CA"/>
              </w:rPr>
              <w:t> </w:t>
            </w:r>
            <w:r w:rsidRPr="00AE6675">
              <w:rPr>
                <w:szCs w:val="22"/>
                <w:lang w:val="fr-CA"/>
              </w:rPr>
              <w:t>correct</w:t>
            </w:r>
            <w:r w:rsidR="00A81A2C" w:rsidRPr="00AE6675">
              <w:rPr>
                <w:szCs w:val="22"/>
                <w:lang w:val="fr-CA"/>
              </w:rPr>
              <w:t> </w:t>
            </w:r>
            <w:r w:rsidR="00AD78A9" w:rsidRPr="00AE6675">
              <w:rPr>
                <w:szCs w:val="22"/>
                <w:lang w:val="fr-CA"/>
              </w:rPr>
              <w:t>»</w:t>
            </w:r>
            <w:r w:rsidRPr="00AE6675">
              <w:rPr>
                <w:szCs w:val="22"/>
                <w:lang w:val="fr-CA"/>
              </w:rPr>
              <w:t>.</w:t>
            </w:r>
          </w:p>
        </w:tc>
      </w:tr>
      <w:tr w:rsidR="00FA1090" w:rsidRPr="00AE6675" w:rsidTr="00FA1090">
        <w:tc>
          <w:tcPr>
            <w:tcW w:w="4693" w:type="dxa"/>
          </w:tcPr>
          <w:p w:rsidR="00FA1090" w:rsidRPr="00AE6675" w:rsidRDefault="003C5E54" w:rsidP="001145EE">
            <w:pPr>
              <w:rPr>
                <w:rFonts w:cs="Arial"/>
                <w:szCs w:val="22"/>
                <w:lang w:val="fr-CA"/>
              </w:rPr>
            </w:pPr>
            <w:r w:rsidRPr="00AE6675">
              <w:rPr>
                <w:szCs w:val="22"/>
                <w:lang w:val="fr-CA"/>
              </w:rPr>
              <w:t>Intègre les contributions des Sciences et de la Gestion des ressources pour produire les PG possibles et les paramètres utilisés pour évaluer leurs performances.</w:t>
            </w:r>
          </w:p>
        </w:tc>
        <w:tc>
          <w:tcPr>
            <w:tcW w:w="4702" w:type="dxa"/>
          </w:tcPr>
          <w:p w:rsidR="00FA1090" w:rsidRPr="00AE6675" w:rsidRDefault="00FA1090" w:rsidP="001145EE">
            <w:pPr>
              <w:rPr>
                <w:rFonts w:cs="Arial"/>
                <w:szCs w:val="22"/>
                <w:lang w:val="fr-CA"/>
              </w:rPr>
            </w:pPr>
            <w:r w:rsidRPr="00AE6675">
              <w:rPr>
                <w:szCs w:val="22"/>
                <w:lang w:val="fr-CA"/>
              </w:rPr>
              <w:t>Risque de ne pas trouver de PG suffisamment résistantes aux incertitudes.</w:t>
            </w:r>
          </w:p>
        </w:tc>
      </w:tr>
      <w:tr w:rsidR="00FA1090" w:rsidRPr="00AE6675" w:rsidTr="00FA1090">
        <w:tc>
          <w:tcPr>
            <w:tcW w:w="4693" w:type="dxa"/>
          </w:tcPr>
          <w:p w:rsidR="00FA1090" w:rsidRPr="00AE6675" w:rsidRDefault="00FA1090" w:rsidP="00405167">
            <w:pPr>
              <w:rPr>
                <w:rFonts w:cs="Arial"/>
                <w:szCs w:val="22"/>
                <w:lang w:val="fr-CA"/>
              </w:rPr>
            </w:pPr>
          </w:p>
        </w:tc>
        <w:tc>
          <w:tcPr>
            <w:tcW w:w="4702" w:type="dxa"/>
          </w:tcPr>
          <w:p w:rsidR="00FA1090" w:rsidRPr="00AE6675" w:rsidRDefault="003C5E54" w:rsidP="003C5E54">
            <w:pPr>
              <w:rPr>
                <w:rFonts w:cs="Arial"/>
                <w:szCs w:val="22"/>
                <w:lang w:val="fr-CA"/>
              </w:rPr>
            </w:pPr>
            <w:r w:rsidRPr="00AE6675">
              <w:rPr>
                <w:szCs w:val="22"/>
                <w:lang w:val="fr-CA"/>
              </w:rPr>
              <w:t xml:space="preserve">Les hypothèses concernant des paramètres très influents peuvent se répercuter sur la pertinence de la simulation et entraîner des résultats variables pour le stock simulé. </w:t>
            </w:r>
          </w:p>
        </w:tc>
      </w:tr>
      <w:tr w:rsidR="00FA1090" w:rsidRPr="00AE6675" w:rsidTr="00FA1090">
        <w:tc>
          <w:tcPr>
            <w:tcW w:w="4693" w:type="dxa"/>
          </w:tcPr>
          <w:p w:rsidR="00FA1090" w:rsidRPr="00AE6675" w:rsidRDefault="00FA1090" w:rsidP="005A72BE">
            <w:pPr>
              <w:rPr>
                <w:rFonts w:cs="Arial"/>
                <w:szCs w:val="22"/>
                <w:lang w:val="fr-CA"/>
              </w:rPr>
            </w:pPr>
          </w:p>
        </w:tc>
        <w:tc>
          <w:tcPr>
            <w:tcW w:w="4702" w:type="dxa"/>
          </w:tcPr>
          <w:p w:rsidR="00FA1090" w:rsidRPr="00AE6675" w:rsidRDefault="00FA1090" w:rsidP="005A72BE">
            <w:pPr>
              <w:rPr>
                <w:rFonts w:cs="Arial"/>
                <w:szCs w:val="22"/>
                <w:lang w:val="fr-CA"/>
              </w:rPr>
            </w:pPr>
            <w:r w:rsidRPr="00AE6675">
              <w:rPr>
                <w:szCs w:val="22"/>
                <w:lang w:val="fr-CA"/>
              </w:rPr>
              <w:t>La nature du paramétrage propre à chaque cas peut limiter l</w:t>
            </w:r>
            <w:r w:rsidR="00AD78A9" w:rsidRPr="00AE6675">
              <w:rPr>
                <w:szCs w:val="22"/>
                <w:lang w:val="fr-CA"/>
              </w:rPr>
              <w:t>’</w:t>
            </w:r>
            <w:r w:rsidRPr="00AE6675">
              <w:rPr>
                <w:szCs w:val="22"/>
                <w:lang w:val="fr-CA"/>
              </w:rPr>
              <w:t>utilisation de certains paramètres de performance des PG.</w:t>
            </w:r>
          </w:p>
        </w:tc>
      </w:tr>
    </w:tbl>
    <w:p w:rsidR="00F72B69" w:rsidRPr="00AE6675" w:rsidRDefault="00F72B69" w:rsidP="005B596A">
      <w:pPr>
        <w:pStyle w:val="Heading1"/>
        <w:rPr>
          <w:lang w:val="fr-CA"/>
        </w:rPr>
      </w:pPr>
      <w:bookmarkStart w:id="11" w:name="_Toc44316231"/>
      <w:r w:rsidRPr="00AE6675">
        <w:rPr>
          <w:lang w:val="fr-CA"/>
        </w:rPr>
        <w:t>REFERENCES</w:t>
      </w:r>
      <w:r w:rsidR="00564020">
        <w:rPr>
          <w:lang w:val="fr-CA"/>
        </w:rPr>
        <w:t xml:space="preserve"> CIT</w:t>
      </w:r>
      <w:r w:rsidR="00564020" w:rsidRPr="00AE6675">
        <w:rPr>
          <w:szCs w:val="22"/>
          <w:lang w:val="fr-CA"/>
        </w:rPr>
        <w:t>é</w:t>
      </w:r>
      <w:r w:rsidR="00564020">
        <w:rPr>
          <w:lang w:val="fr-CA"/>
        </w:rPr>
        <w:t>ES</w:t>
      </w:r>
      <w:bookmarkEnd w:id="11"/>
    </w:p>
    <w:p w:rsidR="00E31965" w:rsidRPr="00AE6675" w:rsidRDefault="00E31965" w:rsidP="00564020">
      <w:pPr>
        <w:pStyle w:val="citation"/>
      </w:pPr>
      <w:r w:rsidRPr="00AE6675">
        <w:t>Andrushchenko, I., C.M. Legault, R. Martin</w:t>
      </w:r>
      <w:r w:rsidR="00D10ADE" w:rsidRPr="00AE6675">
        <w:t xml:space="preserve">, </w:t>
      </w:r>
      <w:r w:rsidRPr="00AE6675">
        <w:t>E.N. Brooks, and Y. Wang. 2018. Assessment of Eastern Georges Bank Atlantic Cod for 2018. TRAC Ref. Doc. 2018/01: 101p.</w:t>
      </w:r>
    </w:p>
    <w:p w:rsidR="00564020" w:rsidRPr="006771F2" w:rsidRDefault="00564020" w:rsidP="00564020">
      <w:pPr>
        <w:pStyle w:val="citation"/>
      </w:pPr>
      <w:r w:rsidRPr="00564020">
        <w:t>Barrett M., Legault C.M., Irvine F.,and Andrushchenko I. 2020. Data Update for Eastern Georges Bank Cod in 2019. TRAC Ref. Doc. 2019/03: 31p.</w:t>
      </w:r>
    </w:p>
    <w:p w:rsidR="00D43CD2" w:rsidRPr="00AE6675" w:rsidRDefault="0044003D" w:rsidP="00564020">
      <w:pPr>
        <w:pStyle w:val="citation"/>
      </w:pPr>
      <w:r w:rsidRPr="00AE6675">
        <w:t>Beverton R. J.H., Holt S.J. 1957. On the dynamics of exploited fish populations, Fishery Investigation Series II, Vol. XIX. UK. 533 pp.</w:t>
      </w:r>
    </w:p>
    <w:p w:rsidR="00AB7AFB" w:rsidRPr="00AE6675" w:rsidRDefault="0044003D" w:rsidP="00564020">
      <w:pPr>
        <w:pStyle w:val="citation"/>
      </w:pPr>
      <w:r w:rsidRPr="00AE6675">
        <w:t>Brooks, E.N., and K.J. Curran. 2016. Proceedings of the TRAC for Eastern Georges Bank Cod and Haddock, and Georges Bank Yellowtail Flounder. 2016/01.</w:t>
      </w:r>
    </w:p>
    <w:p w:rsidR="00E31965" w:rsidRPr="00AE6675" w:rsidRDefault="00E31965" w:rsidP="00564020">
      <w:pPr>
        <w:pStyle w:val="citation"/>
        <w:rPr>
          <w:rStyle w:val="Hyperlink"/>
          <w:lang w:val="fr-CA"/>
        </w:rPr>
      </w:pPr>
      <w:r w:rsidRPr="00AE6675">
        <w:t xml:space="preserve">Carruthers, T., and A. Hordyk. 2019. </w:t>
      </w:r>
      <w:hyperlink r:id="rId18" w:history="1">
        <w:r w:rsidRPr="00564020">
          <w:rPr>
            <w:rStyle w:val="Hyperlink"/>
            <w:lang w:val="fr-CA"/>
          </w:rPr>
          <w:t>Data-Limited Methods Toolkit (DLMtool 5.3) User Guide</w:t>
        </w:r>
      </w:hyperlink>
      <w:r w:rsidRPr="00AE6675">
        <w:t xml:space="preserve">. </w:t>
      </w:r>
    </w:p>
    <w:p w:rsidR="00597041" w:rsidRPr="00AE6675" w:rsidRDefault="008130E4" w:rsidP="00564020">
      <w:pPr>
        <w:pStyle w:val="citation"/>
      </w:pPr>
      <w:r w:rsidRPr="00AE6675">
        <w:t>Claytor, R., and L. O</w:t>
      </w:r>
      <w:r w:rsidR="00AD78A9" w:rsidRPr="00AE6675">
        <w:t>’</w:t>
      </w:r>
      <w:r w:rsidRPr="00AE6675">
        <w:t xml:space="preserve">Brien. 2013. </w:t>
      </w:r>
      <w:r w:rsidRPr="00564020">
        <w:rPr>
          <w:lang w:val="en-US"/>
        </w:rPr>
        <w:t>Transboundary Resources Assessment Committee Eastern</w:t>
      </w:r>
      <w:r w:rsidR="00564020" w:rsidRPr="00564020">
        <w:rPr>
          <w:lang w:val="en-US"/>
        </w:rPr>
        <w:t xml:space="preserve"> </w:t>
      </w:r>
      <w:r w:rsidRPr="00564020">
        <w:rPr>
          <w:lang w:val="en-US"/>
        </w:rPr>
        <w:t xml:space="preserve">Georges Bank cod benchmark assessment. </w:t>
      </w:r>
      <w:r w:rsidRPr="00AE6675">
        <w:t>TRAC Proceedings 2013/01.</w:t>
      </w:r>
    </w:p>
    <w:p w:rsidR="00597041" w:rsidRPr="00AE6675" w:rsidRDefault="00597041" w:rsidP="00564020">
      <w:pPr>
        <w:pStyle w:val="citation"/>
      </w:pPr>
      <w:r w:rsidRPr="00AE6675">
        <w:t>ICES. 2007. Report of the Working Group on Methods of Fish Stock Assessments (WGMG), 13–22 March 2007, Woods Hole, USA. ICES CM 2007/RMC:04. 145 pp.</w:t>
      </w:r>
    </w:p>
    <w:p w:rsidR="00E31965" w:rsidRPr="00AE6675" w:rsidRDefault="00AD5D8E" w:rsidP="00564020">
      <w:pPr>
        <w:pStyle w:val="citation"/>
      </w:pPr>
      <w:r w:rsidRPr="00AE6675">
        <w:t>Legault, C.M. and M.C. Palmer. 2016. In what direction should the fishing mortality target change when natural mortality increases within an assessment? Canadian Journal of Fisheries and Aquatic Sciences. 73: 349–357. doi:10.1139/cjfas-2015-0232</w:t>
      </w:r>
    </w:p>
    <w:p w:rsidR="00597041" w:rsidRPr="00AE6675" w:rsidRDefault="00597041" w:rsidP="00564020">
      <w:pPr>
        <w:pStyle w:val="citation"/>
      </w:pPr>
      <w:r w:rsidRPr="00AE6675">
        <w:t>Legault C.M., Chair. 2009. Report of the Retrospective Working Group, January 14–16, 2008, Woods Hole, Massachusetts. US Dept Commer, Northeast Fish Sci Cent Ref Doc. 09</w:t>
      </w:r>
      <w:r w:rsidRPr="00AE6675">
        <w:noBreakHyphen/>
        <w:t>01; 30 p. Available from: National Marine Fisheries Service, 166 Water Street, Woods Hole, MA 02543-1026, or online at http://www.nefsc.noaa.gov/nefsc/publications/</w:t>
      </w:r>
    </w:p>
    <w:p w:rsidR="008130E4" w:rsidRPr="00AE6675" w:rsidRDefault="008130E4" w:rsidP="00564020">
      <w:pPr>
        <w:pStyle w:val="citation"/>
        <w:rPr>
          <w:rFonts w:cs="Arial"/>
        </w:rPr>
      </w:pPr>
      <w:r w:rsidRPr="00AE6675">
        <w:lastRenderedPageBreak/>
        <w:t>Martin, R., C.M. Legault, Y. Wang, and E.N. Brooks. 2017. Assessment of Eastern Georges Bank Atlantic Cod for 2017. TRAC Ref. Doc. 2017/01: 112p.</w:t>
      </w:r>
    </w:p>
    <w:p w:rsidR="00597041" w:rsidRPr="00AE6675" w:rsidRDefault="00597041" w:rsidP="00564020">
      <w:pPr>
        <w:pStyle w:val="citation"/>
        <w:rPr>
          <w:rFonts w:cs="Arial"/>
        </w:rPr>
      </w:pPr>
      <w:r w:rsidRPr="00AE6675">
        <w:t>Northeast Fisheries Science Center (NEFSC). 2017a. 62nd Northeast Regional Stock Assessment Workshop (62nd SAW) Assessment Summary Report. US Dept Commer, Northeast Fish Sci Cent Ref Doc. 17-01; 37 p. doi: 10.7289/V5/RD-NEFSC-17-01.</w:t>
      </w:r>
    </w:p>
    <w:p w:rsidR="00597041" w:rsidRPr="00AE6675" w:rsidRDefault="00597041" w:rsidP="00564020">
      <w:pPr>
        <w:pStyle w:val="citation"/>
        <w:rPr>
          <w:rFonts w:cs="Arial"/>
        </w:rPr>
      </w:pPr>
      <w:r w:rsidRPr="00AE6675">
        <w:t>Northeast Fisheries Science Center (NEFSC). 2017b. 62nd Northeast Regional Stock Assessment Workshop (62nd SAW) Assessment Report. US Dept Commer, Northeast Fish Sci Cent Ref Doc. 17-03; 822 p. doi: 10.7289/V5/RD-NEFSC-17-03.</w:t>
      </w:r>
    </w:p>
    <w:p w:rsidR="00BF3C1C" w:rsidRPr="00AE6675" w:rsidRDefault="00BF3C1C" w:rsidP="00564020">
      <w:pPr>
        <w:pStyle w:val="citation"/>
        <w:rPr>
          <w:rFonts w:cs="Arial"/>
        </w:rPr>
      </w:pPr>
      <w:r w:rsidRPr="00AE6675">
        <w:t xml:space="preserve">Ricker, W. 1975. Computation and interpretation of biological statistics of fish populations. Technical Report Bulletin 191, Bulletin of the Fisheries Research Board of Canada. </w:t>
      </w:r>
    </w:p>
    <w:p w:rsidR="00597041" w:rsidRPr="00AE6675" w:rsidRDefault="0044003D" w:rsidP="00564020">
      <w:pPr>
        <w:pStyle w:val="citation"/>
        <w:rPr>
          <w:rFonts w:cs="Arial"/>
        </w:rPr>
      </w:pPr>
      <w:r w:rsidRPr="00AE6675">
        <w:t>Szuwalski, C.S. Ianelli, J.N. and Punt, Andre´ E. 2018. Reducing retrospective patterns in stock assessment and impacts on management performance. ICES Journal of Marine Science 75: 596–609. doi:10.1093/icesjms/fsx159.</w:t>
      </w:r>
    </w:p>
    <w:p w:rsidR="008130E4" w:rsidRPr="00AE6675" w:rsidRDefault="008130E4" w:rsidP="00564020">
      <w:pPr>
        <w:pStyle w:val="citation"/>
        <w:rPr>
          <w:rFonts w:cs="Arial"/>
        </w:rPr>
      </w:pPr>
      <w:r w:rsidRPr="00AE6675">
        <w:t>Wang, Y., and L. O</w:t>
      </w:r>
      <w:r w:rsidR="00AD78A9" w:rsidRPr="00AE6675">
        <w:t>’</w:t>
      </w:r>
      <w:r w:rsidRPr="00AE6675">
        <w:t>Brien. 2013b. 2013 Benchmark Assessment of Eastern Georges Bank Atlantic Cod. TRAC Ref. Doc. 2013/07</w:t>
      </w:r>
      <w:r w:rsidRPr="00AE6675">
        <w:rPr>
          <w:i/>
        </w:rPr>
        <w:t xml:space="preserve"> </w:t>
      </w:r>
      <w:r w:rsidRPr="00AE6675">
        <w:t>62 p.</w:t>
      </w:r>
      <w:r w:rsidRPr="00AE6675">
        <w:rPr>
          <w:i/>
        </w:rPr>
        <w:t xml:space="preserve"> </w:t>
      </w:r>
    </w:p>
    <w:p w:rsidR="00BC26F3" w:rsidRPr="00AE6675" w:rsidRDefault="00BC26F3">
      <w:pPr>
        <w:rPr>
          <w:b/>
          <w:bCs/>
          <w:lang w:val="fr-CA"/>
        </w:rPr>
      </w:pPr>
      <w:bookmarkStart w:id="12" w:name="_Ref434415577"/>
      <w:r w:rsidRPr="00AE6675">
        <w:rPr>
          <w:lang w:val="fr-CA"/>
        </w:rPr>
        <w:br w:type="page"/>
      </w:r>
    </w:p>
    <w:p w:rsidR="00ED4C90" w:rsidRPr="00AE6675" w:rsidRDefault="00ED4C90" w:rsidP="00821FD2">
      <w:pPr>
        <w:pStyle w:val="Heading1"/>
        <w:rPr>
          <w:lang w:val="fr-CA"/>
        </w:rPr>
      </w:pPr>
      <w:bookmarkStart w:id="13" w:name="_Toc44316232"/>
      <w:r w:rsidRPr="00AE6675">
        <w:rPr>
          <w:lang w:val="fr-CA"/>
        </w:rPr>
        <w:lastRenderedPageBreak/>
        <w:t>TABLEAUX</w:t>
      </w:r>
      <w:bookmarkEnd w:id="13"/>
    </w:p>
    <w:p w:rsidR="005A72BE" w:rsidRPr="00AE6675" w:rsidRDefault="005A72BE" w:rsidP="00564020">
      <w:pPr>
        <w:pStyle w:val="Caption-Table"/>
        <w:rPr>
          <w:rFonts w:cs="Arial"/>
        </w:rPr>
      </w:pPr>
      <w:bookmarkStart w:id="14" w:name="_Ref13037561"/>
      <w:r w:rsidRPr="00AE6675">
        <w:t>Tableau </w:t>
      </w:r>
      <w:r w:rsidRPr="00AE6675">
        <w:rPr>
          <w:rFonts w:cs="Arial"/>
        </w:rPr>
        <w:fldChar w:fldCharType="begin"/>
      </w:r>
      <w:r w:rsidRPr="00AE6675">
        <w:rPr>
          <w:rFonts w:cs="Arial"/>
        </w:rPr>
        <w:instrText xml:space="preserve"> SEQ Table \* ARABIC </w:instrText>
      </w:r>
      <w:r w:rsidRPr="00AE6675">
        <w:rPr>
          <w:rFonts w:cs="Arial"/>
        </w:rPr>
        <w:fldChar w:fldCharType="separate"/>
      </w:r>
      <w:r w:rsidR="00031329">
        <w:rPr>
          <w:rFonts w:cs="Arial"/>
          <w:noProof/>
        </w:rPr>
        <w:t>1</w:t>
      </w:r>
      <w:r w:rsidRPr="00AE6675">
        <w:rPr>
          <w:rFonts w:cs="Arial"/>
        </w:rPr>
        <w:fldChar w:fldCharType="end"/>
      </w:r>
      <w:bookmarkEnd w:id="14"/>
      <w:r w:rsidRPr="00AE6675">
        <w:t>. Rho de Mohn pour les récentes passes du PESA pour la morue et la plie grise de l</w:t>
      </w:r>
      <w:r w:rsidR="00AD78A9" w:rsidRPr="00AE6675">
        <w:t>’</w:t>
      </w:r>
      <w:r w:rsidRPr="00AE6675">
        <w:t>est du banc de Georges.</w:t>
      </w:r>
    </w:p>
    <w:tbl>
      <w:tblPr>
        <w:tblW w:w="5580" w:type="dxa"/>
        <w:jc w:val="center"/>
        <w:tblLook w:val="04A0" w:firstRow="1" w:lastRow="0" w:firstColumn="1" w:lastColumn="0" w:noHBand="0" w:noVBand="1"/>
      </w:tblPr>
      <w:tblGrid>
        <w:gridCol w:w="1660"/>
        <w:gridCol w:w="1960"/>
        <w:gridCol w:w="1960"/>
      </w:tblGrid>
      <w:tr w:rsidR="005A72BE" w:rsidRPr="00AE6675" w:rsidTr="005A72BE">
        <w:trPr>
          <w:trHeight w:val="300"/>
          <w:jc w:val="center"/>
        </w:trPr>
        <w:tc>
          <w:tcPr>
            <w:tcW w:w="1660" w:type="dxa"/>
            <w:tcBorders>
              <w:top w:val="nil"/>
              <w:left w:val="nil"/>
              <w:bottom w:val="single" w:sz="4" w:space="0" w:color="auto"/>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Paramètre</w:t>
            </w:r>
          </w:p>
        </w:tc>
        <w:tc>
          <w:tcPr>
            <w:tcW w:w="1960" w:type="dxa"/>
            <w:tcBorders>
              <w:top w:val="nil"/>
              <w:left w:val="nil"/>
              <w:bottom w:val="single" w:sz="4" w:space="0" w:color="auto"/>
              <w:right w:val="nil"/>
            </w:tcBorders>
            <w:shd w:val="clear" w:color="auto" w:fill="auto"/>
            <w:noWrap/>
            <w:vAlign w:val="bottom"/>
            <w:hideMark/>
          </w:tcPr>
          <w:p w:rsidR="005A72BE" w:rsidRPr="00AE6675" w:rsidRDefault="0044003D" w:rsidP="005A72BE">
            <w:pPr>
              <w:jc w:val="center"/>
              <w:rPr>
                <w:rFonts w:cs="Arial"/>
                <w:color w:val="000000"/>
                <w:sz w:val="20"/>
                <w:lang w:val="fr-CA"/>
              </w:rPr>
            </w:pPr>
            <w:r w:rsidRPr="00AE6675">
              <w:rPr>
                <w:color w:val="000000"/>
                <w:sz w:val="20"/>
                <w:lang w:val="fr-CA"/>
              </w:rPr>
              <w:t>Morue de l</w:t>
            </w:r>
            <w:r w:rsidR="00AD78A9" w:rsidRPr="00AE6675">
              <w:rPr>
                <w:color w:val="000000"/>
                <w:sz w:val="20"/>
                <w:lang w:val="fr-CA"/>
              </w:rPr>
              <w:t>’</w:t>
            </w:r>
            <w:r w:rsidRPr="00AE6675">
              <w:rPr>
                <w:color w:val="000000"/>
                <w:sz w:val="20"/>
                <w:lang w:val="fr-CA"/>
              </w:rPr>
              <w:t>est du banc de Georges</w:t>
            </w:r>
          </w:p>
        </w:tc>
        <w:tc>
          <w:tcPr>
            <w:tcW w:w="1960" w:type="dxa"/>
            <w:tcBorders>
              <w:top w:val="nil"/>
              <w:left w:val="nil"/>
              <w:bottom w:val="single" w:sz="4" w:space="0" w:color="auto"/>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Plie grise</w:t>
            </w:r>
          </w:p>
        </w:tc>
      </w:tr>
      <w:tr w:rsidR="005A72BE" w:rsidRPr="00AE6675"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F</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-0,41</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-0,46</w:t>
            </w:r>
          </w:p>
        </w:tc>
      </w:tr>
      <w:tr w:rsidR="005A72BE" w:rsidRPr="00AE6675"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BSR</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0,76</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0,64</w:t>
            </w:r>
          </w:p>
        </w:tc>
      </w:tr>
      <w:tr w:rsidR="005A72BE" w:rsidRPr="00AE6675"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Recrutement</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-0,31</w:t>
            </w:r>
          </w:p>
        </w:tc>
        <w:tc>
          <w:tcPr>
            <w:tcW w:w="196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0,39</w:t>
            </w:r>
          </w:p>
        </w:tc>
      </w:tr>
    </w:tbl>
    <w:p w:rsidR="005A72BE" w:rsidRPr="00AE6675" w:rsidRDefault="005A72BE" w:rsidP="00564020">
      <w:pPr>
        <w:pStyle w:val="Caption-Table"/>
        <w:rPr>
          <w:rFonts w:cs="Arial"/>
        </w:rPr>
      </w:pPr>
      <w:bookmarkStart w:id="15" w:name="_Ref13037779"/>
      <w:r w:rsidRPr="00AE6675">
        <w:t>Tableau </w:t>
      </w:r>
      <w:r w:rsidRPr="00AE6675">
        <w:rPr>
          <w:rFonts w:cs="Arial"/>
        </w:rPr>
        <w:fldChar w:fldCharType="begin"/>
      </w:r>
      <w:r w:rsidRPr="00AE6675">
        <w:rPr>
          <w:rFonts w:cs="Arial"/>
        </w:rPr>
        <w:instrText xml:space="preserve"> SEQ Table \* ARABIC </w:instrText>
      </w:r>
      <w:r w:rsidRPr="00AE6675">
        <w:rPr>
          <w:rFonts w:cs="Arial"/>
        </w:rPr>
        <w:fldChar w:fldCharType="separate"/>
      </w:r>
      <w:r w:rsidR="00031329">
        <w:rPr>
          <w:rFonts w:cs="Arial"/>
          <w:noProof/>
        </w:rPr>
        <w:t>2</w:t>
      </w:r>
      <w:r w:rsidRPr="00AE6675">
        <w:rPr>
          <w:rFonts w:cs="Arial"/>
        </w:rPr>
        <w:fldChar w:fldCharType="end"/>
      </w:r>
      <w:bookmarkEnd w:id="15"/>
      <w:r w:rsidRPr="00AE6675">
        <w:t>. Avis sur les prises (t) pour un éventail de scénarios possibles pour traiter le profil rétrospectif dans l</w:t>
      </w:r>
      <w:r w:rsidR="00AD78A9" w:rsidRPr="00AE6675">
        <w:t>’</w:t>
      </w:r>
      <w:r w:rsidRPr="00AE6675">
        <w:t>évaluation de la plie grise lors de la réunion d</w:t>
      </w:r>
      <w:r w:rsidR="00AD78A9" w:rsidRPr="00AE6675">
        <w:t>’</w:t>
      </w:r>
      <w:r w:rsidRPr="00AE6675">
        <w:t>évaluation des stocks 62. Les prises ajustées pour les scénarios qui utilisaient des multiplicateurs des prises divisent les prises projetées par le multiplicateur des prises pour ce scénario. Les prises ajustées pour les multiplicateurs de la mortalité naturelle ne changent pas parce que le taux de mortalité naturelle est appliqué dans les projections.</w:t>
      </w:r>
    </w:p>
    <w:tbl>
      <w:tblPr>
        <w:tblW w:w="6400" w:type="dxa"/>
        <w:jc w:val="center"/>
        <w:tblLook w:val="04A0" w:firstRow="1" w:lastRow="0" w:firstColumn="1" w:lastColumn="0" w:noHBand="0" w:noVBand="1"/>
      </w:tblPr>
      <w:tblGrid>
        <w:gridCol w:w="1995"/>
        <w:gridCol w:w="1205"/>
        <w:gridCol w:w="1600"/>
        <w:gridCol w:w="1600"/>
      </w:tblGrid>
      <w:tr w:rsidR="005A72BE" w:rsidRPr="00AE6675" w:rsidTr="00564020">
        <w:trPr>
          <w:trHeight w:val="300"/>
          <w:tblHeader/>
          <w:jc w:val="center"/>
        </w:trPr>
        <w:tc>
          <w:tcPr>
            <w:tcW w:w="1995" w:type="dxa"/>
            <w:tcBorders>
              <w:top w:val="nil"/>
              <w:left w:val="nil"/>
              <w:bottom w:val="single" w:sz="4" w:space="0" w:color="auto"/>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Source</w:t>
            </w:r>
          </w:p>
        </w:tc>
        <w:tc>
          <w:tcPr>
            <w:tcW w:w="1205" w:type="dxa"/>
            <w:tcBorders>
              <w:top w:val="nil"/>
              <w:left w:val="nil"/>
              <w:bottom w:val="single" w:sz="4" w:space="0" w:color="auto"/>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Année</w:t>
            </w:r>
          </w:p>
        </w:tc>
        <w:tc>
          <w:tcPr>
            <w:tcW w:w="1600" w:type="dxa"/>
            <w:tcBorders>
              <w:top w:val="nil"/>
              <w:left w:val="nil"/>
              <w:bottom w:val="single" w:sz="4" w:space="0" w:color="auto"/>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Prises</w:t>
            </w:r>
          </w:p>
        </w:tc>
        <w:tc>
          <w:tcPr>
            <w:tcW w:w="1600" w:type="dxa"/>
            <w:tcBorders>
              <w:top w:val="nil"/>
              <w:left w:val="nil"/>
              <w:bottom w:val="single" w:sz="4" w:space="0" w:color="auto"/>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Prises ajustées</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Base</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708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432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Base</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888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542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Base</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090</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666</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2000 x5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511</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302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2000 x5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w:t>
            </w:r>
            <w:r w:rsidR="00A81A2C" w:rsidRPr="00AE6675">
              <w:rPr>
                <w:color w:val="000000"/>
                <w:sz w:val="20"/>
                <w:lang w:val="fr-CA"/>
              </w:rPr>
              <w:t> </w:t>
            </w:r>
            <w:r w:rsidRPr="00AE6675">
              <w:rPr>
                <w:color w:val="000000"/>
                <w:sz w:val="20"/>
                <w:lang w:val="fr-CA"/>
              </w:rPr>
              <w:t>129</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426</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2000 x5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w:t>
            </w:r>
            <w:r w:rsidR="00A81A2C" w:rsidRPr="00AE6675">
              <w:rPr>
                <w:color w:val="000000"/>
                <w:sz w:val="20"/>
                <w:lang w:val="fr-CA"/>
              </w:rPr>
              <w:t> </w:t>
            </w:r>
            <w:r w:rsidRPr="00AE6675">
              <w:rPr>
                <w:color w:val="000000"/>
                <w:sz w:val="20"/>
                <w:lang w:val="fr-CA"/>
              </w:rPr>
              <w:t>757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551</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885</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295</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245</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415</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610</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537</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2010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666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266</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2010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949</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379</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2010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228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491</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âgés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715</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572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âgés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1</w:t>
            </w:r>
            <w:r w:rsidR="00A81A2C" w:rsidRPr="00AE6675">
              <w:rPr>
                <w:color w:val="000000"/>
                <w:sz w:val="20"/>
                <w:lang w:val="fr-CA"/>
              </w:rPr>
              <w:t> </w:t>
            </w:r>
            <w:r w:rsidRPr="00AE6675">
              <w:rPr>
                <w:color w:val="000000"/>
                <w:sz w:val="20"/>
                <w:lang w:val="fr-CA"/>
              </w:rPr>
              <w:t>886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629</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âgés 2005 x3</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w:t>
            </w:r>
            <w:r w:rsidR="00A81A2C" w:rsidRPr="00AE6675">
              <w:rPr>
                <w:color w:val="000000"/>
                <w:sz w:val="20"/>
                <w:lang w:val="fr-CA"/>
              </w:rPr>
              <w:t> </w:t>
            </w:r>
            <w:r w:rsidRPr="00AE6675">
              <w:rPr>
                <w:color w:val="000000"/>
                <w:sz w:val="20"/>
                <w:lang w:val="fr-CA"/>
              </w:rPr>
              <w:t>103</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701</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lastRenderedPageBreak/>
              <w:t>C jeunes</w:t>
            </w:r>
            <w:r w:rsidR="00A81A2C" w:rsidRPr="00AE6675">
              <w:rPr>
                <w:color w:val="000000"/>
                <w:sz w:val="20"/>
                <w:lang w:val="fr-CA"/>
              </w:rPr>
              <w:t> </w:t>
            </w:r>
            <w:r w:rsidRPr="00AE6675">
              <w:rPr>
                <w:color w:val="000000"/>
                <w:sz w:val="20"/>
                <w:lang w:val="fr-CA"/>
              </w:rPr>
              <w:t>2005 x2</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444</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222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jeunes</w:t>
            </w:r>
            <w:r w:rsidR="00A81A2C" w:rsidRPr="00AE6675">
              <w:rPr>
                <w:color w:val="000000"/>
                <w:sz w:val="20"/>
                <w:lang w:val="fr-CA"/>
              </w:rPr>
              <w:t> </w:t>
            </w:r>
            <w:r w:rsidRPr="00AE6675">
              <w:rPr>
                <w:color w:val="000000"/>
                <w:sz w:val="20"/>
                <w:lang w:val="fr-CA"/>
              </w:rPr>
              <w:t>2005 x2</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619</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309</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C jeunes</w:t>
            </w:r>
            <w:r w:rsidR="00A81A2C" w:rsidRPr="00AE6675">
              <w:rPr>
                <w:color w:val="000000"/>
                <w:sz w:val="20"/>
                <w:lang w:val="fr-CA"/>
              </w:rPr>
              <w:t> </w:t>
            </w:r>
            <w:r w:rsidRPr="00AE6675">
              <w:rPr>
                <w:color w:val="000000"/>
                <w:sz w:val="20"/>
                <w:lang w:val="fr-CA"/>
              </w:rPr>
              <w:t>2005 x2</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868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434</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525</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525</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601</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601</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2000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672</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672</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2005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406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406</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2005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467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467</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2005 x2,5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519</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519</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2010 x3,5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246</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246</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2010 x3,5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2017</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244</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244</w:t>
            </w:r>
          </w:p>
        </w:tc>
      </w:tr>
      <w:tr w:rsidR="005A72BE" w:rsidRPr="00AE6675"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AE6675" w:rsidRDefault="005A72BE" w:rsidP="005A72BE">
            <w:pPr>
              <w:rPr>
                <w:rFonts w:cs="Arial"/>
                <w:color w:val="000000"/>
                <w:sz w:val="20"/>
                <w:lang w:val="fr-CA"/>
              </w:rPr>
            </w:pPr>
            <w:r w:rsidRPr="00AE6675">
              <w:rPr>
                <w:color w:val="000000"/>
                <w:sz w:val="20"/>
                <w:lang w:val="fr-CA"/>
              </w:rPr>
              <w:t>M</w:t>
            </w:r>
            <w:r w:rsidR="00A81A2C" w:rsidRPr="00AE6675">
              <w:rPr>
                <w:color w:val="000000"/>
                <w:sz w:val="20"/>
                <w:lang w:val="fr-CA"/>
              </w:rPr>
              <w:t> </w:t>
            </w:r>
            <w:r w:rsidRPr="00AE6675">
              <w:rPr>
                <w:color w:val="000000"/>
                <w:sz w:val="20"/>
                <w:lang w:val="fr-CA"/>
              </w:rPr>
              <w:t>2010 x3,5</w:t>
            </w:r>
          </w:p>
        </w:tc>
        <w:tc>
          <w:tcPr>
            <w:tcW w:w="1205"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2018</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240</w:t>
            </w:r>
          </w:p>
        </w:tc>
        <w:tc>
          <w:tcPr>
            <w:tcW w:w="1600" w:type="dxa"/>
            <w:tcBorders>
              <w:top w:val="nil"/>
              <w:left w:val="nil"/>
              <w:bottom w:val="nil"/>
              <w:right w:val="nil"/>
            </w:tcBorders>
            <w:shd w:val="clear" w:color="auto" w:fill="auto"/>
            <w:noWrap/>
            <w:vAlign w:val="bottom"/>
            <w:hideMark/>
          </w:tcPr>
          <w:p w:rsidR="005A72BE" w:rsidRPr="00AE6675" w:rsidRDefault="005A72BE" w:rsidP="005A72BE">
            <w:pPr>
              <w:jc w:val="center"/>
              <w:rPr>
                <w:rFonts w:cs="Arial"/>
                <w:color w:val="000000"/>
                <w:sz w:val="20"/>
                <w:lang w:val="fr-CA"/>
              </w:rPr>
            </w:pPr>
            <w:r w:rsidRPr="00AE6675">
              <w:rPr>
                <w:color w:val="000000"/>
                <w:sz w:val="20"/>
                <w:lang w:val="fr-CA"/>
              </w:rPr>
              <w:t>240</w:t>
            </w:r>
          </w:p>
        </w:tc>
      </w:tr>
    </w:tbl>
    <w:p w:rsidR="005A72BE" w:rsidRPr="00AE6675" w:rsidRDefault="005A72BE" w:rsidP="005A72BE">
      <w:pPr>
        <w:rPr>
          <w:rFonts w:cs="Arial"/>
          <w:sz w:val="20"/>
          <w:lang w:val="fr-CA"/>
        </w:rPr>
      </w:pPr>
      <w:r w:rsidRPr="00AE6675">
        <w:rPr>
          <w:lang w:val="fr-CA"/>
        </w:rPr>
        <w:br w:type="page"/>
      </w:r>
    </w:p>
    <w:p w:rsidR="005E7D9B" w:rsidRPr="00AE6675" w:rsidRDefault="005E7D9B" w:rsidP="00564020">
      <w:pPr>
        <w:pStyle w:val="Caption-Table"/>
        <w:rPr>
          <w:rFonts w:cs="Arial"/>
          <w:u w:color="000000"/>
        </w:rPr>
      </w:pPr>
      <w:bookmarkStart w:id="16" w:name="_Ref11071434"/>
      <w:r w:rsidRPr="00AE6675">
        <w:rPr>
          <w:u w:color="000000"/>
        </w:rPr>
        <w:lastRenderedPageBreak/>
        <w:t>Tableau </w:t>
      </w:r>
      <w:r w:rsidRPr="00AE6675">
        <w:rPr>
          <w:rFonts w:cs="Arial"/>
          <w:u w:color="000000"/>
        </w:rPr>
        <w:fldChar w:fldCharType="begin"/>
      </w:r>
      <w:r w:rsidRPr="00AE6675">
        <w:rPr>
          <w:rFonts w:cs="Arial"/>
          <w:u w:color="000000"/>
        </w:rPr>
        <w:instrText xml:space="preserve"> SEQ Table \* ARABIC </w:instrText>
      </w:r>
      <w:r w:rsidRPr="00AE6675">
        <w:rPr>
          <w:rFonts w:cs="Arial"/>
          <w:u w:color="000000"/>
        </w:rPr>
        <w:fldChar w:fldCharType="separate"/>
      </w:r>
      <w:r w:rsidR="00031329">
        <w:rPr>
          <w:rFonts w:cs="Arial"/>
          <w:noProof/>
          <w:u w:color="000000"/>
        </w:rPr>
        <w:t>3</w:t>
      </w:r>
      <w:r w:rsidRPr="00AE6675">
        <w:rPr>
          <w:rFonts w:cs="Arial"/>
          <w:u w:color="000000"/>
        </w:rPr>
        <w:fldChar w:fldCharType="end"/>
      </w:r>
      <w:bookmarkEnd w:id="16"/>
      <w:r w:rsidRPr="00AE6675">
        <w:rPr>
          <w:u w:color="000000"/>
        </w:rPr>
        <w:t>. Estimations de l</w:t>
      </w:r>
      <w:r w:rsidR="00AD78A9" w:rsidRPr="00AE6675">
        <w:rPr>
          <w:u w:color="000000"/>
        </w:rPr>
        <w:t>’</w:t>
      </w:r>
      <w:r w:rsidRPr="00AE6675">
        <w:rPr>
          <w:u w:color="000000"/>
        </w:rPr>
        <w:t>affaissement relatif basées sur les trois séries de relevés disponibles. B</w:t>
      </w:r>
      <w:r w:rsidRPr="00AE6675">
        <w:rPr>
          <w:u w:color="000000"/>
          <w:vertAlign w:val="subscript"/>
        </w:rPr>
        <w:t>initial</w:t>
      </w:r>
      <w:r w:rsidRPr="00AE6675">
        <w:rPr>
          <w:u w:color="000000"/>
        </w:rPr>
        <w:t xml:space="preserve"> et B</w:t>
      </w:r>
      <w:r w:rsidRPr="00AE6675">
        <w:rPr>
          <w:u w:color="000000"/>
          <w:vertAlign w:val="subscript"/>
        </w:rPr>
        <w:t>final</w:t>
      </w:r>
      <w:r w:rsidRPr="00AE6675">
        <w:rPr>
          <w:u w:color="000000"/>
        </w:rPr>
        <w:t xml:space="preserve"> correspondent à la biomasse moyenne sur les périodes Y</w:t>
      </w:r>
      <w:r w:rsidRPr="00AE6675">
        <w:rPr>
          <w:u w:color="000000"/>
          <w:vertAlign w:val="subscript"/>
        </w:rPr>
        <w:t>initial</w:t>
      </w:r>
      <w:r w:rsidRPr="00AE6675">
        <w:rPr>
          <w:u w:color="000000"/>
        </w:rPr>
        <w:t xml:space="preserve"> et Y</w:t>
      </w:r>
      <w:r w:rsidRPr="00AE6675">
        <w:rPr>
          <w:u w:color="000000"/>
          <w:vertAlign w:val="subscript"/>
        </w:rPr>
        <w:t>final</w:t>
      </w:r>
      <w:r w:rsidRPr="00AE6675">
        <w:rPr>
          <w:u w:color="000000"/>
        </w:rPr>
        <w:t>, respectivement.</w:t>
      </w:r>
    </w:p>
    <w:tbl>
      <w:tblPr>
        <w:tblW w:w="7664" w:type="dxa"/>
        <w:jc w:val="center"/>
        <w:tblLook w:val="04A0" w:firstRow="1" w:lastRow="0" w:firstColumn="1" w:lastColumn="0" w:noHBand="0" w:noVBand="1"/>
      </w:tblPr>
      <w:tblGrid>
        <w:gridCol w:w="1052"/>
        <w:gridCol w:w="951"/>
        <w:gridCol w:w="1135"/>
        <w:gridCol w:w="1359"/>
        <w:gridCol w:w="973"/>
        <w:gridCol w:w="973"/>
        <w:gridCol w:w="1221"/>
      </w:tblGrid>
      <w:tr w:rsidR="00A71C6E" w:rsidRPr="00AE6675" w:rsidTr="00564020">
        <w:trPr>
          <w:trHeight w:val="106"/>
          <w:tblHeader/>
          <w:jc w:val="center"/>
        </w:trPr>
        <w:tc>
          <w:tcPr>
            <w:tcW w:w="1052" w:type="dxa"/>
            <w:tcBorders>
              <w:top w:val="single" w:sz="8" w:space="0" w:color="auto"/>
              <w:left w:val="nil"/>
              <w:bottom w:val="single" w:sz="8" w:space="0" w:color="auto"/>
              <w:right w:val="nil"/>
            </w:tcBorders>
            <w:shd w:val="clear" w:color="auto" w:fill="auto"/>
            <w:noWrap/>
            <w:vAlign w:val="bottom"/>
            <w:hideMark/>
          </w:tcPr>
          <w:p w:rsidR="00A71C6E" w:rsidRPr="00AE6675" w:rsidRDefault="005E7D9B" w:rsidP="00376B31">
            <w:pPr>
              <w:jc w:val="center"/>
              <w:rPr>
                <w:rFonts w:cs="Arial"/>
                <w:b/>
                <w:bCs/>
                <w:sz w:val="16"/>
                <w:szCs w:val="16"/>
                <w:lang w:val="fr-CA"/>
              </w:rPr>
            </w:pPr>
            <w:bookmarkStart w:id="17" w:name="_Ref516664529"/>
            <w:bookmarkEnd w:id="12"/>
            <w:r w:rsidRPr="00AE6675">
              <w:rPr>
                <w:b/>
                <w:bCs/>
                <w:sz w:val="16"/>
                <w:szCs w:val="16"/>
                <w:lang w:val="fr-CA"/>
              </w:rPr>
              <w:t>Organisme</w:t>
            </w:r>
          </w:p>
        </w:tc>
        <w:tc>
          <w:tcPr>
            <w:tcW w:w="951" w:type="dxa"/>
            <w:tcBorders>
              <w:top w:val="single" w:sz="8" w:space="0" w:color="auto"/>
              <w:left w:val="nil"/>
              <w:bottom w:val="single" w:sz="8" w:space="0" w:color="auto"/>
              <w:right w:val="nil"/>
            </w:tcBorders>
            <w:shd w:val="clear" w:color="auto" w:fill="auto"/>
            <w:noWrap/>
            <w:vAlign w:val="bottom"/>
            <w:hideMark/>
          </w:tcPr>
          <w:p w:rsidR="00A71C6E" w:rsidRPr="00AE6675" w:rsidRDefault="00A71C6E" w:rsidP="00376B31">
            <w:pPr>
              <w:jc w:val="center"/>
              <w:rPr>
                <w:rFonts w:cs="Arial"/>
                <w:b/>
                <w:bCs/>
                <w:sz w:val="16"/>
                <w:szCs w:val="16"/>
                <w:lang w:val="fr-CA"/>
              </w:rPr>
            </w:pPr>
            <w:r w:rsidRPr="00AE6675">
              <w:rPr>
                <w:b/>
                <w:bCs/>
                <w:sz w:val="16"/>
                <w:szCs w:val="16"/>
                <w:lang w:val="fr-CA"/>
              </w:rPr>
              <w:t>Saison</w:t>
            </w:r>
          </w:p>
        </w:tc>
        <w:tc>
          <w:tcPr>
            <w:tcW w:w="1135" w:type="dxa"/>
            <w:tcBorders>
              <w:top w:val="single" w:sz="8" w:space="0" w:color="auto"/>
              <w:left w:val="nil"/>
              <w:bottom w:val="single" w:sz="8" w:space="0" w:color="auto"/>
              <w:right w:val="nil"/>
            </w:tcBorders>
            <w:shd w:val="clear" w:color="auto" w:fill="auto"/>
            <w:noWrap/>
            <w:vAlign w:val="bottom"/>
            <w:hideMark/>
          </w:tcPr>
          <w:p w:rsidR="00A71C6E" w:rsidRPr="00AE6675" w:rsidRDefault="00A71C6E" w:rsidP="00376B31">
            <w:pPr>
              <w:jc w:val="center"/>
              <w:rPr>
                <w:rFonts w:cs="Arial"/>
                <w:b/>
                <w:bCs/>
                <w:sz w:val="16"/>
                <w:szCs w:val="16"/>
                <w:lang w:val="fr-CA"/>
              </w:rPr>
            </w:pPr>
            <w:r w:rsidRPr="00AE6675">
              <w:rPr>
                <w:b/>
                <w:bCs/>
                <w:sz w:val="16"/>
                <w:szCs w:val="16"/>
                <w:lang w:val="fr-CA"/>
              </w:rPr>
              <w:t>Y</w:t>
            </w:r>
            <w:r w:rsidRPr="00AE6675">
              <w:rPr>
                <w:b/>
                <w:bCs/>
                <w:sz w:val="16"/>
                <w:szCs w:val="16"/>
                <w:vertAlign w:val="subscript"/>
                <w:lang w:val="fr-CA"/>
              </w:rPr>
              <w:t>initial</w:t>
            </w:r>
          </w:p>
        </w:tc>
        <w:tc>
          <w:tcPr>
            <w:tcW w:w="1359" w:type="dxa"/>
            <w:tcBorders>
              <w:top w:val="single" w:sz="8" w:space="0" w:color="auto"/>
              <w:left w:val="nil"/>
              <w:bottom w:val="single" w:sz="8" w:space="0" w:color="auto"/>
              <w:right w:val="nil"/>
            </w:tcBorders>
            <w:shd w:val="clear" w:color="auto" w:fill="auto"/>
            <w:noWrap/>
            <w:vAlign w:val="bottom"/>
            <w:hideMark/>
          </w:tcPr>
          <w:p w:rsidR="00A71C6E" w:rsidRPr="00AE6675" w:rsidRDefault="00A71C6E" w:rsidP="00376B31">
            <w:pPr>
              <w:jc w:val="center"/>
              <w:rPr>
                <w:rFonts w:cs="Arial"/>
                <w:b/>
                <w:bCs/>
                <w:sz w:val="16"/>
                <w:szCs w:val="16"/>
                <w:lang w:val="fr-CA"/>
              </w:rPr>
            </w:pPr>
            <w:r w:rsidRPr="00AE6675">
              <w:rPr>
                <w:b/>
                <w:bCs/>
                <w:sz w:val="16"/>
                <w:szCs w:val="16"/>
                <w:lang w:val="fr-CA"/>
              </w:rPr>
              <w:t>Y</w:t>
            </w:r>
            <w:r w:rsidRPr="00AE6675">
              <w:rPr>
                <w:b/>
                <w:bCs/>
                <w:sz w:val="16"/>
                <w:szCs w:val="16"/>
                <w:vertAlign w:val="subscript"/>
                <w:lang w:val="fr-CA"/>
              </w:rPr>
              <w:t>final</w:t>
            </w:r>
          </w:p>
        </w:tc>
        <w:tc>
          <w:tcPr>
            <w:tcW w:w="973" w:type="dxa"/>
            <w:tcBorders>
              <w:top w:val="single" w:sz="8" w:space="0" w:color="auto"/>
              <w:left w:val="nil"/>
              <w:bottom w:val="single" w:sz="8" w:space="0" w:color="auto"/>
              <w:right w:val="nil"/>
            </w:tcBorders>
            <w:shd w:val="clear" w:color="auto" w:fill="auto"/>
            <w:noWrap/>
            <w:vAlign w:val="bottom"/>
            <w:hideMark/>
          </w:tcPr>
          <w:p w:rsidR="00A71C6E" w:rsidRPr="00AE6675" w:rsidRDefault="005E7D9B" w:rsidP="00376B31">
            <w:pPr>
              <w:jc w:val="center"/>
              <w:rPr>
                <w:rFonts w:cs="Arial"/>
                <w:b/>
                <w:bCs/>
                <w:sz w:val="16"/>
                <w:szCs w:val="16"/>
                <w:lang w:val="fr-CA"/>
              </w:rPr>
            </w:pPr>
            <w:r w:rsidRPr="00AE6675">
              <w:rPr>
                <w:b/>
                <w:bCs/>
                <w:sz w:val="16"/>
                <w:szCs w:val="16"/>
                <w:lang w:val="fr-CA"/>
              </w:rPr>
              <w:t>B</w:t>
            </w:r>
            <w:r w:rsidRPr="00AE6675">
              <w:rPr>
                <w:b/>
                <w:bCs/>
                <w:sz w:val="16"/>
                <w:szCs w:val="16"/>
                <w:vertAlign w:val="subscript"/>
                <w:lang w:val="fr-CA"/>
              </w:rPr>
              <w:t>initial</w:t>
            </w:r>
          </w:p>
        </w:tc>
        <w:tc>
          <w:tcPr>
            <w:tcW w:w="973" w:type="dxa"/>
            <w:tcBorders>
              <w:top w:val="single" w:sz="8" w:space="0" w:color="auto"/>
              <w:left w:val="nil"/>
              <w:bottom w:val="single" w:sz="8" w:space="0" w:color="auto"/>
              <w:right w:val="nil"/>
            </w:tcBorders>
            <w:shd w:val="clear" w:color="auto" w:fill="auto"/>
            <w:noWrap/>
            <w:vAlign w:val="bottom"/>
            <w:hideMark/>
          </w:tcPr>
          <w:p w:rsidR="00A71C6E" w:rsidRPr="00AE6675" w:rsidRDefault="005E7D9B" w:rsidP="00376B31">
            <w:pPr>
              <w:jc w:val="center"/>
              <w:rPr>
                <w:rFonts w:cs="Arial"/>
                <w:b/>
                <w:bCs/>
                <w:sz w:val="16"/>
                <w:szCs w:val="16"/>
                <w:lang w:val="fr-CA"/>
              </w:rPr>
            </w:pPr>
            <w:r w:rsidRPr="00AE6675">
              <w:rPr>
                <w:b/>
                <w:bCs/>
                <w:sz w:val="16"/>
                <w:szCs w:val="16"/>
                <w:lang w:val="fr-CA"/>
              </w:rPr>
              <w:t>B</w:t>
            </w:r>
            <w:r w:rsidRPr="00AE6675">
              <w:rPr>
                <w:b/>
                <w:bCs/>
                <w:sz w:val="16"/>
                <w:szCs w:val="16"/>
                <w:vertAlign w:val="subscript"/>
                <w:lang w:val="fr-CA"/>
              </w:rPr>
              <w:t>final</w:t>
            </w:r>
          </w:p>
        </w:tc>
        <w:tc>
          <w:tcPr>
            <w:tcW w:w="1221" w:type="dxa"/>
            <w:tcBorders>
              <w:top w:val="single" w:sz="8" w:space="0" w:color="auto"/>
              <w:left w:val="nil"/>
              <w:bottom w:val="single" w:sz="8" w:space="0" w:color="auto"/>
              <w:right w:val="nil"/>
            </w:tcBorders>
            <w:shd w:val="clear" w:color="auto" w:fill="auto"/>
            <w:noWrap/>
            <w:vAlign w:val="bottom"/>
            <w:hideMark/>
          </w:tcPr>
          <w:p w:rsidR="00A71C6E" w:rsidRPr="00AE6675" w:rsidRDefault="00A71C6E" w:rsidP="00376B31">
            <w:pPr>
              <w:jc w:val="center"/>
              <w:rPr>
                <w:rFonts w:cs="Arial"/>
                <w:b/>
                <w:bCs/>
                <w:sz w:val="16"/>
                <w:szCs w:val="16"/>
                <w:lang w:val="fr-CA"/>
              </w:rPr>
            </w:pPr>
            <w:r w:rsidRPr="00AE6675">
              <w:rPr>
                <w:b/>
                <w:bCs/>
                <w:sz w:val="16"/>
                <w:szCs w:val="16"/>
                <w:lang w:val="fr-CA"/>
              </w:rPr>
              <w:t>Affaissement</w:t>
            </w:r>
          </w:p>
        </w:tc>
      </w:tr>
      <w:tr w:rsidR="00A71C6E" w:rsidRPr="00AE6675" w:rsidTr="00564020">
        <w:trPr>
          <w:trHeight w:val="180"/>
          <w:jc w:val="center"/>
        </w:trPr>
        <w:tc>
          <w:tcPr>
            <w:tcW w:w="1052"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bCs/>
                <w:sz w:val="16"/>
                <w:szCs w:val="16"/>
                <w:lang w:val="fr-CA"/>
              </w:rPr>
            </w:pPr>
            <w:r w:rsidRPr="00AE6675">
              <w:rPr>
                <w:bCs/>
                <w:sz w:val="16"/>
                <w:szCs w:val="16"/>
                <w:lang w:val="fr-CA"/>
              </w:rPr>
              <w:t>MPO</w:t>
            </w:r>
          </w:p>
        </w:tc>
        <w:tc>
          <w:tcPr>
            <w:tcW w:w="951"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bCs/>
                <w:sz w:val="16"/>
                <w:szCs w:val="16"/>
                <w:lang w:val="fr-CA"/>
              </w:rPr>
            </w:pPr>
            <w:r w:rsidRPr="00AE6675">
              <w:rPr>
                <w:bCs/>
                <w:sz w:val="16"/>
                <w:szCs w:val="16"/>
                <w:lang w:val="fr-CA"/>
              </w:rPr>
              <w:t>Printemps</w:t>
            </w:r>
          </w:p>
        </w:tc>
        <w:tc>
          <w:tcPr>
            <w:tcW w:w="1135"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bCs/>
                <w:sz w:val="16"/>
                <w:szCs w:val="16"/>
                <w:lang w:val="fr-CA"/>
              </w:rPr>
            </w:pPr>
            <w:r w:rsidRPr="00AE6675">
              <w:rPr>
                <w:bCs/>
                <w:sz w:val="16"/>
                <w:szCs w:val="16"/>
                <w:lang w:val="fr-CA"/>
              </w:rPr>
              <w:t>1986–1990</w:t>
            </w:r>
          </w:p>
        </w:tc>
        <w:tc>
          <w:tcPr>
            <w:tcW w:w="1359"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bCs/>
                <w:sz w:val="16"/>
                <w:szCs w:val="16"/>
                <w:lang w:val="fr-CA"/>
              </w:rPr>
            </w:pPr>
            <w:r w:rsidRPr="00AE6675">
              <w:rPr>
                <w:bCs/>
                <w:sz w:val="16"/>
                <w:szCs w:val="16"/>
                <w:lang w:val="fr-CA"/>
              </w:rPr>
              <w:t>2015–2019</w:t>
            </w:r>
          </w:p>
        </w:tc>
        <w:tc>
          <w:tcPr>
            <w:tcW w:w="973"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bCs/>
                <w:sz w:val="16"/>
                <w:szCs w:val="16"/>
                <w:lang w:val="fr-CA"/>
              </w:rPr>
            </w:pPr>
            <w:r w:rsidRPr="00AE6675">
              <w:rPr>
                <w:bCs/>
                <w:sz w:val="16"/>
                <w:szCs w:val="16"/>
                <w:lang w:val="fr-CA"/>
              </w:rPr>
              <w:t>23</w:t>
            </w:r>
            <w:r w:rsidR="00A81A2C" w:rsidRPr="00AE6675">
              <w:rPr>
                <w:bCs/>
                <w:sz w:val="16"/>
                <w:szCs w:val="16"/>
                <w:lang w:val="fr-CA"/>
              </w:rPr>
              <w:t> </w:t>
            </w:r>
            <w:r w:rsidRPr="00AE6675">
              <w:rPr>
                <w:bCs/>
                <w:sz w:val="16"/>
                <w:szCs w:val="16"/>
                <w:lang w:val="fr-CA"/>
              </w:rPr>
              <w:t>624</w:t>
            </w:r>
          </w:p>
        </w:tc>
        <w:tc>
          <w:tcPr>
            <w:tcW w:w="973"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bCs/>
                <w:sz w:val="16"/>
                <w:szCs w:val="16"/>
                <w:lang w:val="fr-CA"/>
              </w:rPr>
            </w:pPr>
            <w:r w:rsidRPr="00AE6675">
              <w:rPr>
                <w:bCs/>
                <w:sz w:val="16"/>
                <w:szCs w:val="16"/>
                <w:lang w:val="fr-CA"/>
              </w:rPr>
              <w:t>6</w:t>
            </w:r>
            <w:r w:rsidR="00A81A2C" w:rsidRPr="00AE6675">
              <w:rPr>
                <w:bCs/>
                <w:sz w:val="16"/>
                <w:szCs w:val="16"/>
                <w:lang w:val="fr-CA"/>
              </w:rPr>
              <w:t> </w:t>
            </w:r>
            <w:r w:rsidRPr="00AE6675">
              <w:rPr>
                <w:bCs/>
                <w:sz w:val="16"/>
                <w:szCs w:val="16"/>
                <w:lang w:val="fr-CA"/>
              </w:rPr>
              <w:t>615</w:t>
            </w:r>
          </w:p>
        </w:tc>
        <w:tc>
          <w:tcPr>
            <w:tcW w:w="1221" w:type="dxa"/>
            <w:tcBorders>
              <w:top w:val="nil"/>
              <w:left w:val="nil"/>
              <w:bottom w:val="nil"/>
              <w:right w:val="nil"/>
            </w:tcBorders>
            <w:shd w:val="clear" w:color="auto" w:fill="auto"/>
            <w:noWrap/>
            <w:vAlign w:val="bottom"/>
            <w:hideMark/>
          </w:tcPr>
          <w:p w:rsidR="00A71C6E" w:rsidRPr="00AE6675" w:rsidRDefault="005E7D9B" w:rsidP="005B596A">
            <w:pPr>
              <w:jc w:val="center"/>
              <w:rPr>
                <w:rFonts w:cs="Arial"/>
                <w:bCs/>
                <w:sz w:val="16"/>
                <w:szCs w:val="16"/>
                <w:lang w:val="fr-CA"/>
              </w:rPr>
            </w:pPr>
            <w:r w:rsidRPr="00AE6675">
              <w:rPr>
                <w:bCs/>
                <w:sz w:val="16"/>
                <w:szCs w:val="16"/>
                <w:lang w:val="fr-CA"/>
              </w:rPr>
              <w:t>0,28</w:t>
            </w:r>
          </w:p>
        </w:tc>
      </w:tr>
      <w:tr w:rsidR="00A71C6E" w:rsidRPr="00AE6675" w:rsidTr="00564020">
        <w:trPr>
          <w:trHeight w:val="120"/>
          <w:jc w:val="center"/>
        </w:trPr>
        <w:tc>
          <w:tcPr>
            <w:tcW w:w="1052" w:type="dxa"/>
            <w:tcBorders>
              <w:top w:val="nil"/>
              <w:left w:val="nil"/>
              <w:bottom w:val="nil"/>
              <w:right w:val="nil"/>
            </w:tcBorders>
            <w:shd w:val="clear" w:color="auto" w:fill="auto"/>
            <w:noWrap/>
            <w:vAlign w:val="bottom"/>
            <w:hideMark/>
          </w:tcPr>
          <w:p w:rsidR="00A71C6E" w:rsidRPr="00AE6675" w:rsidRDefault="00A71C6E" w:rsidP="00A71C6E">
            <w:pPr>
              <w:jc w:val="center"/>
              <w:rPr>
                <w:rFonts w:cs="Arial"/>
                <w:sz w:val="16"/>
                <w:szCs w:val="16"/>
                <w:lang w:val="fr-CA"/>
              </w:rPr>
            </w:pPr>
            <w:r w:rsidRPr="00AE6675">
              <w:rPr>
                <w:sz w:val="16"/>
                <w:szCs w:val="16"/>
                <w:lang w:val="fr-CA"/>
              </w:rPr>
              <w:t xml:space="preserve">NMFS </w:t>
            </w:r>
          </w:p>
        </w:tc>
        <w:tc>
          <w:tcPr>
            <w:tcW w:w="951"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sz w:val="16"/>
                <w:szCs w:val="16"/>
                <w:lang w:val="fr-CA"/>
              </w:rPr>
            </w:pPr>
            <w:r w:rsidRPr="00AE6675">
              <w:rPr>
                <w:sz w:val="16"/>
                <w:szCs w:val="16"/>
                <w:lang w:val="fr-CA"/>
              </w:rPr>
              <w:t>Printemps</w:t>
            </w:r>
          </w:p>
        </w:tc>
        <w:tc>
          <w:tcPr>
            <w:tcW w:w="1135"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1978–1982</w:t>
            </w:r>
          </w:p>
        </w:tc>
        <w:tc>
          <w:tcPr>
            <w:tcW w:w="1359"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2015–2019</w:t>
            </w:r>
          </w:p>
        </w:tc>
        <w:tc>
          <w:tcPr>
            <w:tcW w:w="973"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33</w:t>
            </w:r>
            <w:r w:rsidR="00A81A2C" w:rsidRPr="00AE6675">
              <w:rPr>
                <w:sz w:val="16"/>
                <w:szCs w:val="16"/>
                <w:lang w:val="fr-CA"/>
              </w:rPr>
              <w:t> </w:t>
            </w:r>
            <w:r w:rsidRPr="00AE6675">
              <w:rPr>
                <w:sz w:val="16"/>
                <w:szCs w:val="16"/>
                <w:lang w:val="fr-CA"/>
              </w:rPr>
              <w:t>211</w:t>
            </w:r>
          </w:p>
        </w:tc>
        <w:tc>
          <w:tcPr>
            <w:tcW w:w="973"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5</w:t>
            </w:r>
            <w:r w:rsidR="00A81A2C" w:rsidRPr="00AE6675">
              <w:rPr>
                <w:sz w:val="16"/>
                <w:szCs w:val="16"/>
                <w:lang w:val="fr-CA"/>
              </w:rPr>
              <w:t> </w:t>
            </w:r>
            <w:r w:rsidRPr="00AE6675">
              <w:rPr>
                <w:sz w:val="16"/>
                <w:szCs w:val="16"/>
                <w:lang w:val="fr-CA"/>
              </w:rPr>
              <w:t>471</w:t>
            </w:r>
          </w:p>
        </w:tc>
        <w:tc>
          <w:tcPr>
            <w:tcW w:w="1221" w:type="dxa"/>
            <w:tcBorders>
              <w:top w:val="nil"/>
              <w:left w:val="nil"/>
              <w:bottom w:val="nil"/>
              <w:right w:val="nil"/>
            </w:tcBorders>
            <w:shd w:val="clear" w:color="auto" w:fill="auto"/>
            <w:noWrap/>
            <w:vAlign w:val="bottom"/>
            <w:hideMark/>
          </w:tcPr>
          <w:p w:rsidR="00A71C6E" w:rsidRPr="00AE6675" w:rsidRDefault="005E7D9B" w:rsidP="005B596A">
            <w:pPr>
              <w:jc w:val="center"/>
              <w:rPr>
                <w:rFonts w:cs="Arial"/>
                <w:sz w:val="16"/>
                <w:szCs w:val="16"/>
                <w:lang w:val="fr-CA"/>
              </w:rPr>
            </w:pPr>
            <w:r w:rsidRPr="00AE6675">
              <w:rPr>
                <w:sz w:val="16"/>
                <w:szCs w:val="16"/>
                <w:lang w:val="fr-CA"/>
              </w:rPr>
              <w:t>0,16</w:t>
            </w:r>
          </w:p>
        </w:tc>
      </w:tr>
      <w:tr w:rsidR="00A71C6E" w:rsidRPr="00AE6675" w:rsidTr="00564020">
        <w:trPr>
          <w:trHeight w:val="74"/>
          <w:jc w:val="center"/>
        </w:trPr>
        <w:tc>
          <w:tcPr>
            <w:tcW w:w="1052"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sz w:val="16"/>
                <w:szCs w:val="16"/>
                <w:lang w:val="fr-CA"/>
              </w:rPr>
            </w:pPr>
            <w:r w:rsidRPr="00AE6675">
              <w:rPr>
                <w:sz w:val="16"/>
                <w:szCs w:val="16"/>
                <w:lang w:val="fr-CA"/>
              </w:rPr>
              <w:t>NMFS</w:t>
            </w:r>
          </w:p>
        </w:tc>
        <w:tc>
          <w:tcPr>
            <w:tcW w:w="951" w:type="dxa"/>
            <w:tcBorders>
              <w:top w:val="nil"/>
              <w:left w:val="nil"/>
              <w:bottom w:val="nil"/>
              <w:right w:val="nil"/>
            </w:tcBorders>
            <w:shd w:val="clear" w:color="auto" w:fill="auto"/>
            <w:noWrap/>
            <w:vAlign w:val="bottom"/>
            <w:hideMark/>
          </w:tcPr>
          <w:p w:rsidR="00A71C6E" w:rsidRPr="00AE6675" w:rsidRDefault="00A71C6E" w:rsidP="00376B31">
            <w:pPr>
              <w:jc w:val="center"/>
              <w:rPr>
                <w:rFonts w:cs="Arial"/>
                <w:sz w:val="16"/>
                <w:szCs w:val="16"/>
                <w:lang w:val="fr-CA"/>
              </w:rPr>
            </w:pPr>
            <w:r w:rsidRPr="00AE6675">
              <w:rPr>
                <w:sz w:val="16"/>
                <w:szCs w:val="16"/>
                <w:lang w:val="fr-CA"/>
              </w:rPr>
              <w:t>Automne</w:t>
            </w:r>
          </w:p>
        </w:tc>
        <w:tc>
          <w:tcPr>
            <w:tcW w:w="1135"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1978–1982</w:t>
            </w:r>
          </w:p>
        </w:tc>
        <w:tc>
          <w:tcPr>
            <w:tcW w:w="1359"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2014–2018</w:t>
            </w:r>
          </w:p>
        </w:tc>
        <w:tc>
          <w:tcPr>
            <w:tcW w:w="973"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6</w:t>
            </w:r>
            <w:r w:rsidR="00A81A2C" w:rsidRPr="00AE6675">
              <w:rPr>
                <w:sz w:val="16"/>
                <w:szCs w:val="16"/>
                <w:lang w:val="fr-CA"/>
              </w:rPr>
              <w:t> </w:t>
            </w:r>
            <w:r w:rsidRPr="00AE6675">
              <w:rPr>
                <w:sz w:val="16"/>
                <w:szCs w:val="16"/>
                <w:lang w:val="fr-CA"/>
              </w:rPr>
              <w:t>753</w:t>
            </w:r>
          </w:p>
        </w:tc>
        <w:tc>
          <w:tcPr>
            <w:tcW w:w="973" w:type="dxa"/>
            <w:tcBorders>
              <w:top w:val="nil"/>
              <w:left w:val="nil"/>
              <w:bottom w:val="nil"/>
              <w:right w:val="nil"/>
            </w:tcBorders>
            <w:shd w:val="clear" w:color="auto" w:fill="auto"/>
            <w:noWrap/>
            <w:vAlign w:val="bottom"/>
            <w:hideMark/>
          </w:tcPr>
          <w:p w:rsidR="00A71C6E" w:rsidRPr="00AE6675" w:rsidRDefault="005E7D9B" w:rsidP="00376B31">
            <w:pPr>
              <w:jc w:val="center"/>
              <w:rPr>
                <w:rFonts w:cs="Arial"/>
                <w:sz w:val="16"/>
                <w:szCs w:val="16"/>
                <w:lang w:val="fr-CA"/>
              </w:rPr>
            </w:pPr>
            <w:r w:rsidRPr="00AE6675">
              <w:rPr>
                <w:sz w:val="16"/>
                <w:szCs w:val="16"/>
                <w:lang w:val="fr-CA"/>
              </w:rPr>
              <w:t>3</w:t>
            </w:r>
            <w:r w:rsidR="00A81A2C" w:rsidRPr="00AE6675">
              <w:rPr>
                <w:sz w:val="16"/>
                <w:szCs w:val="16"/>
                <w:lang w:val="fr-CA"/>
              </w:rPr>
              <w:t> </w:t>
            </w:r>
            <w:r w:rsidRPr="00AE6675">
              <w:rPr>
                <w:sz w:val="16"/>
                <w:szCs w:val="16"/>
                <w:lang w:val="fr-CA"/>
              </w:rPr>
              <w:t>047</w:t>
            </w:r>
          </w:p>
        </w:tc>
        <w:tc>
          <w:tcPr>
            <w:tcW w:w="1221" w:type="dxa"/>
            <w:tcBorders>
              <w:top w:val="nil"/>
              <w:left w:val="nil"/>
              <w:bottom w:val="nil"/>
              <w:right w:val="nil"/>
            </w:tcBorders>
            <w:shd w:val="clear" w:color="auto" w:fill="auto"/>
            <w:noWrap/>
            <w:vAlign w:val="bottom"/>
            <w:hideMark/>
          </w:tcPr>
          <w:p w:rsidR="00A71C6E" w:rsidRPr="00AE6675" w:rsidRDefault="005E7D9B" w:rsidP="005B596A">
            <w:pPr>
              <w:jc w:val="center"/>
              <w:rPr>
                <w:rFonts w:cs="Arial"/>
                <w:sz w:val="16"/>
                <w:szCs w:val="16"/>
                <w:lang w:val="fr-CA"/>
              </w:rPr>
            </w:pPr>
            <w:r w:rsidRPr="00AE6675">
              <w:rPr>
                <w:sz w:val="16"/>
                <w:szCs w:val="16"/>
                <w:lang w:val="fr-CA"/>
              </w:rPr>
              <w:t>0,45</w:t>
            </w:r>
          </w:p>
        </w:tc>
      </w:tr>
    </w:tbl>
    <w:p w:rsidR="00A71C6E" w:rsidRPr="00AE6675" w:rsidRDefault="00711E52" w:rsidP="00564020">
      <w:pPr>
        <w:pStyle w:val="Caption-Table"/>
        <w:rPr>
          <w:rFonts w:cs="Arial"/>
          <w:szCs w:val="18"/>
        </w:rPr>
      </w:pPr>
      <w:bookmarkStart w:id="18" w:name="_Ref11674713"/>
      <w:bookmarkStart w:id="19" w:name="_Ref11674691"/>
      <w:r w:rsidRPr="00AE6675">
        <w:t>Tableau </w:t>
      </w:r>
      <w:r w:rsidR="00343416" w:rsidRPr="00AE6675">
        <w:rPr>
          <w:rFonts w:cs="Arial"/>
        </w:rPr>
        <w:fldChar w:fldCharType="begin"/>
      </w:r>
      <w:r w:rsidR="00343416" w:rsidRPr="00AE6675">
        <w:rPr>
          <w:rFonts w:cs="Arial"/>
        </w:rPr>
        <w:instrText xml:space="preserve"> SEQ Table \* ARABIC </w:instrText>
      </w:r>
      <w:r w:rsidR="00343416" w:rsidRPr="00AE6675">
        <w:rPr>
          <w:rFonts w:cs="Arial"/>
        </w:rPr>
        <w:fldChar w:fldCharType="separate"/>
      </w:r>
      <w:r w:rsidR="00031329">
        <w:rPr>
          <w:rFonts w:cs="Arial"/>
          <w:noProof/>
        </w:rPr>
        <w:t>4</w:t>
      </w:r>
      <w:r w:rsidR="00343416" w:rsidRPr="00AE6675">
        <w:rPr>
          <w:rFonts w:cs="Arial"/>
        </w:rPr>
        <w:fldChar w:fldCharType="end"/>
      </w:r>
      <w:bookmarkEnd w:id="18"/>
      <w:r w:rsidRPr="00AE6675">
        <w:t xml:space="preserve">. </w:t>
      </w:r>
      <w:r w:rsidRPr="00AE6675">
        <w:rPr>
          <w:u w:color="000000"/>
        </w:rPr>
        <w:t>Paramètres de croissance utilisés dans tous les modèles opérationnels. Y_Derived fait référence aux années des données de relevé utilisées dans le calcul; Y_Applied fait référence aux années auxquelles le paramètre s</w:t>
      </w:r>
      <w:r w:rsidR="00AD78A9" w:rsidRPr="00AE6675">
        <w:rPr>
          <w:u w:color="000000"/>
        </w:rPr>
        <w:t>’</w:t>
      </w:r>
      <w:r w:rsidRPr="00AE6675">
        <w:rPr>
          <w:u w:color="000000"/>
        </w:rPr>
        <w:t>applique dans la simulation.</w:t>
      </w:r>
      <w:bookmarkEnd w:id="19"/>
    </w:p>
    <w:tbl>
      <w:tblPr>
        <w:tblW w:w="5857" w:type="dxa"/>
        <w:jc w:val="center"/>
        <w:tblLook w:val="04A0" w:firstRow="1" w:lastRow="0" w:firstColumn="1" w:lastColumn="0" w:noHBand="0" w:noVBand="1"/>
      </w:tblPr>
      <w:tblGrid>
        <w:gridCol w:w="1067"/>
        <w:gridCol w:w="1167"/>
        <w:gridCol w:w="1067"/>
        <w:gridCol w:w="1492"/>
        <w:gridCol w:w="1328"/>
      </w:tblGrid>
      <w:tr w:rsidR="00711E52" w:rsidRPr="00AE6675" w:rsidTr="00564020">
        <w:trPr>
          <w:trHeight w:val="106"/>
          <w:tblHeader/>
          <w:jc w:val="center"/>
        </w:trPr>
        <w:tc>
          <w:tcPr>
            <w:tcW w:w="973" w:type="dxa"/>
            <w:tcBorders>
              <w:top w:val="single" w:sz="8" w:space="0" w:color="auto"/>
              <w:left w:val="nil"/>
              <w:bottom w:val="single" w:sz="8" w:space="0" w:color="auto"/>
              <w:right w:val="nil"/>
            </w:tcBorders>
            <w:shd w:val="clear" w:color="auto" w:fill="auto"/>
            <w:noWrap/>
            <w:vAlign w:val="bottom"/>
            <w:hideMark/>
          </w:tcPr>
          <w:p w:rsidR="00711E52" w:rsidRPr="00AE6675" w:rsidRDefault="00711E52" w:rsidP="00E56A20">
            <w:pPr>
              <w:jc w:val="center"/>
              <w:rPr>
                <w:rFonts w:cs="Arial"/>
                <w:b/>
                <w:bCs/>
                <w:sz w:val="18"/>
                <w:szCs w:val="16"/>
                <w:lang w:val="fr-CA"/>
              </w:rPr>
            </w:pPr>
            <w:r w:rsidRPr="00AE6675">
              <w:rPr>
                <w:b/>
                <w:bCs/>
                <w:sz w:val="18"/>
                <w:szCs w:val="16"/>
                <w:lang w:val="fr-CA"/>
              </w:rPr>
              <w:t>L</w:t>
            </w:r>
            <w:r w:rsidRPr="00AE6675">
              <w:rPr>
                <w:b/>
                <w:bCs/>
                <w:sz w:val="18"/>
                <w:szCs w:val="16"/>
                <w:vertAlign w:val="subscript"/>
                <w:lang w:val="fr-CA"/>
              </w:rPr>
              <w:t>inf</w:t>
            </w:r>
          </w:p>
        </w:tc>
        <w:tc>
          <w:tcPr>
            <w:tcW w:w="1062" w:type="dxa"/>
            <w:tcBorders>
              <w:top w:val="single" w:sz="8" w:space="0" w:color="auto"/>
              <w:left w:val="nil"/>
              <w:bottom w:val="single" w:sz="8" w:space="0" w:color="auto"/>
              <w:right w:val="nil"/>
            </w:tcBorders>
            <w:shd w:val="clear" w:color="auto" w:fill="auto"/>
            <w:noWrap/>
            <w:vAlign w:val="bottom"/>
            <w:hideMark/>
          </w:tcPr>
          <w:p w:rsidR="00711E52" w:rsidRPr="00AE6675" w:rsidRDefault="00711E52" w:rsidP="00E56A20">
            <w:pPr>
              <w:jc w:val="center"/>
              <w:rPr>
                <w:rFonts w:cs="Arial"/>
                <w:b/>
                <w:bCs/>
                <w:sz w:val="18"/>
                <w:szCs w:val="16"/>
                <w:lang w:val="fr-CA"/>
              </w:rPr>
            </w:pPr>
            <w:r w:rsidRPr="00AE6675">
              <w:rPr>
                <w:b/>
                <w:bCs/>
                <w:sz w:val="18"/>
                <w:szCs w:val="16"/>
                <w:lang w:val="fr-CA"/>
              </w:rPr>
              <w:t>K</w:t>
            </w:r>
          </w:p>
        </w:tc>
        <w:tc>
          <w:tcPr>
            <w:tcW w:w="1002" w:type="dxa"/>
            <w:tcBorders>
              <w:top w:val="single" w:sz="8" w:space="0" w:color="auto"/>
              <w:left w:val="nil"/>
              <w:bottom w:val="single" w:sz="8" w:space="0" w:color="auto"/>
              <w:right w:val="nil"/>
            </w:tcBorders>
            <w:shd w:val="clear" w:color="auto" w:fill="auto"/>
            <w:noWrap/>
            <w:vAlign w:val="bottom"/>
            <w:hideMark/>
          </w:tcPr>
          <w:p w:rsidR="00711E52" w:rsidRPr="00AE6675" w:rsidRDefault="00711E52" w:rsidP="00E56A20">
            <w:pPr>
              <w:jc w:val="center"/>
              <w:rPr>
                <w:rFonts w:cs="Arial"/>
                <w:b/>
                <w:bCs/>
                <w:sz w:val="18"/>
                <w:szCs w:val="16"/>
                <w:lang w:val="fr-CA"/>
              </w:rPr>
            </w:pPr>
            <w:r w:rsidRPr="00AE6675">
              <w:rPr>
                <w:b/>
                <w:bCs/>
                <w:sz w:val="18"/>
                <w:szCs w:val="16"/>
                <w:lang w:val="fr-CA"/>
              </w:rPr>
              <w:t>t</w:t>
            </w:r>
            <w:r w:rsidRPr="00AE6675">
              <w:rPr>
                <w:b/>
                <w:bCs/>
                <w:sz w:val="18"/>
                <w:szCs w:val="16"/>
                <w:vertAlign w:val="subscript"/>
                <w:lang w:val="fr-CA"/>
              </w:rPr>
              <w:t>0</w:t>
            </w:r>
          </w:p>
        </w:tc>
        <w:tc>
          <w:tcPr>
            <w:tcW w:w="1492" w:type="dxa"/>
            <w:tcBorders>
              <w:top w:val="single" w:sz="8" w:space="0" w:color="auto"/>
              <w:left w:val="nil"/>
              <w:bottom w:val="single" w:sz="8" w:space="0" w:color="auto"/>
              <w:right w:val="nil"/>
            </w:tcBorders>
            <w:shd w:val="clear" w:color="auto" w:fill="auto"/>
            <w:noWrap/>
            <w:vAlign w:val="bottom"/>
            <w:hideMark/>
          </w:tcPr>
          <w:p w:rsidR="00711E52" w:rsidRPr="00AE6675" w:rsidRDefault="00711E52" w:rsidP="00E56A20">
            <w:pPr>
              <w:jc w:val="center"/>
              <w:rPr>
                <w:rFonts w:cs="Arial"/>
                <w:b/>
                <w:bCs/>
                <w:sz w:val="18"/>
                <w:szCs w:val="16"/>
                <w:lang w:val="fr-CA"/>
              </w:rPr>
            </w:pPr>
            <w:r w:rsidRPr="00AE6675">
              <w:rPr>
                <w:b/>
                <w:bCs/>
                <w:sz w:val="18"/>
                <w:szCs w:val="16"/>
                <w:lang w:val="fr-CA"/>
              </w:rPr>
              <w:t>Y_Derived</w:t>
            </w:r>
          </w:p>
        </w:tc>
        <w:tc>
          <w:tcPr>
            <w:tcW w:w="1328" w:type="dxa"/>
            <w:tcBorders>
              <w:top w:val="single" w:sz="8" w:space="0" w:color="auto"/>
              <w:left w:val="nil"/>
              <w:bottom w:val="single" w:sz="8" w:space="0" w:color="auto"/>
              <w:right w:val="nil"/>
            </w:tcBorders>
            <w:shd w:val="clear" w:color="auto" w:fill="auto"/>
            <w:noWrap/>
            <w:vAlign w:val="bottom"/>
            <w:hideMark/>
          </w:tcPr>
          <w:p w:rsidR="00711E52" w:rsidRPr="00AE6675" w:rsidRDefault="00711E52" w:rsidP="00E56A20">
            <w:pPr>
              <w:jc w:val="center"/>
              <w:rPr>
                <w:rFonts w:cs="Arial"/>
                <w:b/>
                <w:bCs/>
                <w:sz w:val="18"/>
                <w:szCs w:val="16"/>
                <w:lang w:val="fr-CA"/>
              </w:rPr>
            </w:pPr>
            <w:r w:rsidRPr="00AE6675">
              <w:rPr>
                <w:b/>
                <w:bCs/>
                <w:sz w:val="18"/>
                <w:szCs w:val="16"/>
                <w:lang w:val="fr-CA"/>
              </w:rPr>
              <w:t>Y_Applied</w:t>
            </w:r>
          </w:p>
        </w:tc>
      </w:tr>
      <w:tr w:rsidR="00711E52" w:rsidRPr="00AE6675" w:rsidTr="00E56A20">
        <w:trPr>
          <w:trHeight w:val="180"/>
          <w:jc w:val="center"/>
        </w:trPr>
        <w:tc>
          <w:tcPr>
            <w:tcW w:w="973"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bCs/>
                <w:sz w:val="18"/>
                <w:szCs w:val="16"/>
                <w:lang w:val="fr-CA"/>
              </w:rPr>
            </w:pPr>
            <w:r w:rsidRPr="00AE6675">
              <w:rPr>
                <w:bCs/>
                <w:sz w:val="18"/>
                <w:szCs w:val="16"/>
                <w:lang w:val="fr-CA"/>
              </w:rPr>
              <w:t>123,31449</w:t>
            </w:r>
          </w:p>
        </w:tc>
        <w:tc>
          <w:tcPr>
            <w:tcW w:w="106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bCs/>
                <w:sz w:val="18"/>
                <w:szCs w:val="16"/>
                <w:lang w:val="fr-CA"/>
              </w:rPr>
            </w:pPr>
            <w:r w:rsidRPr="00AE6675">
              <w:rPr>
                <w:bCs/>
                <w:sz w:val="18"/>
                <w:szCs w:val="16"/>
                <w:lang w:val="fr-CA"/>
              </w:rPr>
              <w:t>0,19029521</w:t>
            </w:r>
          </w:p>
        </w:tc>
        <w:tc>
          <w:tcPr>
            <w:tcW w:w="100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bCs/>
                <w:sz w:val="18"/>
                <w:szCs w:val="16"/>
                <w:lang w:val="fr-CA"/>
              </w:rPr>
            </w:pPr>
            <w:r w:rsidRPr="00AE6675">
              <w:rPr>
                <w:bCs/>
                <w:sz w:val="18"/>
                <w:szCs w:val="16"/>
                <w:lang w:val="fr-CA"/>
              </w:rPr>
              <w:t>0,0465196</w:t>
            </w:r>
          </w:p>
        </w:tc>
        <w:tc>
          <w:tcPr>
            <w:tcW w:w="149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bCs/>
                <w:sz w:val="18"/>
                <w:szCs w:val="16"/>
                <w:lang w:val="fr-CA"/>
              </w:rPr>
            </w:pPr>
            <w:r w:rsidRPr="00AE6675">
              <w:rPr>
                <w:bCs/>
                <w:sz w:val="18"/>
                <w:szCs w:val="16"/>
                <w:lang w:val="fr-CA"/>
              </w:rPr>
              <w:t>1978–1996</w:t>
            </w:r>
          </w:p>
        </w:tc>
        <w:tc>
          <w:tcPr>
            <w:tcW w:w="1328"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bCs/>
                <w:sz w:val="18"/>
                <w:szCs w:val="16"/>
                <w:lang w:val="fr-CA"/>
              </w:rPr>
            </w:pPr>
            <w:r w:rsidRPr="00AE6675">
              <w:rPr>
                <w:bCs/>
                <w:sz w:val="18"/>
                <w:szCs w:val="16"/>
                <w:lang w:val="fr-CA"/>
              </w:rPr>
              <w:t>1978–1999</w:t>
            </w:r>
          </w:p>
        </w:tc>
      </w:tr>
      <w:tr w:rsidR="00711E52" w:rsidRPr="00AE6675" w:rsidTr="00E56A20">
        <w:trPr>
          <w:trHeight w:val="120"/>
          <w:jc w:val="center"/>
        </w:trPr>
        <w:tc>
          <w:tcPr>
            <w:tcW w:w="973"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sz w:val="18"/>
                <w:szCs w:val="16"/>
                <w:lang w:val="fr-CA"/>
              </w:rPr>
            </w:pPr>
            <w:r w:rsidRPr="00AE6675">
              <w:rPr>
                <w:sz w:val="18"/>
                <w:szCs w:val="16"/>
                <w:lang w:val="fr-CA"/>
              </w:rPr>
              <w:t xml:space="preserve">98,11706 </w:t>
            </w:r>
          </w:p>
        </w:tc>
        <w:tc>
          <w:tcPr>
            <w:tcW w:w="106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sz w:val="18"/>
                <w:szCs w:val="16"/>
                <w:lang w:val="fr-CA"/>
              </w:rPr>
            </w:pPr>
            <w:r w:rsidRPr="00AE6675">
              <w:rPr>
                <w:sz w:val="18"/>
                <w:szCs w:val="16"/>
                <w:lang w:val="fr-CA"/>
              </w:rPr>
              <w:t>0,23355910</w:t>
            </w:r>
          </w:p>
        </w:tc>
        <w:tc>
          <w:tcPr>
            <w:tcW w:w="100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sz w:val="18"/>
                <w:szCs w:val="16"/>
                <w:lang w:val="fr-CA"/>
              </w:rPr>
            </w:pPr>
            <w:r w:rsidRPr="00AE6675">
              <w:rPr>
                <w:sz w:val="18"/>
                <w:szCs w:val="16"/>
                <w:lang w:val="fr-CA"/>
              </w:rPr>
              <w:t>0,1896580</w:t>
            </w:r>
          </w:p>
        </w:tc>
        <w:tc>
          <w:tcPr>
            <w:tcW w:w="1492"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sz w:val="18"/>
                <w:szCs w:val="16"/>
                <w:lang w:val="fr-CA"/>
              </w:rPr>
            </w:pPr>
            <w:r w:rsidRPr="00AE6675">
              <w:rPr>
                <w:sz w:val="18"/>
                <w:szCs w:val="16"/>
                <w:lang w:val="fr-CA"/>
              </w:rPr>
              <w:t>2003–2019</w:t>
            </w:r>
          </w:p>
        </w:tc>
        <w:tc>
          <w:tcPr>
            <w:tcW w:w="1328" w:type="dxa"/>
            <w:tcBorders>
              <w:top w:val="nil"/>
              <w:left w:val="nil"/>
              <w:bottom w:val="nil"/>
              <w:right w:val="nil"/>
            </w:tcBorders>
            <w:shd w:val="clear" w:color="auto" w:fill="auto"/>
            <w:noWrap/>
            <w:vAlign w:val="bottom"/>
            <w:hideMark/>
          </w:tcPr>
          <w:p w:rsidR="00711E52" w:rsidRPr="00AE6675" w:rsidRDefault="00711E52" w:rsidP="00E56A20">
            <w:pPr>
              <w:jc w:val="center"/>
              <w:rPr>
                <w:rFonts w:cs="Arial"/>
                <w:sz w:val="18"/>
                <w:szCs w:val="16"/>
                <w:lang w:val="fr-CA"/>
              </w:rPr>
            </w:pPr>
            <w:r w:rsidRPr="00AE6675">
              <w:rPr>
                <w:sz w:val="18"/>
                <w:szCs w:val="16"/>
                <w:lang w:val="fr-CA"/>
              </w:rPr>
              <w:t>2000+</w:t>
            </w:r>
          </w:p>
        </w:tc>
      </w:tr>
      <w:bookmarkEnd w:id="17"/>
    </w:tbl>
    <w:p w:rsidR="001D0528" w:rsidRPr="00AE6675" w:rsidRDefault="001D0528">
      <w:pPr>
        <w:rPr>
          <w:lang w:val="fr-CA"/>
        </w:rPr>
      </w:pPr>
      <w:r w:rsidRPr="00AE6675">
        <w:rPr>
          <w:lang w:val="fr-CA"/>
        </w:rPr>
        <w:br w:type="page"/>
      </w:r>
    </w:p>
    <w:p w:rsidR="001D0528" w:rsidRPr="00AE6675" w:rsidRDefault="001D0528" w:rsidP="0026104E">
      <w:pPr>
        <w:pStyle w:val="Heading1"/>
        <w:spacing w:after="480"/>
        <w:rPr>
          <w:lang w:val="fr-CA"/>
        </w:rPr>
      </w:pPr>
      <w:bookmarkStart w:id="20" w:name="_Toc44316233"/>
      <w:r w:rsidRPr="00AE6675">
        <w:rPr>
          <w:lang w:val="fr-CA"/>
        </w:rPr>
        <w:lastRenderedPageBreak/>
        <w:t>FIGURES</w:t>
      </w:r>
      <w:bookmarkEnd w:id="20"/>
    </w:p>
    <w:p w:rsidR="005A72BE" w:rsidRPr="00AE6675" w:rsidRDefault="0026104E" w:rsidP="00586861">
      <w:pPr>
        <w:jc w:val="center"/>
        <w:rPr>
          <w:lang w:val="fr-CA"/>
        </w:rPr>
      </w:pPr>
      <w:r w:rsidRPr="00AE6675">
        <w:rPr>
          <w:noProof/>
          <w:lang w:val="fr-CA"/>
        </w:rPr>
        <w:drawing>
          <wp:inline distT="0" distB="0" distL="0" distR="0" wp14:anchorId="4C05F038" wp14:editId="165F05FA">
            <wp:extent cx="5972175" cy="5751195"/>
            <wp:effectExtent l="0" t="0" r="9525" b="1905"/>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5751195"/>
                    </a:xfrm>
                    <a:prstGeom prst="rect">
                      <a:avLst/>
                    </a:prstGeom>
                  </pic:spPr>
                </pic:pic>
              </a:graphicData>
            </a:graphic>
          </wp:inline>
        </w:drawing>
      </w:r>
    </w:p>
    <w:p w:rsidR="005A72BE" w:rsidRPr="00AE6675" w:rsidRDefault="005A72BE" w:rsidP="00564020">
      <w:pPr>
        <w:pStyle w:val="Caption-Figure"/>
        <w:rPr>
          <w:rFonts w:cs="Arial"/>
          <w:lang w:val="fr-CA"/>
        </w:rPr>
      </w:pPr>
      <w:bookmarkStart w:id="21" w:name="_Ref13037584"/>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1</w:t>
      </w:r>
      <w:r w:rsidRPr="00AE6675">
        <w:rPr>
          <w:rFonts w:cs="Arial"/>
          <w:lang w:val="fr-CA"/>
        </w:rPr>
        <w:fldChar w:fldCharType="end"/>
      </w:r>
      <w:bookmarkEnd w:id="21"/>
      <w:r w:rsidRPr="00AE6675">
        <w:rPr>
          <w:lang w:val="fr-CA"/>
        </w:rPr>
        <w:t>. Profils rétrospectifs pour la plie grise d</w:t>
      </w:r>
      <w:r w:rsidR="00AD78A9" w:rsidRPr="00AE6675">
        <w:rPr>
          <w:lang w:val="fr-CA"/>
        </w:rPr>
        <w:t>’</w:t>
      </w:r>
      <w:r w:rsidRPr="00AE6675">
        <w:rPr>
          <w:lang w:val="fr-CA"/>
        </w:rPr>
        <w:t>après la passe proposée du PESA présentée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w:t>
      </w:r>
    </w:p>
    <w:p w:rsidR="005A72BE" w:rsidRPr="00AE6675" w:rsidRDefault="005A72BE" w:rsidP="005A72BE">
      <w:pPr>
        <w:rPr>
          <w:lang w:val="fr-CA"/>
        </w:rPr>
      </w:pPr>
      <w:r w:rsidRPr="00AE6675">
        <w:rPr>
          <w:lang w:val="fr-CA"/>
        </w:rPr>
        <w:br w:type="page"/>
      </w:r>
    </w:p>
    <w:p w:rsidR="005A72BE" w:rsidRPr="00AE6675" w:rsidRDefault="0026104E" w:rsidP="00F64983">
      <w:pPr>
        <w:jc w:val="center"/>
        <w:rPr>
          <w:lang w:val="fr-CA"/>
        </w:rPr>
      </w:pPr>
      <w:r w:rsidRPr="00AE6675">
        <w:rPr>
          <w:noProof/>
          <w:lang w:val="fr-CA"/>
        </w:rPr>
        <w:lastRenderedPageBreak/>
        <w:drawing>
          <wp:inline distT="0" distB="0" distL="0" distR="0" wp14:anchorId="41BA4D76" wp14:editId="17EA9EC8">
            <wp:extent cx="3435350" cy="3351268"/>
            <wp:effectExtent l="0" t="0" r="0" b="1905"/>
            <wp:docPr id="10" name="Picture 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6467" cy="3381623"/>
                    </a:xfrm>
                    <a:prstGeom prst="rect">
                      <a:avLst/>
                    </a:prstGeom>
                  </pic:spPr>
                </pic:pic>
              </a:graphicData>
            </a:graphic>
          </wp:inline>
        </w:drawing>
      </w:r>
    </w:p>
    <w:p w:rsidR="005A72BE" w:rsidRPr="00AE6675" w:rsidRDefault="005A72BE" w:rsidP="00564020">
      <w:pPr>
        <w:pStyle w:val="Caption-Figure"/>
        <w:rPr>
          <w:rFonts w:cs="Arial"/>
          <w:lang w:val="fr-CA"/>
        </w:rPr>
      </w:pPr>
      <w:bookmarkStart w:id="22" w:name="_Ref13037706"/>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2</w:t>
      </w:r>
      <w:r w:rsidRPr="00AE6675">
        <w:rPr>
          <w:rFonts w:cs="Arial"/>
          <w:lang w:val="fr-CA"/>
        </w:rPr>
        <w:fldChar w:fldCharType="end"/>
      </w:r>
      <w:bookmarkEnd w:id="22"/>
      <w:r w:rsidRPr="00AE6675">
        <w:rPr>
          <w:lang w:val="fr-CA"/>
        </w:rPr>
        <w:t>. F relative (prises remises à l</w:t>
      </w:r>
      <w:r w:rsidR="00AD78A9" w:rsidRPr="00AE6675">
        <w:rPr>
          <w:lang w:val="fr-CA"/>
        </w:rPr>
        <w:t>’</w:t>
      </w:r>
      <w:r w:rsidRPr="00AE6675">
        <w:rPr>
          <w:lang w:val="fr-CA"/>
        </w:rPr>
        <w:t>échelle/relevé) pour la plie grise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w:t>
      </w:r>
    </w:p>
    <w:p w:rsidR="005A72BE" w:rsidRPr="00AE6675" w:rsidRDefault="0026104E" w:rsidP="00F64983">
      <w:pPr>
        <w:jc w:val="center"/>
        <w:rPr>
          <w:lang w:val="fr-CA"/>
        </w:rPr>
      </w:pPr>
      <w:r w:rsidRPr="00AE6675">
        <w:rPr>
          <w:noProof/>
          <w:lang w:val="fr-CA"/>
        </w:rPr>
        <w:drawing>
          <wp:inline distT="0" distB="0" distL="0" distR="0" wp14:anchorId="5D12DD69" wp14:editId="33C2876F">
            <wp:extent cx="3677928" cy="3587750"/>
            <wp:effectExtent l="0" t="0" r="0" b="0"/>
            <wp:docPr id="14" name="Picture 1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1056" cy="3620066"/>
                    </a:xfrm>
                    <a:prstGeom prst="rect">
                      <a:avLst/>
                    </a:prstGeom>
                  </pic:spPr>
                </pic:pic>
              </a:graphicData>
            </a:graphic>
          </wp:inline>
        </w:drawing>
      </w:r>
    </w:p>
    <w:p w:rsidR="005A72BE" w:rsidRPr="00AE6675" w:rsidRDefault="005A72BE" w:rsidP="00564020">
      <w:pPr>
        <w:pStyle w:val="Caption-Figure"/>
        <w:rPr>
          <w:rFonts w:cs="Arial"/>
          <w:lang w:val="fr-CA"/>
        </w:rPr>
      </w:pPr>
      <w:bookmarkStart w:id="23" w:name="_Ref13037598"/>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3</w:t>
      </w:r>
      <w:r w:rsidRPr="00AE6675">
        <w:rPr>
          <w:rFonts w:cs="Arial"/>
          <w:lang w:val="fr-CA"/>
        </w:rPr>
        <w:fldChar w:fldCharType="end"/>
      </w:r>
      <w:bookmarkEnd w:id="23"/>
      <w:r w:rsidRPr="00AE6675">
        <w:rPr>
          <w:lang w:val="fr-CA"/>
        </w:rPr>
        <w:t>. Mortalité totale d</w:t>
      </w:r>
      <w:r w:rsidR="00AD78A9" w:rsidRPr="00AE6675">
        <w:rPr>
          <w:lang w:val="fr-CA"/>
        </w:rPr>
        <w:t>’</w:t>
      </w:r>
      <w:r w:rsidRPr="00AE6675">
        <w:rPr>
          <w:lang w:val="fr-CA"/>
        </w:rPr>
        <w:t>après la composition selon l</w:t>
      </w:r>
      <w:r w:rsidR="00AD78A9" w:rsidRPr="00AE6675">
        <w:rPr>
          <w:lang w:val="fr-CA"/>
        </w:rPr>
        <w:t>’</w:t>
      </w:r>
      <w:r w:rsidRPr="00AE6675">
        <w:rPr>
          <w:lang w:val="fr-CA"/>
        </w:rPr>
        <w:t>âge du relevé (mortalité totale Z, méthode de Sinclair) pour la plie grise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w:t>
      </w:r>
    </w:p>
    <w:p w:rsidR="005A72BE" w:rsidRPr="00AE6675" w:rsidRDefault="0026104E" w:rsidP="00586861">
      <w:pPr>
        <w:jc w:val="center"/>
        <w:rPr>
          <w:lang w:val="fr-CA"/>
        </w:rPr>
      </w:pPr>
      <w:r w:rsidRPr="00AE6675">
        <w:rPr>
          <w:noProof/>
          <w:lang w:val="fr-CA"/>
        </w:rPr>
        <w:lastRenderedPageBreak/>
        <w:drawing>
          <wp:inline distT="0" distB="0" distL="0" distR="0" wp14:anchorId="2712C541" wp14:editId="1349FAD4">
            <wp:extent cx="5972175" cy="4431030"/>
            <wp:effectExtent l="0" t="0" r="9525" b="7620"/>
            <wp:docPr id="21" name="Picture 2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4431030"/>
                    </a:xfrm>
                    <a:prstGeom prst="rect">
                      <a:avLst/>
                    </a:prstGeom>
                  </pic:spPr>
                </pic:pic>
              </a:graphicData>
            </a:graphic>
          </wp:inline>
        </w:drawing>
      </w:r>
    </w:p>
    <w:p w:rsidR="005A72BE" w:rsidRPr="00AE6675" w:rsidRDefault="005A72BE" w:rsidP="00564020">
      <w:pPr>
        <w:pStyle w:val="Caption-Figure"/>
        <w:rPr>
          <w:rFonts w:cs="Arial"/>
          <w:lang w:val="fr-CA"/>
        </w:rPr>
      </w:pPr>
      <w:bookmarkStart w:id="24" w:name="_Ref13037634"/>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4</w:t>
      </w:r>
      <w:r w:rsidRPr="00AE6675">
        <w:rPr>
          <w:rFonts w:cs="Arial"/>
          <w:lang w:val="fr-CA"/>
        </w:rPr>
        <w:fldChar w:fldCharType="end"/>
      </w:r>
      <w:bookmarkEnd w:id="24"/>
      <w:r w:rsidRPr="00AE6675">
        <w:rPr>
          <w:lang w:val="fr-CA"/>
        </w:rPr>
        <w:t>. Rho de Mohn pour la biomasse du stock reproducteur (RhoBSR) de la plie grise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 pour trois années de changement et une gamme de multiplicateurs des prises appliqués à tous les âges.</w:t>
      </w:r>
    </w:p>
    <w:p w:rsidR="005A72BE" w:rsidRPr="00AE6675" w:rsidRDefault="0026104E" w:rsidP="00586861">
      <w:pPr>
        <w:jc w:val="center"/>
        <w:rPr>
          <w:lang w:val="fr-CA"/>
        </w:rPr>
      </w:pPr>
      <w:r w:rsidRPr="00AE6675">
        <w:rPr>
          <w:noProof/>
          <w:lang w:val="fr-CA"/>
        </w:rPr>
        <w:lastRenderedPageBreak/>
        <w:drawing>
          <wp:inline distT="0" distB="0" distL="0" distR="0" wp14:anchorId="46B69FDC" wp14:editId="7B817EA6">
            <wp:extent cx="5972175" cy="4335780"/>
            <wp:effectExtent l="0" t="0" r="9525" b="7620"/>
            <wp:docPr id="22" name="Picture 2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4335780"/>
                    </a:xfrm>
                    <a:prstGeom prst="rect">
                      <a:avLst/>
                    </a:prstGeom>
                  </pic:spPr>
                </pic:pic>
              </a:graphicData>
            </a:graphic>
          </wp:inline>
        </w:drawing>
      </w:r>
    </w:p>
    <w:p w:rsidR="005A72BE" w:rsidRPr="00AE6675" w:rsidRDefault="005A72BE" w:rsidP="00564020">
      <w:pPr>
        <w:pStyle w:val="Caption-Figure"/>
        <w:rPr>
          <w:rFonts w:cs="Arial"/>
          <w:lang w:val="fr-CA"/>
        </w:rPr>
      </w:pPr>
      <w:bookmarkStart w:id="25" w:name="_Ref13037680"/>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5</w:t>
      </w:r>
      <w:r w:rsidRPr="00AE6675">
        <w:rPr>
          <w:rFonts w:cs="Arial"/>
          <w:lang w:val="fr-CA"/>
        </w:rPr>
        <w:fldChar w:fldCharType="end"/>
      </w:r>
      <w:bookmarkEnd w:id="25"/>
      <w:r w:rsidRPr="00AE6675">
        <w:rPr>
          <w:lang w:val="fr-CA"/>
        </w:rPr>
        <w:t>. Rho de Mohn pour la biomasse du stock reproducteur (RhoBSR) de la plie grise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 pour trois années de changement et une gamme de multiplicateurs des prises appliqués aux âges jeunes ou vieux.</w:t>
      </w:r>
    </w:p>
    <w:p w:rsidR="005A72BE" w:rsidRPr="00AE6675" w:rsidRDefault="0026104E" w:rsidP="00586861">
      <w:pPr>
        <w:jc w:val="center"/>
        <w:rPr>
          <w:lang w:val="fr-CA"/>
        </w:rPr>
      </w:pPr>
      <w:r w:rsidRPr="00AE6675">
        <w:rPr>
          <w:noProof/>
          <w:lang w:val="fr-CA"/>
        </w:rPr>
        <w:lastRenderedPageBreak/>
        <w:drawing>
          <wp:inline distT="0" distB="0" distL="0" distR="0" wp14:anchorId="2C8EE4C8" wp14:editId="6DAD8525">
            <wp:extent cx="5972175" cy="4507865"/>
            <wp:effectExtent l="0" t="0" r="9525" b="6985"/>
            <wp:docPr id="23" name="Picture 2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4507865"/>
                    </a:xfrm>
                    <a:prstGeom prst="rect">
                      <a:avLst/>
                    </a:prstGeom>
                  </pic:spPr>
                </pic:pic>
              </a:graphicData>
            </a:graphic>
          </wp:inline>
        </w:drawing>
      </w:r>
    </w:p>
    <w:p w:rsidR="005A72BE" w:rsidRPr="00AE6675" w:rsidRDefault="005A72BE" w:rsidP="00564020">
      <w:pPr>
        <w:pStyle w:val="Caption-Figure"/>
        <w:tabs>
          <w:tab w:val="left" w:pos="5400"/>
        </w:tabs>
        <w:rPr>
          <w:rFonts w:cs="Arial"/>
          <w:lang w:val="fr-CA"/>
        </w:rPr>
      </w:pPr>
      <w:bookmarkStart w:id="26" w:name="_Ref13037641"/>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6</w:t>
      </w:r>
      <w:r w:rsidRPr="00AE6675">
        <w:rPr>
          <w:rFonts w:cs="Arial"/>
          <w:lang w:val="fr-CA"/>
        </w:rPr>
        <w:fldChar w:fldCharType="end"/>
      </w:r>
      <w:bookmarkEnd w:id="26"/>
      <w:r w:rsidRPr="00AE6675">
        <w:rPr>
          <w:lang w:val="fr-CA"/>
        </w:rPr>
        <w:t>. Rho de Mohn pour la biomasse du stock reproducteur (RhoBSR) de la plie grise lors du Comité d</w:t>
      </w:r>
      <w:r w:rsidR="00AD78A9" w:rsidRPr="00AE6675">
        <w:rPr>
          <w:lang w:val="fr-CA"/>
        </w:rPr>
        <w:t>’</w:t>
      </w:r>
      <w:r w:rsidRPr="00AE6675">
        <w:rPr>
          <w:lang w:val="fr-CA"/>
        </w:rPr>
        <w:t>examen de l</w:t>
      </w:r>
      <w:r w:rsidR="00AD78A9" w:rsidRPr="00AE6675">
        <w:rPr>
          <w:lang w:val="fr-CA"/>
        </w:rPr>
        <w:t>’</w:t>
      </w:r>
      <w:r w:rsidRPr="00AE6675">
        <w:rPr>
          <w:lang w:val="fr-CA"/>
        </w:rPr>
        <w:t>évaluation des stocks 62 pour trois années de changement et une gamme de multiplicateurs de la mortalité naturelle appliqués à tous les âges.</w:t>
      </w:r>
    </w:p>
    <w:p w:rsidR="005A72BE" w:rsidRPr="00AE6675" w:rsidRDefault="007B11E2" w:rsidP="00586861">
      <w:pPr>
        <w:jc w:val="center"/>
        <w:rPr>
          <w:lang w:val="fr-CA"/>
        </w:rPr>
      </w:pPr>
      <w:r w:rsidRPr="00AE6675">
        <w:rPr>
          <w:noProof/>
          <w:lang w:val="fr-CA"/>
        </w:rPr>
        <w:lastRenderedPageBreak/>
        <w:drawing>
          <wp:inline distT="0" distB="0" distL="0" distR="0" wp14:anchorId="61C89665" wp14:editId="7B069F71">
            <wp:extent cx="5972175" cy="4210050"/>
            <wp:effectExtent l="0" t="0" r="9525" b="0"/>
            <wp:docPr id="24" name="Picture 2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175" cy="4210050"/>
                    </a:xfrm>
                    <a:prstGeom prst="rect">
                      <a:avLst/>
                    </a:prstGeom>
                  </pic:spPr>
                </pic:pic>
              </a:graphicData>
            </a:graphic>
          </wp:inline>
        </w:drawing>
      </w:r>
    </w:p>
    <w:p w:rsidR="005A72BE" w:rsidRPr="00AE6675" w:rsidRDefault="005A72BE" w:rsidP="00564020">
      <w:pPr>
        <w:pStyle w:val="Caption-Figure"/>
        <w:rPr>
          <w:rFonts w:cs="Arial"/>
          <w:lang w:val="fr-CA"/>
        </w:rPr>
      </w:pPr>
      <w:bookmarkStart w:id="27" w:name="_Ref13037737"/>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7</w:t>
      </w:r>
      <w:r w:rsidRPr="00AE6675">
        <w:rPr>
          <w:rFonts w:cs="Arial"/>
          <w:lang w:val="fr-CA"/>
        </w:rPr>
        <w:fldChar w:fldCharType="end"/>
      </w:r>
      <w:bookmarkEnd w:id="27"/>
      <w:r w:rsidRPr="00AE6675">
        <w:rPr>
          <w:lang w:val="fr-CA"/>
        </w:rPr>
        <w:t>. Séries chronologiques des prises, du taux de mortalité par pêche (F), des recrues et de la biomasse du stock reproducteur (BSR) pour l</w:t>
      </w:r>
      <w:r w:rsidR="00AD78A9" w:rsidRPr="00AE6675">
        <w:rPr>
          <w:lang w:val="fr-CA"/>
        </w:rPr>
        <w:t>’</w:t>
      </w:r>
      <w:r w:rsidRPr="00AE6675">
        <w:rPr>
          <w:lang w:val="fr-CA"/>
        </w:rPr>
        <w:t>évaluation de base de la plie grise et trois multiplicateurs des prises appliqués à tous les âges.</w:t>
      </w:r>
    </w:p>
    <w:p w:rsidR="005A72BE" w:rsidRPr="00AE6675" w:rsidRDefault="007B11E2" w:rsidP="00586861">
      <w:pPr>
        <w:jc w:val="center"/>
        <w:rPr>
          <w:lang w:val="fr-CA"/>
        </w:rPr>
      </w:pPr>
      <w:r w:rsidRPr="00AE6675">
        <w:rPr>
          <w:noProof/>
          <w:lang w:val="fr-CA"/>
        </w:rPr>
        <w:lastRenderedPageBreak/>
        <w:drawing>
          <wp:inline distT="0" distB="0" distL="0" distR="0" wp14:anchorId="4D581238" wp14:editId="2BE43336">
            <wp:extent cx="5972175" cy="4213860"/>
            <wp:effectExtent l="0" t="0" r="9525" b="0"/>
            <wp:docPr id="25" name="Picture 2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4213860"/>
                    </a:xfrm>
                    <a:prstGeom prst="rect">
                      <a:avLst/>
                    </a:prstGeom>
                  </pic:spPr>
                </pic:pic>
              </a:graphicData>
            </a:graphic>
          </wp:inline>
        </w:drawing>
      </w:r>
    </w:p>
    <w:p w:rsidR="005A72BE" w:rsidRPr="00AE6675" w:rsidRDefault="005A72BE" w:rsidP="00564020">
      <w:pPr>
        <w:pStyle w:val="Caption-Figure"/>
        <w:rPr>
          <w:rFonts w:cs="Arial"/>
          <w:lang w:val="fr-CA"/>
        </w:rPr>
      </w:pPr>
      <w:bookmarkStart w:id="28" w:name="_Ref13037740"/>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8</w:t>
      </w:r>
      <w:r w:rsidRPr="00AE6675">
        <w:rPr>
          <w:rFonts w:cs="Arial"/>
          <w:lang w:val="fr-CA"/>
        </w:rPr>
        <w:fldChar w:fldCharType="end"/>
      </w:r>
      <w:bookmarkEnd w:id="28"/>
      <w:r w:rsidRPr="00AE6675">
        <w:rPr>
          <w:lang w:val="fr-CA"/>
        </w:rPr>
        <w:t>. Séries chronologiques des prises, du taux de mortalité par pêche (F), des recrues et de la biomasse du stock reproducteur (BSR) pour l</w:t>
      </w:r>
      <w:r w:rsidR="00AD78A9" w:rsidRPr="00AE6675">
        <w:rPr>
          <w:lang w:val="fr-CA"/>
        </w:rPr>
        <w:t>’</w:t>
      </w:r>
      <w:r w:rsidRPr="00AE6675">
        <w:rPr>
          <w:lang w:val="fr-CA"/>
        </w:rPr>
        <w:t>évaluation de base de la plie grise et multiplicateurs des prises appliqués aux âges jeunes ou vieux.</w:t>
      </w:r>
    </w:p>
    <w:p w:rsidR="005A72BE" w:rsidRPr="00AE6675" w:rsidRDefault="007B11E2" w:rsidP="00586861">
      <w:pPr>
        <w:jc w:val="center"/>
        <w:rPr>
          <w:lang w:val="fr-CA"/>
        </w:rPr>
      </w:pPr>
      <w:r w:rsidRPr="00AE6675">
        <w:rPr>
          <w:noProof/>
          <w:lang w:val="fr-CA"/>
        </w:rPr>
        <w:lastRenderedPageBreak/>
        <w:drawing>
          <wp:inline distT="0" distB="0" distL="0" distR="0" wp14:anchorId="2543B4EE" wp14:editId="26D8B78A">
            <wp:extent cx="5972175" cy="4239895"/>
            <wp:effectExtent l="0" t="0" r="9525" b="8255"/>
            <wp:docPr id="26" name="Picture 2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4239895"/>
                    </a:xfrm>
                    <a:prstGeom prst="rect">
                      <a:avLst/>
                    </a:prstGeom>
                  </pic:spPr>
                </pic:pic>
              </a:graphicData>
            </a:graphic>
          </wp:inline>
        </w:drawing>
      </w:r>
    </w:p>
    <w:p w:rsidR="005A72BE" w:rsidRPr="00AE6675" w:rsidRDefault="005A72BE" w:rsidP="00564020">
      <w:pPr>
        <w:pStyle w:val="Caption-Figure"/>
        <w:rPr>
          <w:rFonts w:cs="Arial"/>
          <w:lang w:val="fr-CA"/>
        </w:rPr>
      </w:pPr>
      <w:bookmarkStart w:id="29" w:name="_Ref13037742"/>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9</w:t>
      </w:r>
      <w:r w:rsidRPr="00AE6675">
        <w:rPr>
          <w:rFonts w:cs="Arial"/>
          <w:lang w:val="fr-CA"/>
        </w:rPr>
        <w:fldChar w:fldCharType="end"/>
      </w:r>
      <w:bookmarkEnd w:id="29"/>
      <w:r w:rsidRPr="00AE6675">
        <w:rPr>
          <w:lang w:val="fr-CA"/>
        </w:rPr>
        <w:t>. Séries chronologiques des prises, du taux de mortalité par pêche (F), des recrues et de la biomasse du stock reproducteur (BSR) pour l</w:t>
      </w:r>
      <w:r w:rsidR="00AD78A9" w:rsidRPr="00AE6675">
        <w:rPr>
          <w:lang w:val="fr-CA"/>
        </w:rPr>
        <w:t>’</w:t>
      </w:r>
      <w:r w:rsidRPr="00AE6675">
        <w:rPr>
          <w:lang w:val="fr-CA"/>
        </w:rPr>
        <w:t>évaluation de base de la plie grise et multiplicateurs de la mortalité naturelle appliqués à tous les âges.</w:t>
      </w:r>
    </w:p>
    <w:p w:rsidR="00950A8C" w:rsidRPr="00AE6675" w:rsidRDefault="007B11E2" w:rsidP="00586861">
      <w:pPr>
        <w:jc w:val="center"/>
        <w:rPr>
          <w:rFonts w:cs="Arial"/>
          <w:i/>
          <w:sz w:val="20"/>
          <w:lang w:val="fr-CA"/>
        </w:rPr>
      </w:pPr>
      <w:r w:rsidRPr="00AE6675">
        <w:rPr>
          <w:noProof/>
          <w:lang w:val="fr-CA"/>
        </w:rPr>
        <w:lastRenderedPageBreak/>
        <w:drawing>
          <wp:inline distT="0" distB="0" distL="0" distR="0" wp14:anchorId="2B4F6CBF" wp14:editId="6859CA48">
            <wp:extent cx="5690391" cy="3641124"/>
            <wp:effectExtent l="0" t="0" r="5715" b="0"/>
            <wp:docPr id="27" name="Picture 27"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5599" cy="3650855"/>
                    </a:xfrm>
                    <a:prstGeom prst="rect">
                      <a:avLst/>
                    </a:prstGeom>
                  </pic:spPr>
                </pic:pic>
              </a:graphicData>
            </a:graphic>
          </wp:inline>
        </w:drawing>
      </w:r>
    </w:p>
    <w:p w:rsidR="005A72BE" w:rsidRPr="00AE6675" w:rsidRDefault="00950A8C" w:rsidP="00564020">
      <w:pPr>
        <w:pStyle w:val="Caption-Figure"/>
        <w:rPr>
          <w:lang w:val="fr-CA"/>
        </w:rPr>
      </w:pPr>
      <w:bookmarkStart w:id="30" w:name="_Ref13037914"/>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10</w:t>
      </w:r>
      <w:r w:rsidRPr="00AE6675">
        <w:rPr>
          <w:rFonts w:cs="Arial"/>
          <w:lang w:val="fr-CA"/>
        </w:rPr>
        <w:fldChar w:fldCharType="end"/>
      </w:r>
      <w:bookmarkEnd w:id="30"/>
      <w:r w:rsidRPr="00AE6675">
        <w:rPr>
          <w:lang w:val="fr-CA"/>
        </w:rPr>
        <w:t>. Avis sur les prises (t) pour la plie grise pour F40 % pour les années</w:t>
      </w:r>
      <w:r w:rsidR="00A81A2C" w:rsidRPr="00AE6675">
        <w:rPr>
          <w:lang w:val="fr-CA"/>
        </w:rPr>
        <w:t> </w:t>
      </w:r>
      <w:r w:rsidRPr="00AE6675">
        <w:rPr>
          <w:lang w:val="fr-CA"/>
        </w:rPr>
        <w:t>2016-2018 selon un certain nombre de scénarios.</w:t>
      </w:r>
    </w:p>
    <w:p w:rsidR="005A72BE" w:rsidRPr="00AE6675" w:rsidRDefault="007B11E2" w:rsidP="00586861">
      <w:pPr>
        <w:jc w:val="center"/>
        <w:rPr>
          <w:lang w:val="fr-CA"/>
        </w:rPr>
      </w:pPr>
      <w:r w:rsidRPr="00AE6675">
        <w:rPr>
          <w:noProof/>
          <w:lang w:val="fr-CA"/>
        </w:rPr>
        <w:drawing>
          <wp:inline distT="0" distB="0" distL="0" distR="0" wp14:anchorId="5A819D0C" wp14:editId="38585DA5">
            <wp:extent cx="5461000" cy="3453698"/>
            <wp:effectExtent l="0" t="0" r="6350" b="0"/>
            <wp:docPr id="28" name="Picture 2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0993" cy="3460018"/>
                    </a:xfrm>
                    <a:prstGeom prst="rect">
                      <a:avLst/>
                    </a:prstGeom>
                  </pic:spPr>
                </pic:pic>
              </a:graphicData>
            </a:graphic>
          </wp:inline>
        </w:drawing>
      </w:r>
    </w:p>
    <w:p w:rsidR="0072376A" w:rsidRPr="00AE6675" w:rsidRDefault="005A72BE" w:rsidP="00564020">
      <w:pPr>
        <w:pStyle w:val="Caption-Figure"/>
        <w:rPr>
          <w:rFonts w:cs="Arial"/>
          <w:lang w:val="fr-CA"/>
        </w:rPr>
      </w:pPr>
      <w:r w:rsidRPr="00AE6675">
        <w:rPr>
          <w:lang w:val="fr-CA"/>
        </w:rPr>
        <w:t>Figure </w:t>
      </w:r>
      <w:r w:rsidRPr="00AE6675">
        <w:rPr>
          <w:rFonts w:cs="Arial"/>
          <w:lang w:val="fr-CA"/>
        </w:rPr>
        <w:fldChar w:fldCharType="begin"/>
      </w:r>
      <w:r w:rsidRPr="00AE6675">
        <w:rPr>
          <w:rFonts w:cs="Arial"/>
          <w:lang w:val="fr-CA"/>
        </w:rPr>
        <w:instrText xml:space="preserve"> SEQ Figure \* ARABIC </w:instrText>
      </w:r>
      <w:r w:rsidRPr="00AE6675">
        <w:rPr>
          <w:rFonts w:cs="Arial"/>
          <w:lang w:val="fr-CA"/>
        </w:rPr>
        <w:fldChar w:fldCharType="separate"/>
      </w:r>
      <w:r w:rsidR="00031329">
        <w:rPr>
          <w:rFonts w:cs="Arial"/>
          <w:noProof/>
          <w:lang w:val="fr-CA"/>
        </w:rPr>
        <w:t>11</w:t>
      </w:r>
      <w:r w:rsidRPr="00AE6675">
        <w:rPr>
          <w:rFonts w:cs="Arial"/>
          <w:lang w:val="fr-CA"/>
        </w:rPr>
        <w:fldChar w:fldCharType="end"/>
      </w:r>
      <w:r w:rsidRPr="00AE6675">
        <w:rPr>
          <w:lang w:val="fr-CA"/>
        </w:rPr>
        <w:t>. Avis sur les prises ajustées (t) pour la plie grise pour F40 % pour les années</w:t>
      </w:r>
      <w:r w:rsidR="00A81A2C" w:rsidRPr="00AE6675">
        <w:rPr>
          <w:lang w:val="fr-CA"/>
        </w:rPr>
        <w:t> </w:t>
      </w:r>
      <w:r w:rsidRPr="00AE6675">
        <w:rPr>
          <w:lang w:val="fr-CA"/>
        </w:rPr>
        <w:t>2016-2018 selon un certain nombre de scénarios.</w:t>
      </w:r>
    </w:p>
    <w:p w:rsidR="00C6538A" w:rsidRPr="00AE6675" w:rsidRDefault="007B11E2" w:rsidP="00586861">
      <w:pPr>
        <w:jc w:val="center"/>
        <w:rPr>
          <w:lang w:val="fr-CA"/>
        </w:rPr>
      </w:pPr>
      <w:r w:rsidRPr="00AE6675">
        <w:rPr>
          <w:noProof/>
          <w:lang w:val="fr-CA"/>
        </w:rPr>
        <w:lastRenderedPageBreak/>
        <w:drawing>
          <wp:inline distT="0" distB="0" distL="0" distR="0" wp14:anchorId="47A53BB5" wp14:editId="0C9FBB33">
            <wp:extent cx="5972175" cy="5910580"/>
            <wp:effectExtent l="0" t="0" r="9525" b="0"/>
            <wp:docPr id="30" name="Picture 30"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175" cy="5910580"/>
                    </a:xfrm>
                    <a:prstGeom prst="rect">
                      <a:avLst/>
                    </a:prstGeom>
                  </pic:spPr>
                </pic:pic>
              </a:graphicData>
            </a:graphic>
          </wp:inline>
        </w:drawing>
      </w:r>
    </w:p>
    <w:p w:rsidR="0072376A" w:rsidRPr="00AE6675" w:rsidRDefault="0072376A" w:rsidP="00564020">
      <w:pPr>
        <w:pStyle w:val="Caption-Figure"/>
        <w:rPr>
          <w:rFonts w:cs="Arial"/>
          <w:lang w:val="fr-CA"/>
        </w:rPr>
      </w:pPr>
      <w:bookmarkStart w:id="31" w:name="_Ref10555610"/>
      <w:r w:rsidRPr="00AE6675">
        <w:rPr>
          <w:lang w:val="fr-CA"/>
        </w:rPr>
        <w:t>Figure </w:t>
      </w:r>
      <w:r w:rsidR="00343416" w:rsidRPr="00AE6675">
        <w:rPr>
          <w:rFonts w:cs="Arial"/>
          <w:lang w:val="fr-CA"/>
        </w:rPr>
        <w:fldChar w:fldCharType="begin"/>
      </w:r>
      <w:r w:rsidR="00343416" w:rsidRPr="00AE6675">
        <w:rPr>
          <w:rFonts w:cs="Arial"/>
          <w:lang w:val="fr-CA"/>
        </w:rPr>
        <w:instrText xml:space="preserve"> SEQ Figure \* ARABIC </w:instrText>
      </w:r>
      <w:r w:rsidR="00343416" w:rsidRPr="00AE6675">
        <w:rPr>
          <w:rFonts w:cs="Arial"/>
          <w:lang w:val="fr-CA"/>
        </w:rPr>
        <w:fldChar w:fldCharType="separate"/>
      </w:r>
      <w:r w:rsidR="00031329">
        <w:rPr>
          <w:rFonts w:cs="Arial"/>
          <w:noProof/>
          <w:lang w:val="fr-CA"/>
        </w:rPr>
        <w:t>12</w:t>
      </w:r>
      <w:r w:rsidR="00343416" w:rsidRPr="00AE6675">
        <w:rPr>
          <w:rFonts w:cs="Arial"/>
          <w:lang w:val="fr-CA"/>
        </w:rPr>
        <w:fldChar w:fldCharType="end"/>
      </w:r>
      <w:bookmarkEnd w:id="31"/>
      <w:r w:rsidRPr="00AE6675">
        <w:rPr>
          <w:lang w:val="fr-CA"/>
        </w:rPr>
        <w:t>. Résiduels du recrutement issus des relations stock-recrutement de Beverton-Holt, avec ajustement aux sorties de l</w:t>
      </w:r>
      <w:r w:rsidR="00AD78A9" w:rsidRPr="00AE6675">
        <w:rPr>
          <w:lang w:val="fr-CA"/>
        </w:rPr>
        <w:t>’</w:t>
      </w:r>
      <w:r w:rsidRPr="00AE6675">
        <w:rPr>
          <w:lang w:val="fr-CA"/>
        </w:rPr>
        <w:t>APV (graphique du haut) et du PESA (graphique du bas) de 2018.</w:t>
      </w:r>
    </w:p>
    <w:p w:rsidR="00785F75" w:rsidRPr="00AE6675" w:rsidRDefault="007B11E2" w:rsidP="00586861">
      <w:pPr>
        <w:jc w:val="center"/>
        <w:rPr>
          <w:lang w:val="fr-CA"/>
        </w:rPr>
      </w:pPr>
      <w:r w:rsidRPr="00AE6675">
        <w:rPr>
          <w:noProof/>
          <w:lang w:val="fr-CA"/>
        </w:rPr>
        <w:drawing>
          <wp:inline distT="0" distB="0" distL="0" distR="0" wp14:anchorId="0C4EF75D" wp14:editId="403C5DEF">
            <wp:extent cx="5972175" cy="4202430"/>
            <wp:effectExtent l="0" t="0" r="9525" b="7620"/>
            <wp:docPr id="31" name="Picture 31"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4202430"/>
                    </a:xfrm>
                    <a:prstGeom prst="rect">
                      <a:avLst/>
                    </a:prstGeom>
                  </pic:spPr>
                </pic:pic>
              </a:graphicData>
            </a:graphic>
          </wp:inline>
        </w:drawing>
      </w:r>
    </w:p>
    <w:p w:rsidR="00785F75" w:rsidRPr="00AE6675" w:rsidRDefault="00785F75" w:rsidP="0025585E">
      <w:pPr>
        <w:pStyle w:val="Caption-Figure"/>
        <w:rPr>
          <w:rFonts w:cs="Arial"/>
          <w:noProof/>
          <w:lang w:val="fr-CA"/>
        </w:rPr>
      </w:pPr>
      <w:bookmarkStart w:id="32" w:name="_Ref11056508"/>
      <w:r w:rsidRPr="00AE6675">
        <w:rPr>
          <w:lang w:val="fr-CA"/>
        </w:rPr>
        <w:t>Figure </w:t>
      </w:r>
      <w:r w:rsidR="00343416" w:rsidRPr="00AE6675">
        <w:rPr>
          <w:rFonts w:cs="Arial"/>
          <w:lang w:val="fr-CA"/>
        </w:rPr>
        <w:fldChar w:fldCharType="begin"/>
      </w:r>
      <w:r w:rsidR="00343416" w:rsidRPr="00AE6675">
        <w:rPr>
          <w:rFonts w:cs="Arial"/>
          <w:lang w:val="fr-CA"/>
        </w:rPr>
        <w:instrText xml:space="preserve"> SEQ Figure \* ARABIC </w:instrText>
      </w:r>
      <w:r w:rsidR="00343416" w:rsidRPr="00AE6675">
        <w:rPr>
          <w:rFonts w:cs="Arial"/>
          <w:lang w:val="fr-CA"/>
        </w:rPr>
        <w:fldChar w:fldCharType="separate"/>
      </w:r>
      <w:r w:rsidR="00031329">
        <w:rPr>
          <w:rFonts w:cs="Arial"/>
          <w:noProof/>
          <w:lang w:val="fr-CA"/>
        </w:rPr>
        <w:t>13</w:t>
      </w:r>
      <w:r w:rsidR="00343416" w:rsidRPr="00AE6675">
        <w:rPr>
          <w:rFonts w:cs="Arial"/>
          <w:lang w:val="fr-CA"/>
        </w:rPr>
        <w:fldChar w:fldCharType="end"/>
      </w:r>
      <w:bookmarkEnd w:id="32"/>
      <w:r w:rsidRPr="00AE6675">
        <w:rPr>
          <w:lang w:val="fr-CA"/>
        </w:rPr>
        <w:t>. Valeurs du CIA (critère d</w:t>
      </w:r>
      <w:r w:rsidR="00AD78A9" w:rsidRPr="00AE6675">
        <w:rPr>
          <w:lang w:val="fr-CA"/>
        </w:rPr>
        <w:t>’</w:t>
      </w:r>
      <w:r w:rsidRPr="00AE6675">
        <w:rPr>
          <w:lang w:val="fr-CA"/>
        </w:rPr>
        <w:t>information d</w:t>
      </w:r>
      <w:r w:rsidR="00AD78A9" w:rsidRPr="00AE6675">
        <w:rPr>
          <w:lang w:val="fr-CA"/>
        </w:rPr>
        <w:t>’</w:t>
      </w:r>
      <w:r w:rsidRPr="00AE6675">
        <w:rPr>
          <w:lang w:val="fr-CA"/>
        </w:rPr>
        <w:t>Akaike) pour la relation de Beverton-Holt (en noir) et la relation linéaire (en rouge), avec ajustement aux données sur le stock-recrutement provenant des modèles du PESA (à gauche) et de l</w:t>
      </w:r>
      <w:r w:rsidR="00AD78A9" w:rsidRPr="00AE6675">
        <w:rPr>
          <w:lang w:val="fr-CA"/>
        </w:rPr>
        <w:t>’</w:t>
      </w:r>
      <w:r w:rsidRPr="00AE6675">
        <w:rPr>
          <w:lang w:val="fr-CA"/>
        </w:rPr>
        <w:t>APV (à droite) de 2018.</w:t>
      </w:r>
    </w:p>
    <w:p w:rsidR="00711E52" w:rsidRPr="00AE6675" w:rsidRDefault="007B11E2" w:rsidP="00586861">
      <w:pPr>
        <w:jc w:val="center"/>
        <w:rPr>
          <w:lang w:val="fr-CA"/>
        </w:rPr>
      </w:pPr>
      <w:r w:rsidRPr="00AE6675">
        <w:rPr>
          <w:noProof/>
          <w:lang w:val="fr-CA"/>
        </w:rPr>
        <w:drawing>
          <wp:inline distT="0" distB="0" distL="0" distR="0" wp14:anchorId="622E6CAC" wp14:editId="2630AC99">
            <wp:extent cx="5972175" cy="4521200"/>
            <wp:effectExtent l="0" t="0" r="9525" b="0"/>
            <wp:docPr id="35840" name="Picture 35840"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4521200"/>
                    </a:xfrm>
                    <a:prstGeom prst="rect">
                      <a:avLst/>
                    </a:prstGeom>
                  </pic:spPr>
                </pic:pic>
              </a:graphicData>
            </a:graphic>
          </wp:inline>
        </w:drawing>
      </w:r>
    </w:p>
    <w:p w:rsidR="00711E52" w:rsidRPr="00AE6675" w:rsidRDefault="00711E52" w:rsidP="0025585E">
      <w:pPr>
        <w:pStyle w:val="Caption-Figure"/>
        <w:rPr>
          <w:rFonts w:cs="Arial"/>
          <w:lang w:val="fr-CA"/>
        </w:rPr>
      </w:pPr>
      <w:bookmarkStart w:id="33" w:name="_Ref11674310"/>
      <w:r w:rsidRPr="00AE6675">
        <w:rPr>
          <w:lang w:val="fr-CA"/>
        </w:rPr>
        <w:t>Figure </w:t>
      </w:r>
      <w:r w:rsidR="00343416" w:rsidRPr="00AE6675">
        <w:rPr>
          <w:rFonts w:cs="Arial"/>
          <w:lang w:val="fr-CA"/>
        </w:rPr>
        <w:fldChar w:fldCharType="begin"/>
      </w:r>
      <w:r w:rsidR="00343416" w:rsidRPr="00AE6675">
        <w:rPr>
          <w:rFonts w:cs="Arial"/>
          <w:lang w:val="fr-CA"/>
        </w:rPr>
        <w:instrText xml:space="preserve"> SEQ Figure \* ARABIC </w:instrText>
      </w:r>
      <w:r w:rsidR="00343416" w:rsidRPr="00AE6675">
        <w:rPr>
          <w:rFonts w:cs="Arial"/>
          <w:lang w:val="fr-CA"/>
        </w:rPr>
        <w:fldChar w:fldCharType="separate"/>
      </w:r>
      <w:r w:rsidR="00031329">
        <w:rPr>
          <w:rFonts w:cs="Arial"/>
          <w:noProof/>
          <w:lang w:val="fr-CA"/>
        </w:rPr>
        <w:t>14</w:t>
      </w:r>
      <w:r w:rsidR="00343416" w:rsidRPr="00AE6675">
        <w:rPr>
          <w:rFonts w:cs="Arial"/>
          <w:lang w:val="fr-CA"/>
        </w:rPr>
        <w:fldChar w:fldCharType="end"/>
      </w:r>
      <w:bookmarkEnd w:id="33"/>
      <w:r w:rsidRPr="00AE6675">
        <w:rPr>
          <w:lang w:val="fr-CA"/>
        </w:rPr>
        <w:t>. Tendances temporelles dans les paramètres de croissance de von Bertallanfy, avec ajustement aux données de relevé. Les lignes verticales en pointillés indiquent une période approximative de début (1978-1996), de milieu (1997-2002) et de fin (2003-2019). Les points sont les ajustements de la courbe de croissance annuelle et les lignes rouges sont les ajustements de la courbe de croissance couvrant toute la période.</w:t>
      </w:r>
    </w:p>
    <w:p w:rsidR="00711E52" w:rsidRPr="00AE6675" w:rsidRDefault="007B11E2" w:rsidP="00586861">
      <w:pPr>
        <w:jc w:val="center"/>
        <w:rPr>
          <w:lang w:val="fr-CA"/>
        </w:rPr>
      </w:pPr>
      <w:r w:rsidRPr="00AE6675">
        <w:rPr>
          <w:noProof/>
          <w:lang w:val="fr-CA"/>
        </w:rPr>
        <w:drawing>
          <wp:inline distT="0" distB="0" distL="0" distR="0" wp14:anchorId="60CF3F7F" wp14:editId="5C99C8FB">
            <wp:extent cx="5972175" cy="4296410"/>
            <wp:effectExtent l="0" t="0" r="9525" b="8890"/>
            <wp:docPr id="35841" name="Picture 35841"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4296410"/>
                    </a:xfrm>
                    <a:prstGeom prst="rect">
                      <a:avLst/>
                    </a:prstGeom>
                  </pic:spPr>
                </pic:pic>
              </a:graphicData>
            </a:graphic>
          </wp:inline>
        </w:drawing>
      </w:r>
    </w:p>
    <w:p w:rsidR="00711E52" w:rsidRPr="00AE6675" w:rsidRDefault="00711E52" w:rsidP="0025585E">
      <w:pPr>
        <w:pStyle w:val="Caption-Figure"/>
        <w:rPr>
          <w:rFonts w:cs="Arial"/>
          <w:lang w:val="fr-CA"/>
        </w:rPr>
      </w:pPr>
      <w:bookmarkStart w:id="34" w:name="_Ref11674364"/>
      <w:r w:rsidRPr="00AE6675">
        <w:rPr>
          <w:lang w:val="fr-CA"/>
        </w:rPr>
        <w:t>Figure </w:t>
      </w:r>
      <w:r w:rsidR="00343416" w:rsidRPr="00AE6675">
        <w:rPr>
          <w:rFonts w:cs="Arial"/>
          <w:lang w:val="fr-CA"/>
        </w:rPr>
        <w:fldChar w:fldCharType="begin"/>
      </w:r>
      <w:r w:rsidR="00343416" w:rsidRPr="00AE6675">
        <w:rPr>
          <w:rFonts w:cs="Arial"/>
          <w:lang w:val="fr-CA"/>
        </w:rPr>
        <w:instrText xml:space="preserve"> SEQ Figure \* ARABIC </w:instrText>
      </w:r>
      <w:r w:rsidR="00343416" w:rsidRPr="00AE6675">
        <w:rPr>
          <w:rFonts w:cs="Arial"/>
          <w:lang w:val="fr-CA"/>
        </w:rPr>
        <w:fldChar w:fldCharType="separate"/>
      </w:r>
      <w:r w:rsidR="00031329">
        <w:rPr>
          <w:rFonts w:cs="Arial"/>
          <w:noProof/>
          <w:lang w:val="fr-CA"/>
        </w:rPr>
        <w:t>15</w:t>
      </w:r>
      <w:r w:rsidR="00343416" w:rsidRPr="00AE6675">
        <w:rPr>
          <w:rFonts w:cs="Arial"/>
          <w:lang w:val="fr-CA"/>
        </w:rPr>
        <w:fldChar w:fldCharType="end"/>
      </w:r>
      <w:bookmarkEnd w:id="34"/>
      <w:r w:rsidRPr="00AE6675">
        <w:rPr>
          <w:lang w:val="fr-CA"/>
        </w:rPr>
        <w:t>. Données sur la longueur selon l</w:t>
      </w:r>
      <w:r w:rsidR="00AD78A9" w:rsidRPr="00AE6675">
        <w:rPr>
          <w:lang w:val="fr-CA"/>
        </w:rPr>
        <w:t>’</w:t>
      </w:r>
      <w:r w:rsidRPr="00AE6675">
        <w:rPr>
          <w:lang w:val="fr-CA"/>
        </w:rPr>
        <w:t>âge tirées des trois relevés du MPO et du NMFS depuis 1978, colorées par période.</w:t>
      </w:r>
    </w:p>
    <w:p w:rsidR="00711E52" w:rsidRPr="00AE6675" w:rsidRDefault="007B11E2" w:rsidP="00586861">
      <w:pPr>
        <w:jc w:val="center"/>
        <w:rPr>
          <w:lang w:val="fr-CA"/>
        </w:rPr>
      </w:pPr>
      <w:r w:rsidRPr="00AE6675">
        <w:rPr>
          <w:noProof/>
          <w:lang w:val="fr-CA"/>
        </w:rPr>
        <w:lastRenderedPageBreak/>
        <w:drawing>
          <wp:inline distT="0" distB="0" distL="0" distR="0" wp14:anchorId="18543DF7" wp14:editId="57E960FC">
            <wp:extent cx="5972175" cy="3787775"/>
            <wp:effectExtent l="0" t="0" r="9525" b="3175"/>
            <wp:docPr id="35843" name="Picture 35843"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3787775"/>
                    </a:xfrm>
                    <a:prstGeom prst="rect">
                      <a:avLst/>
                    </a:prstGeom>
                  </pic:spPr>
                </pic:pic>
              </a:graphicData>
            </a:graphic>
          </wp:inline>
        </w:drawing>
      </w:r>
    </w:p>
    <w:p w:rsidR="00592349" w:rsidRPr="000C6B5D" w:rsidRDefault="00711E52" w:rsidP="0025585E">
      <w:pPr>
        <w:pStyle w:val="Caption-Figure"/>
        <w:rPr>
          <w:rStyle w:val="BodyTextChar3"/>
          <w:color w:val="000000"/>
          <w:sz w:val="22"/>
        </w:rPr>
      </w:pPr>
      <w:bookmarkStart w:id="35" w:name="_Ref11674415"/>
      <w:r w:rsidRPr="00AE6675">
        <w:rPr>
          <w:lang w:val="fr-CA"/>
        </w:rPr>
        <w:t>Figure </w:t>
      </w:r>
      <w:r w:rsidR="00343416" w:rsidRPr="00AE6675">
        <w:rPr>
          <w:rFonts w:cs="Arial"/>
          <w:lang w:val="fr-CA"/>
        </w:rPr>
        <w:fldChar w:fldCharType="begin"/>
      </w:r>
      <w:r w:rsidR="00343416" w:rsidRPr="00AE6675">
        <w:rPr>
          <w:rFonts w:cs="Arial"/>
          <w:lang w:val="fr-CA"/>
        </w:rPr>
        <w:instrText xml:space="preserve"> SEQ Figure \* ARABIC </w:instrText>
      </w:r>
      <w:r w:rsidR="00343416" w:rsidRPr="00AE6675">
        <w:rPr>
          <w:rFonts w:cs="Arial"/>
          <w:lang w:val="fr-CA"/>
        </w:rPr>
        <w:fldChar w:fldCharType="separate"/>
      </w:r>
      <w:r w:rsidR="00031329">
        <w:rPr>
          <w:rFonts w:cs="Arial"/>
          <w:noProof/>
          <w:lang w:val="fr-CA"/>
        </w:rPr>
        <w:t>16</w:t>
      </w:r>
      <w:r w:rsidR="00343416" w:rsidRPr="00AE6675">
        <w:rPr>
          <w:rFonts w:cs="Arial"/>
          <w:lang w:val="fr-CA"/>
        </w:rPr>
        <w:fldChar w:fldCharType="end"/>
      </w:r>
      <w:bookmarkEnd w:id="35"/>
      <w:r w:rsidRPr="00AE6675">
        <w:rPr>
          <w:lang w:val="fr-CA"/>
        </w:rPr>
        <w:t>. Données disponibles sur la longueur selon l</w:t>
      </w:r>
      <w:r w:rsidR="00AD78A9" w:rsidRPr="00AE6675">
        <w:rPr>
          <w:lang w:val="fr-CA"/>
        </w:rPr>
        <w:t>’</w:t>
      </w:r>
      <w:r w:rsidRPr="00AE6675">
        <w:rPr>
          <w:lang w:val="fr-CA"/>
        </w:rPr>
        <w:t>âge pour tous les relevés du MPO et du NMFS depuis 1978. Les facettes représentent les périodes du début (à gauche), du milieu et de la fin (à droite). L</w:t>
      </w:r>
      <w:r w:rsidR="00AD78A9" w:rsidRPr="00AE6675">
        <w:rPr>
          <w:lang w:val="fr-CA"/>
        </w:rPr>
        <w:t>’</w:t>
      </w:r>
      <w:r w:rsidRPr="00AE6675">
        <w:rPr>
          <w:lang w:val="fr-CA"/>
        </w:rPr>
        <w:t>âge a été ajusté à l</w:t>
      </w:r>
      <w:r w:rsidR="00AD78A9" w:rsidRPr="00AE6675">
        <w:rPr>
          <w:lang w:val="fr-CA"/>
        </w:rPr>
        <w:t>’</w:t>
      </w:r>
      <w:r w:rsidRPr="00AE6675">
        <w:rPr>
          <w:lang w:val="fr-CA"/>
        </w:rPr>
        <w:t>âge partiel pour tenir compte des différences dans le calendrier</w:t>
      </w:r>
      <w:r w:rsidRPr="000C6B5D">
        <w:t xml:space="preserve"> des relevés.</w:t>
      </w:r>
    </w:p>
    <w:sectPr w:rsidR="00592349" w:rsidRPr="000C6B5D" w:rsidSect="00564020">
      <w:footerReference w:type="default" r:id="rId35"/>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343" w:rsidRPr="000C6B5D" w:rsidRDefault="00DA6343">
      <w:r w:rsidRPr="000C6B5D">
        <w:separator/>
      </w:r>
    </w:p>
  </w:endnote>
  <w:endnote w:type="continuationSeparator" w:id="0">
    <w:p w:rsidR="00DA6343" w:rsidRPr="000C6B5D" w:rsidRDefault="00DA6343">
      <w:r w:rsidRPr="000C6B5D">
        <w:continuationSeparator/>
      </w:r>
    </w:p>
  </w:endnote>
  <w:endnote w:type="continuationNotice" w:id="1">
    <w:p w:rsidR="00DA6343" w:rsidRPr="000C6B5D" w:rsidRDefault="00DA6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0C6B5D" w:rsidRDefault="00DA6343" w:rsidP="00591D7B">
    <w:pPr>
      <w:pStyle w:val="Footer"/>
      <w:framePr w:wrap="around" w:vAnchor="text" w:hAnchor="margin" w:xAlign="center" w:y="1"/>
      <w:rPr>
        <w:rStyle w:val="PageNumber"/>
      </w:rPr>
    </w:pPr>
    <w:r w:rsidRPr="000C6B5D">
      <w:rPr>
        <w:rStyle w:val="PageNumber"/>
      </w:rPr>
      <w:fldChar w:fldCharType="begin"/>
    </w:r>
    <w:r w:rsidRPr="000C6B5D">
      <w:rPr>
        <w:rStyle w:val="PageNumber"/>
      </w:rPr>
      <w:instrText xml:space="preserve">PAGE  </w:instrText>
    </w:r>
    <w:r w:rsidRPr="000C6B5D">
      <w:rPr>
        <w:rStyle w:val="PageNumber"/>
      </w:rPr>
      <w:fldChar w:fldCharType="separate"/>
    </w:r>
    <w:r w:rsidRPr="000C6B5D">
      <w:rPr>
        <w:rStyle w:val="PageNumber"/>
      </w:rPr>
      <w:t>47</w:t>
    </w:r>
    <w:r w:rsidRPr="000C6B5D">
      <w:rPr>
        <w:rStyle w:val="PageNumber"/>
      </w:rPr>
      <w:fldChar w:fldCharType="end"/>
    </w:r>
  </w:p>
  <w:p w:rsidR="00DA6343" w:rsidRPr="000C6B5D" w:rsidRDefault="00DA6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0C6B5D" w:rsidRDefault="00DA6343" w:rsidP="00591D7B">
    <w:pPr>
      <w:pStyle w:val="Footer"/>
      <w:framePr w:wrap="around" w:vAnchor="text" w:hAnchor="margin" w:xAlign="center" w:y="1"/>
      <w:rPr>
        <w:rStyle w:val="PageNumber"/>
      </w:rPr>
    </w:pPr>
    <w:r w:rsidRPr="000C6B5D">
      <w:rPr>
        <w:rStyle w:val="PageNumber"/>
      </w:rPr>
      <w:fldChar w:fldCharType="begin"/>
    </w:r>
    <w:r w:rsidRPr="000C6B5D">
      <w:rPr>
        <w:rStyle w:val="PageNumber"/>
      </w:rPr>
      <w:instrText xml:space="preserve">PAGE  </w:instrText>
    </w:r>
    <w:r w:rsidRPr="000C6B5D">
      <w:rPr>
        <w:rStyle w:val="PageNumber"/>
      </w:rPr>
      <w:fldChar w:fldCharType="separate"/>
    </w:r>
    <w:r>
      <w:rPr>
        <w:rStyle w:val="PageNumber"/>
        <w:noProof/>
      </w:rPr>
      <w:t>2</w:t>
    </w:r>
    <w:r w:rsidRPr="000C6B5D">
      <w:rPr>
        <w:rStyle w:val="PageNumber"/>
      </w:rPr>
      <w:fldChar w:fldCharType="end"/>
    </w:r>
  </w:p>
  <w:p w:rsidR="00DA6343" w:rsidRPr="000C6B5D" w:rsidRDefault="00DA6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1" w:type="dxa"/>
      <w:tblBorders>
        <w:top w:val="single" w:sz="4" w:space="0" w:color="auto"/>
      </w:tblBorders>
      <w:tblLayout w:type="fixed"/>
      <w:tblLook w:val="01E0" w:firstRow="1" w:lastRow="1" w:firstColumn="1" w:lastColumn="1" w:noHBand="0" w:noVBand="0"/>
    </w:tblPr>
    <w:tblGrid>
      <w:gridCol w:w="4077"/>
      <w:gridCol w:w="540"/>
      <w:gridCol w:w="4455"/>
    </w:tblGrid>
    <w:tr w:rsidR="00DA6343" w:rsidRPr="00D50762" w:rsidTr="00DA6343">
      <w:tc>
        <w:tcPr>
          <w:tcW w:w="4077" w:type="dxa"/>
          <w:tcBorders>
            <w:top w:val="nil"/>
            <w:bottom w:val="nil"/>
          </w:tcBorders>
        </w:tcPr>
        <w:p w:rsidR="00DA6343" w:rsidRPr="00D50762" w:rsidRDefault="00DA6343" w:rsidP="00DA6343">
          <w:pPr>
            <w:tabs>
              <w:tab w:val="right" w:pos="10064"/>
            </w:tabs>
            <w:spacing w:before="0" w:after="0"/>
            <w:rPr>
              <w:rFonts w:cs="Arial"/>
              <w:spacing w:val="-3"/>
              <w:sz w:val="16"/>
              <w:szCs w:val="16"/>
              <w:lang w:val="fr-CA"/>
            </w:rPr>
          </w:pPr>
          <w:r w:rsidRPr="00D50762">
            <w:rPr>
              <w:rFonts w:cs="Arial"/>
              <w:spacing w:val="-3"/>
              <w:sz w:val="16"/>
              <w:szCs w:val="16"/>
              <w:lang w:val="fr-CA"/>
            </w:rPr>
            <w:t>Ce document est disponible sur l’Internet à :</w:t>
          </w:r>
        </w:p>
      </w:tc>
      <w:tc>
        <w:tcPr>
          <w:tcW w:w="540" w:type="dxa"/>
          <w:tcBorders>
            <w:top w:val="nil"/>
            <w:bottom w:val="nil"/>
          </w:tcBorders>
        </w:tcPr>
        <w:p w:rsidR="00DA6343" w:rsidRPr="00D50762" w:rsidRDefault="00DA6343" w:rsidP="00DA6343">
          <w:pPr>
            <w:tabs>
              <w:tab w:val="right" w:pos="10064"/>
            </w:tabs>
            <w:spacing w:before="0" w:after="0"/>
            <w:jc w:val="center"/>
            <w:rPr>
              <w:rFonts w:cs="Arial"/>
              <w:spacing w:val="-3"/>
              <w:sz w:val="16"/>
              <w:szCs w:val="16"/>
              <w:lang w:val="fr-CA"/>
            </w:rPr>
          </w:pPr>
        </w:p>
      </w:tc>
      <w:tc>
        <w:tcPr>
          <w:tcW w:w="4455" w:type="dxa"/>
          <w:tcBorders>
            <w:top w:val="nil"/>
            <w:bottom w:val="nil"/>
          </w:tcBorders>
        </w:tcPr>
        <w:p w:rsidR="00DA6343" w:rsidRPr="00D50762" w:rsidRDefault="00DA6343" w:rsidP="00DA6343">
          <w:pPr>
            <w:tabs>
              <w:tab w:val="right" w:pos="10064"/>
            </w:tabs>
            <w:spacing w:before="0" w:after="0"/>
            <w:jc w:val="right"/>
            <w:rPr>
              <w:rFonts w:cs="Arial"/>
              <w:spacing w:val="-3"/>
              <w:sz w:val="16"/>
              <w:szCs w:val="16"/>
              <w:lang w:val="en-CA"/>
            </w:rPr>
          </w:pPr>
          <w:r w:rsidRPr="00D50762">
            <w:rPr>
              <w:rFonts w:cs="Arial"/>
              <w:spacing w:val="-3"/>
              <w:sz w:val="16"/>
              <w:szCs w:val="16"/>
              <w:lang w:val="en-CA"/>
            </w:rPr>
            <w:t>This document is available on the Internet at :</w:t>
          </w:r>
        </w:p>
      </w:tc>
    </w:tr>
    <w:tr w:rsidR="00DA6343" w:rsidRPr="00D50762" w:rsidTr="00DA6343">
      <w:tc>
        <w:tcPr>
          <w:tcW w:w="9072" w:type="dxa"/>
          <w:gridSpan w:val="3"/>
          <w:tcBorders>
            <w:top w:val="nil"/>
            <w:bottom w:val="single" w:sz="4" w:space="0" w:color="auto"/>
          </w:tcBorders>
        </w:tcPr>
        <w:p w:rsidR="00DA6343" w:rsidRPr="00D50762" w:rsidRDefault="00DA6343" w:rsidP="00DA6343">
          <w:pPr>
            <w:tabs>
              <w:tab w:val="right" w:pos="10064"/>
            </w:tabs>
            <w:spacing w:before="0" w:after="0"/>
            <w:jc w:val="center"/>
            <w:rPr>
              <w:rFonts w:cs="Arial"/>
              <w:spacing w:val="-3"/>
              <w:sz w:val="16"/>
              <w:szCs w:val="16"/>
              <w:lang w:val="en-CA"/>
            </w:rPr>
          </w:pPr>
          <w:hyperlink r:id="rId1" w:tooltip="Transboundary Resources Assessment Committee (TRAC)" w:history="1">
            <w:r w:rsidRPr="00D50762">
              <w:rPr>
                <w:rFonts w:cs="Arial"/>
                <w:color w:val="0000FF"/>
                <w:spacing w:val="-3"/>
                <w:sz w:val="16"/>
                <w:szCs w:val="16"/>
                <w:u w:val="single"/>
                <w:lang w:val="en-CA"/>
              </w:rPr>
              <w:t>http://www.bio.gc.ca/info/intercol/index-en.php</w:t>
            </w:r>
          </w:hyperlink>
        </w:p>
      </w:tc>
    </w:tr>
    <w:tr w:rsidR="00DA6343" w:rsidRPr="00D50762" w:rsidTr="00DA6343">
      <w:tc>
        <w:tcPr>
          <w:tcW w:w="4077" w:type="dxa"/>
          <w:tcBorders>
            <w:top w:val="single" w:sz="4" w:space="0" w:color="auto"/>
          </w:tcBorders>
        </w:tcPr>
        <w:p w:rsidR="00DA6343" w:rsidRPr="00D50762" w:rsidRDefault="00DA6343" w:rsidP="00DA6343">
          <w:pPr>
            <w:tabs>
              <w:tab w:val="right" w:pos="10064"/>
            </w:tabs>
            <w:spacing w:before="0" w:after="0"/>
            <w:rPr>
              <w:rFonts w:cs="Arial"/>
              <w:spacing w:val="-3"/>
              <w:lang w:val="en-CA"/>
            </w:rPr>
          </w:pPr>
        </w:p>
        <w:p w:rsidR="00DA6343" w:rsidRPr="00D50762" w:rsidRDefault="00DA6343" w:rsidP="00DA6343">
          <w:pPr>
            <w:tabs>
              <w:tab w:val="right" w:pos="10064"/>
            </w:tabs>
            <w:spacing w:before="0" w:after="0"/>
            <w:rPr>
              <w:rFonts w:cs="Arial"/>
              <w:spacing w:val="-3"/>
            </w:rPr>
          </w:pPr>
          <w:r w:rsidRPr="00D50762">
            <w:rPr>
              <w:rFonts w:cs="Arial"/>
              <w:noProof/>
            </w:rPr>
            <w:drawing>
              <wp:inline distT="0" distB="0" distL="0" distR="0" wp14:anchorId="253E6D7D" wp14:editId="66FB07CF">
                <wp:extent cx="800100" cy="190500"/>
                <wp:effectExtent l="19050" t="0" r="0" b="0"/>
                <wp:docPr id="8" name="Picture 8"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 Transparent"/>
                        <pic:cNvPicPr>
                          <a:picLocks noChangeAspect="1" noChangeArrowheads="1"/>
                        </pic:cNvPicPr>
                      </pic:nvPicPr>
                      <pic:blipFill>
                        <a:blip r:embed="rId2"/>
                        <a:srcRect/>
                        <a:stretch>
                          <a:fillRect/>
                        </a:stretch>
                      </pic:blipFill>
                      <pic:spPr bwMode="auto">
                        <a:xfrm>
                          <a:off x="0" y="0"/>
                          <a:ext cx="800100" cy="190500"/>
                        </a:xfrm>
                        <a:prstGeom prst="rect">
                          <a:avLst/>
                        </a:prstGeom>
                        <a:noFill/>
                        <a:ln w="9525">
                          <a:noFill/>
                          <a:miter lim="800000"/>
                          <a:headEnd/>
                          <a:tailEnd/>
                        </a:ln>
                      </pic:spPr>
                    </pic:pic>
                  </a:graphicData>
                </a:graphic>
              </wp:inline>
            </w:drawing>
          </w:r>
        </w:p>
      </w:tc>
      <w:tc>
        <w:tcPr>
          <w:tcW w:w="540" w:type="dxa"/>
          <w:tcBorders>
            <w:top w:val="single" w:sz="4" w:space="0" w:color="auto"/>
          </w:tcBorders>
        </w:tcPr>
        <w:p w:rsidR="00DA6343" w:rsidRPr="00D50762" w:rsidRDefault="00DA6343" w:rsidP="00DA6343">
          <w:pPr>
            <w:tabs>
              <w:tab w:val="right" w:pos="10064"/>
            </w:tabs>
            <w:spacing w:before="0" w:after="0"/>
            <w:jc w:val="center"/>
            <w:rPr>
              <w:rFonts w:cs="Arial"/>
              <w:spacing w:val="-3"/>
            </w:rPr>
          </w:pPr>
        </w:p>
        <w:p w:rsidR="00DA6343" w:rsidRPr="00D50762" w:rsidRDefault="00DA6343" w:rsidP="00DA6343">
          <w:pPr>
            <w:tabs>
              <w:tab w:val="right" w:pos="10064"/>
            </w:tabs>
            <w:spacing w:before="0" w:after="0"/>
            <w:jc w:val="center"/>
            <w:rPr>
              <w:rFonts w:cs="Arial"/>
              <w:spacing w:val="-3"/>
            </w:rPr>
          </w:pPr>
        </w:p>
      </w:tc>
      <w:tc>
        <w:tcPr>
          <w:tcW w:w="4455" w:type="dxa"/>
          <w:tcBorders>
            <w:top w:val="single" w:sz="4" w:space="0" w:color="auto"/>
          </w:tcBorders>
        </w:tcPr>
        <w:p w:rsidR="00DA6343" w:rsidRPr="00D50762" w:rsidRDefault="00DA6343" w:rsidP="00DA6343">
          <w:pPr>
            <w:tabs>
              <w:tab w:val="right" w:pos="10064"/>
            </w:tabs>
            <w:spacing w:before="0" w:after="0"/>
            <w:jc w:val="right"/>
            <w:rPr>
              <w:rFonts w:cs="Arial"/>
              <w:spacing w:val="-3"/>
            </w:rPr>
          </w:pPr>
          <w:r w:rsidRPr="00D50762">
            <w:rPr>
              <w:rFonts w:cs="Arial"/>
              <w:noProof/>
              <w:spacing w:val="-3"/>
            </w:rPr>
            <w:drawing>
              <wp:inline distT="0" distB="0" distL="0" distR="0" wp14:anchorId="47678144" wp14:editId="68D6EB36">
                <wp:extent cx="381000" cy="381000"/>
                <wp:effectExtent l="19050" t="0" r="0" b="0"/>
                <wp:docPr id="9" name="Picture 9"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_logo"/>
                        <pic:cNvPicPr>
                          <a:picLocks noChangeAspect="1" noChangeArrowheads="1"/>
                        </pic:cNvPicPr>
                      </pic:nvPicPr>
                      <pic:blipFill>
                        <a:blip r:embed="rId3"/>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bl>
  <w:p w:rsidR="00DA6343" w:rsidRDefault="00DA63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0C6B5D" w:rsidRDefault="00DA6343">
    <w:pPr>
      <w:pStyle w:val="Footer"/>
      <w:framePr w:wrap="around" w:vAnchor="text" w:hAnchor="margin" w:xAlign="center" w:y="1"/>
      <w:rPr>
        <w:rStyle w:val="PageNumber"/>
      </w:rPr>
    </w:pPr>
    <w:r w:rsidRPr="000C6B5D">
      <w:rPr>
        <w:rStyle w:val="PageNumber"/>
      </w:rPr>
      <w:fldChar w:fldCharType="begin"/>
    </w:r>
    <w:r w:rsidRPr="000C6B5D">
      <w:rPr>
        <w:rStyle w:val="PageNumber"/>
      </w:rPr>
      <w:instrText xml:space="preserve">PAGE  </w:instrText>
    </w:r>
    <w:r w:rsidRPr="000C6B5D">
      <w:rPr>
        <w:rStyle w:val="PageNumber"/>
      </w:rPr>
      <w:fldChar w:fldCharType="separate"/>
    </w:r>
    <w:r w:rsidRPr="000C6B5D">
      <w:rPr>
        <w:rStyle w:val="PageNumber"/>
      </w:rPr>
      <w:t>81</w:t>
    </w:r>
    <w:r w:rsidRPr="000C6B5D">
      <w:rPr>
        <w:rStyle w:val="PageNumber"/>
      </w:rPr>
      <w:fldChar w:fldCharType="end"/>
    </w:r>
  </w:p>
  <w:p w:rsidR="00DA6343" w:rsidRPr="000C6B5D" w:rsidRDefault="00DA63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675" w:rsidRPr="00AE6675" w:rsidRDefault="00AE6675" w:rsidP="00AE66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675" w:rsidRDefault="00AE6675" w:rsidP="00AE6675">
    <w:pPr>
      <w:pBdr>
        <w:top w:val="single" w:sz="4" w:space="1" w:color="auto"/>
      </w:pBdr>
      <w:tabs>
        <w:tab w:val="left" w:pos="3894"/>
      </w:tabs>
      <w:jc w:val="center"/>
    </w:pPr>
    <w:r>
      <w:fldChar w:fldCharType="begin"/>
    </w:r>
    <w:r>
      <w:instrText xml:space="preserve"> PAGE   \* MERGEFORMAT </w:instrText>
    </w:r>
    <w:r>
      <w:fldChar w:fldCharType="separate"/>
    </w:r>
    <w:r w:rsidR="009F2754">
      <w:rPr>
        <w:noProof/>
      </w:rPr>
      <w:t>iv</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675" w:rsidRDefault="00AE6675" w:rsidP="00AE6675">
    <w:pPr>
      <w:pBdr>
        <w:top w:val="single" w:sz="4" w:space="1" w:color="auto"/>
      </w:pBdr>
      <w:tabs>
        <w:tab w:val="left" w:pos="3894"/>
      </w:tabs>
      <w:jc w:val="center"/>
    </w:pPr>
    <w:r>
      <w:fldChar w:fldCharType="begin"/>
    </w:r>
    <w:r>
      <w:instrText xml:space="preserve"> PAGE   \* MERGEFORMAT </w:instrText>
    </w:r>
    <w:r>
      <w:fldChar w:fldCharType="separate"/>
    </w:r>
    <w:r w:rsidR="009F2754">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343" w:rsidRPr="000C6B5D" w:rsidRDefault="00DA6343">
      <w:r w:rsidRPr="000C6B5D">
        <w:separator/>
      </w:r>
    </w:p>
  </w:footnote>
  <w:footnote w:type="continuationSeparator" w:id="0">
    <w:p w:rsidR="00DA6343" w:rsidRPr="000C6B5D" w:rsidRDefault="00DA6343">
      <w:r w:rsidRPr="000C6B5D">
        <w:continuationSeparator/>
      </w:r>
    </w:p>
  </w:footnote>
  <w:footnote w:type="continuationNotice" w:id="1">
    <w:p w:rsidR="00DA6343" w:rsidRPr="000C6B5D" w:rsidRDefault="00DA63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3" w:type="dxa"/>
      <w:tblLayout w:type="fixed"/>
      <w:tblCellMar>
        <w:left w:w="0" w:type="dxa"/>
        <w:right w:w="0" w:type="dxa"/>
      </w:tblCellMar>
      <w:tblLook w:val="01E0" w:firstRow="1" w:lastRow="1" w:firstColumn="1" w:lastColumn="1" w:noHBand="0" w:noVBand="0"/>
    </w:tblPr>
    <w:tblGrid>
      <w:gridCol w:w="4698"/>
      <w:gridCol w:w="4365"/>
    </w:tblGrid>
    <w:tr w:rsidR="00DA6343" w:rsidRPr="00FF6E78" w:rsidTr="00DA6343">
      <w:tc>
        <w:tcPr>
          <w:tcW w:w="4698" w:type="dxa"/>
        </w:tcPr>
        <w:p w:rsidR="00DA6343" w:rsidRPr="00FF6E78" w:rsidRDefault="00DA6343" w:rsidP="00DA6343">
          <w:pPr>
            <w:tabs>
              <w:tab w:val="center" w:pos="4320"/>
              <w:tab w:val="right" w:pos="8825"/>
            </w:tabs>
            <w:spacing w:before="0" w:after="0"/>
            <w:rPr>
              <w:b/>
              <w:sz w:val="24"/>
            </w:rPr>
          </w:pPr>
          <w:r w:rsidRPr="00FF6E78">
            <w:rPr>
              <w:noProof/>
              <w:sz w:val="24"/>
            </w:rPr>
            <w:drawing>
              <wp:inline distT="0" distB="0" distL="0" distR="0" wp14:anchorId="31CFCCC4" wp14:editId="0BEF4875">
                <wp:extent cx="2493364" cy="460350"/>
                <wp:effectExtent l="0" t="0" r="2540" b="0"/>
                <wp:docPr id="1" name="Picture 1"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365" w:type="dxa"/>
        </w:tcPr>
        <w:p w:rsidR="00DA6343" w:rsidRPr="00FF6E78" w:rsidRDefault="00DA6343" w:rsidP="00DA6343">
          <w:pPr>
            <w:tabs>
              <w:tab w:val="center" w:pos="4320"/>
              <w:tab w:val="right" w:pos="8640"/>
            </w:tabs>
            <w:spacing w:before="0" w:after="0"/>
            <w:jc w:val="right"/>
            <w:rPr>
              <w:b/>
              <w:sz w:val="24"/>
            </w:rPr>
          </w:pPr>
          <w:r w:rsidRPr="00FF6E78">
            <w:rPr>
              <w:noProof/>
              <w:sz w:val="24"/>
            </w:rPr>
            <w:drawing>
              <wp:inline distT="0" distB="0" distL="0" distR="0" wp14:anchorId="75BB6E64" wp14:editId="3286F3E1">
                <wp:extent cx="2724150" cy="266700"/>
                <wp:effectExtent l="19050" t="0" r="0" b="0"/>
                <wp:docPr id="6" name="Picture 6" descr="fix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logo"/>
                        <pic:cNvPicPr>
                          <a:picLocks noChangeAspect="1" noChangeArrowheads="1"/>
                        </pic:cNvPicPr>
                      </pic:nvPicPr>
                      <pic:blipFill>
                        <a:blip r:embed="rId2"/>
                        <a:srcRect/>
                        <a:stretch>
                          <a:fillRect/>
                        </a:stretch>
                      </pic:blipFill>
                      <pic:spPr bwMode="auto">
                        <a:xfrm>
                          <a:off x="0" y="0"/>
                          <a:ext cx="2724150" cy="266700"/>
                        </a:xfrm>
                        <a:prstGeom prst="rect">
                          <a:avLst/>
                        </a:prstGeom>
                        <a:noFill/>
                        <a:ln w="9525">
                          <a:noFill/>
                          <a:miter lim="800000"/>
                          <a:headEnd/>
                          <a:tailEnd/>
                        </a:ln>
                      </pic:spPr>
                    </pic:pic>
                  </a:graphicData>
                </a:graphic>
              </wp:inline>
            </w:drawing>
          </w:r>
        </w:p>
      </w:tc>
    </w:tr>
    <w:tr w:rsidR="00DA6343" w:rsidRPr="00DA6343" w:rsidTr="00DA6343">
      <w:trPr>
        <w:cantSplit/>
      </w:trPr>
      <w:tc>
        <w:tcPr>
          <w:tcW w:w="4698" w:type="dxa"/>
        </w:tcPr>
        <w:p w:rsidR="00DA6343" w:rsidRPr="00DA6343" w:rsidRDefault="00DA6343" w:rsidP="00DA6343">
          <w:pPr>
            <w:tabs>
              <w:tab w:val="center" w:pos="4320"/>
              <w:tab w:val="right" w:pos="8640"/>
            </w:tabs>
            <w:spacing w:before="0" w:after="0"/>
            <w:rPr>
              <w:rFonts w:cs="Arial"/>
              <w:b/>
              <w:sz w:val="30"/>
              <w:szCs w:val="30"/>
            </w:rPr>
          </w:pPr>
        </w:p>
        <w:p w:rsidR="00DA6343" w:rsidRPr="00DA6343" w:rsidRDefault="00DA6343" w:rsidP="00DA6343">
          <w:pPr>
            <w:tabs>
              <w:tab w:val="center" w:pos="4320"/>
              <w:tab w:val="right" w:pos="8640"/>
            </w:tabs>
            <w:spacing w:before="0" w:after="0"/>
            <w:rPr>
              <w:rFonts w:cs="Arial"/>
              <w:b/>
              <w:i/>
              <w:sz w:val="30"/>
              <w:szCs w:val="30"/>
              <w:lang w:val="fr-CA"/>
            </w:rPr>
          </w:pPr>
          <w:r w:rsidRPr="00DA6343">
            <w:rPr>
              <w:rFonts w:cs="Arial"/>
              <w:b/>
              <w:i/>
              <w:sz w:val="30"/>
              <w:szCs w:val="30"/>
              <w:lang w:val="fr-CA"/>
            </w:rPr>
            <w:t>CERT</w:t>
          </w:r>
        </w:p>
        <w:p w:rsidR="00DA6343" w:rsidRPr="00DA6343" w:rsidRDefault="00DA6343" w:rsidP="00DA6343">
          <w:pPr>
            <w:tabs>
              <w:tab w:val="center" w:pos="4320"/>
              <w:tab w:val="right" w:pos="8640"/>
            </w:tabs>
            <w:spacing w:before="0" w:after="0"/>
            <w:rPr>
              <w:rFonts w:cs="Arial"/>
              <w:b/>
              <w:sz w:val="30"/>
              <w:szCs w:val="30"/>
              <w:lang w:val="fr-CA"/>
            </w:rPr>
          </w:pPr>
        </w:p>
        <w:p w:rsidR="00DA6343" w:rsidRPr="00DA6343" w:rsidRDefault="00DA6343" w:rsidP="00DA6343">
          <w:pPr>
            <w:tabs>
              <w:tab w:val="center" w:pos="4428"/>
              <w:tab w:val="right" w:pos="8640"/>
            </w:tabs>
            <w:spacing w:before="0" w:after="0"/>
            <w:rPr>
              <w:rFonts w:cs="Arial"/>
              <w:b/>
              <w:szCs w:val="22"/>
              <w:lang w:val="fr-CA"/>
            </w:rPr>
          </w:pPr>
          <w:r w:rsidRPr="00DA6343">
            <w:rPr>
              <w:rFonts w:cs="Arial"/>
              <w:b/>
              <w:szCs w:val="22"/>
              <w:lang w:val="fr-CA"/>
            </w:rPr>
            <w:t>Comité d'évaluation des</w:t>
          </w:r>
        </w:p>
        <w:p w:rsidR="00DA6343" w:rsidRPr="00DA6343" w:rsidRDefault="00DA6343" w:rsidP="00DA6343">
          <w:pPr>
            <w:tabs>
              <w:tab w:val="center" w:pos="4320"/>
              <w:tab w:val="right" w:pos="8640"/>
            </w:tabs>
            <w:spacing w:before="0" w:after="0"/>
            <w:rPr>
              <w:rFonts w:cs="Arial"/>
              <w:b/>
              <w:sz w:val="30"/>
              <w:szCs w:val="30"/>
              <w:lang w:val="fr-CA"/>
            </w:rPr>
          </w:pPr>
          <w:r w:rsidRPr="00DA6343">
            <w:rPr>
              <w:rFonts w:cs="Arial"/>
              <w:b/>
              <w:szCs w:val="22"/>
              <w:lang w:val="fr-CA"/>
            </w:rPr>
            <w:t>ressources transfrontalières</w:t>
          </w:r>
          <w:r w:rsidRPr="00DA6343">
            <w:rPr>
              <w:rFonts w:cs="Arial"/>
              <w:b/>
              <w:sz w:val="30"/>
              <w:szCs w:val="30"/>
              <w:lang w:val="fr-CA"/>
            </w:rPr>
            <w:t xml:space="preserve"> </w:t>
          </w:r>
        </w:p>
      </w:tc>
      <w:tc>
        <w:tcPr>
          <w:tcW w:w="4365" w:type="dxa"/>
        </w:tcPr>
        <w:p w:rsidR="00DA6343" w:rsidRPr="00DA6343" w:rsidRDefault="00DA6343" w:rsidP="00DA6343">
          <w:pPr>
            <w:tabs>
              <w:tab w:val="center" w:pos="4320"/>
              <w:tab w:val="right" w:pos="8640"/>
            </w:tabs>
            <w:spacing w:before="0" w:after="0"/>
            <w:rPr>
              <w:rFonts w:cs="Arial"/>
              <w:b/>
              <w:sz w:val="30"/>
              <w:szCs w:val="30"/>
              <w:lang w:val="fr-CA"/>
            </w:rPr>
          </w:pPr>
        </w:p>
        <w:p w:rsidR="00DA6343" w:rsidRPr="00DA6343" w:rsidRDefault="00DA6343" w:rsidP="00DA6343">
          <w:pPr>
            <w:tabs>
              <w:tab w:val="center" w:pos="4320"/>
              <w:tab w:val="right" w:pos="8640"/>
            </w:tabs>
            <w:spacing w:before="0" w:after="0"/>
            <w:rPr>
              <w:rFonts w:cs="Arial"/>
              <w:b/>
              <w:i/>
              <w:sz w:val="30"/>
              <w:szCs w:val="30"/>
              <w:lang w:val="en-CA"/>
            </w:rPr>
          </w:pPr>
          <w:r w:rsidRPr="00DA6343">
            <w:rPr>
              <w:rFonts w:cs="Arial"/>
              <w:b/>
              <w:i/>
              <w:sz w:val="30"/>
              <w:szCs w:val="30"/>
              <w:lang w:val="en-CA"/>
            </w:rPr>
            <w:t>TRAC</w:t>
          </w:r>
        </w:p>
        <w:p w:rsidR="00DA6343" w:rsidRPr="00DA6343" w:rsidRDefault="00DA6343" w:rsidP="00DA6343">
          <w:pPr>
            <w:tabs>
              <w:tab w:val="center" w:pos="4320"/>
              <w:tab w:val="right" w:pos="8640"/>
            </w:tabs>
            <w:spacing w:before="0" w:after="0"/>
            <w:rPr>
              <w:rFonts w:cs="Arial"/>
              <w:b/>
              <w:sz w:val="30"/>
              <w:szCs w:val="30"/>
              <w:lang w:val="en-CA"/>
            </w:rPr>
          </w:pPr>
        </w:p>
        <w:p w:rsidR="00DA6343" w:rsidRPr="00DA6343" w:rsidRDefault="00DA6343" w:rsidP="00DA6343">
          <w:pPr>
            <w:tabs>
              <w:tab w:val="center" w:pos="4320"/>
              <w:tab w:val="right" w:pos="8640"/>
            </w:tabs>
            <w:spacing w:before="0" w:after="0"/>
            <w:rPr>
              <w:rFonts w:cs="Arial"/>
              <w:b/>
              <w:szCs w:val="22"/>
              <w:lang w:val="en-CA"/>
            </w:rPr>
          </w:pPr>
          <w:r w:rsidRPr="00DA6343">
            <w:rPr>
              <w:rFonts w:cs="Arial"/>
              <w:b/>
              <w:szCs w:val="22"/>
              <w:lang w:val="en-CA"/>
            </w:rPr>
            <w:t>Transboundary Resources</w:t>
          </w:r>
        </w:p>
        <w:p w:rsidR="00DA6343" w:rsidRPr="00DA6343" w:rsidRDefault="00DA6343" w:rsidP="00DA6343">
          <w:pPr>
            <w:tabs>
              <w:tab w:val="center" w:pos="4320"/>
              <w:tab w:val="right" w:pos="8640"/>
            </w:tabs>
            <w:spacing w:before="0" w:after="0"/>
            <w:rPr>
              <w:rFonts w:cs="Arial"/>
              <w:b/>
              <w:sz w:val="30"/>
              <w:szCs w:val="30"/>
              <w:lang w:val="en-CA"/>
            </w:rPr>
          </w:pPr>
          <w:r w:rsidRPr="00DA6343">
            <w:rPr>
              <w:rFonts w:cs="Arial"/>
              <w:b/>
              <w:szCs w:val="22"/>
              <w:lang w:val="en-CA"/>
            </w:rPr>
            <w:t>Assessment Committee</w:t>
          </w:r>
        </w:p>
      </w:tc>
    </w:tr>
  </w:tbl>
  <w:p w:rsidR="00DA6343" w:rsidRPr="00DA6343" w:rsidRDefault="00DA6343">
    <w:pPr>
      <w:pStyle w:val="Header"/>
      <w:rPr>
        <w:sz w:val="20"/>
      </w:rPr>
    </w:pPr>
  </w:p>
  <w:tbl>
    <w:tblPr>
      <w:tblW w:w="9090" w:type="dxa"/>
      <w:tblLayout w:type="fixed"/>
      <w:tblLook w:val="0000" w:firstRow="0" w:lastRow="0" w:firstColumn="0" w:lastColumn="0" w:noHBand="0" w:noVBand="0"/>
    </w:tblPr>
    <w:tblGrid>
      <w:gridCol w:w="4590"/>
      <w:gridCol w:w="4500"/>
    </w:tblGrid>
    <w:tr w:rsidR="00DA6343" w:rsidRPr="008C1541" w:rsidTr="0081159F">
      <w:tc>
        <w:tcPr>
          <w:tcW w:w="4590" w:type="dxa"/>
        </w:tcPr>
        <w:p w:rsidR="00DA6343" w:rsidRPr="00DA6343" w:rsidRDefault="00DA6343" w:rsidP="00DA6343">
          <w:pPr>
            <w:spacing w:before="0" w:after="0"/>
            <w:ind w:left="-108"/>
            <w:rPr>
              <w:rFonts w:cs="Arial"/>
              <w:b/>
              <w:sz w:val="20"/>
            </w:rPr>
          </w:pPr>
          <w:r w:rsidRPr="00DA6343">
            <w:rPr>
              <w:rFonts w:cs="Arial"/>
              <w:b/>
              <w:sz w:val="20"/>
            </w:rPr>
            <w:t>Document de référence 2019/02</w:t>
          </w:r>
        </w:p>
      </w:tc>
      <w:tc>
        <w:tcPr>
          <w:tcW w:w="4500" w:type="dxa"/>
        </w:tcPr>
        <w:p w:rsidR="00DA6343" w:rsidRPr="00DA6343" w:rsidRDefault="00DA6343" w:rsidP="00DA6343">
          <w:pPr>
            <w:spacing w:before="0" w:after="0"/>
            <w:rPr>
              <w:rFonts w:cs="Arial"/>
              <w:b/>
              <w:sz w:val="20"/>
            </w:rPr>
          </w:pPr>
          <w:r w:rsidRPr="00DA6343">
            <w:rPr>
              <w:rFonts w:cs="Arial"/>
              <w:b/>
              <w:sz w:val="20"/>
            </w:rPr>
            <w:t>Reference Document 2019/02</w:t>
          </w:r>
        </w:p>
        <w:p w:rsidR="00DA6343" w:rsidRPr="00DA6343" w:rsidRDefault="00DA6343" w:rsidP="00DA6343">
          <w:pPr>
            <w:spacing w:before="0" w:after="0"/>
            <w:rPr>
              <w:rFonts w:cs="Arial"/>
              <w:b/>
              <w:sz w:val="20"/>
            </w:rPr>
          </w:pPr>
        </w:p>
      </w:tc>
    </w:tr>
    <w:tr w:rsidR="00DA6343" w:rsidRPr="00DA6343" w:rsidTr="0081159F">
      <w:tc>
        <w:tcPr>
          <w:tcW w:w="4590" w:type="dxa"/>
        </w:tcPr>
        <w:p w:rsidR="00DA6343" w:rsidRPr="00DA6343" w:rsidRDefault="00DA6343" w:rsidP="00DA6343">
          <w:pPr>
            <w:spacing w:before="0" w:after="0"/>
            <w:ind w:left="-108"/>
            <w:rPr>
              <w:rFonts w:cs="Arial"/>
              <w:sz w:val="20"/>
              <w:lang w:val="fr-CA"/>
            </w:rPr>
          </w:pPr>
          <w:r w:rsidRPr="00DA6343">
            <w:rPr>
              <w:rFonts w:cs="Arial"/>
              <w:sz w:val="20"/>
              <w:lang w:val="fr-CA"/>
            </w:rPr>
            <w:t>Ne pas citer sans</w:t>
          </w:r>
        </w:p>
        <w:p w:rsidR="00DA6343" w:rsidRPr="00DA6343" w:rsidRDefault="00DA6343" w:rsidP="00DA6343">
          <w:pPr>
            <w:spacing w:before="0" w:after="0"/>
            <w:ind w:left="-108"/>
            <w:rPr>
              <w:rFonts w:cs="Arial"/>
              <w:sz w:val="20"/>
              <w:u w:val="single"/>
              <w:lang w:val="fr-CA"/>
            </w:rPr>
          </w:pPr>
          <w:r w:rsidRPr="00DA6343">
            <w:rPr>
              <w:rFonts w:cs="Arial"/>
              <w:sz w:val="20"/>
              <w:u w:val="single"/>
              <w:lang w:val="fr-CA"/>
            </w:rPr>
            <w:t>autorisation des auteurs</w:t>
          </w:r>
        </w:p>
      </w:tc>
      <w:tc>
        <w:tcPr>
          <w:tcW w:w="4500" w:type="dxa"/>
        </w:tcPr>
        <w:p w:rsidR="00DA6343" w:rsidRPr="00DA6343" w:rsidRDefault="00DA6343" w:rsidP="00DA6343">
          <w:pPr>
            <w:spacing w:before="0" w:after="0"/>
            <w:rPr>
              <w:rFonts w:cs="Arial"/>
              <w:sz w:val="20"/>
            </w:rPr>
          </w:pPr>
          <w:r w:rsidRPr="00DA6343">
            <w:rPr>
              <w:rFonts w:cs="Arial"/>
              <w:sz w:val="20"/>
            </w:rPr>
            <w:t>Not to be cited without</w:t>
          </w:r>
        </w:p>
        <w:p w:rsidR="00DA6343" w:rsidRPr="00DA6343" w:rsidRDefault="00DA6343" w:rsidP="00DA6343">
          <w:pPr>
            <w:spacing w:before="0" w:after="0"/>
            <w:rPr>
              <w:rFonts w:cs="Arial"/>
              <w:sz w:val="20"/>
              <w:lang w:val="en-CA"/>
            </w:rPr>
          </w:pPr>
          <w:r w:rsidRPr="00DA6343">
            <w:rPr>
              <w:rFonts w:cs="Arial"/>
              <w:sz w:val="20"/>
              <w:u w:val="single"/>
            </w:rPr>
            <w:t>permission of the authors</w:t>
          </w:r>
        </w:p>
      </w:tc>
    </w:tr>
  </w:tbl>
  <w:p w:rsidR="00DA6343" w:rsidRPr="00DA6343" w:rsidRDefault="00DA6343">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0C6B5D" w:rsidRDefault="00DA63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DA68D4" w:rsidRDefault="00DA6343" w:rsidP="00DA6343">
    <w:pP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43" w:rsidRPr="000C6B5D" w:rsidRDefault="00DA6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66A7B4C"/>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BB3C76C4"/>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8"/>
    <w:multiLevelType w:val="singleLevel"/>
    <w:tmpl w:val="AE6ABC4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99AC4BA"/>
    <w:lvl w:ilvl="0">
      <w:start w:val="1"/>
      <w:numFmt w:val="bullet"/>
      <w:pStyle w:val="ListBullet"/>
      <w:lvlText w:val=""/>
      <w:lvlJc w:val="left"/>
      <w:pPr>
        <w:tabs>
          <w:tab w:val="num" w:pos="360"/>
        </w:tabs>
        <w:ind w:left="360" w:hanging="360"/>
      </w:pPr>
      <w:rPr>
        <w:rFonts w:ascii="Symbol" w:hAnsi="Symbol" w:hint="default"/>
        <w:lang w:val="en-CA"/>
      </w:rPr>
    </w:lvl>
  </w:abstractNum>
  <w:abstractNum w:abstractNumId="4" w15:restartNumberingAfterBreak="0">
    <w:nsid w:val="01EF4C74"/>
    <w:multiLevelType w:val="hybridMultilevel"/>
    <w:tmpl w:val="A2CA9E2A"/>
    <w:lvl w:ilvl="0" w:tplc="DCAC6A9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D01E5E"/>
    <w:multiLevelType w:val="hybridMultilevel"/>
    <w:tmpl w:val="6ADAB596"/>
    <w:lvl w:ilvl="0" w:tplc="A1EA2666">
      <w:start w:val="1"/>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05677791"/>
    <w:multiLevelType w:val="hybridMultilevel"/>
    <w:tmpl w:val="6B40D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8A12E2A"/>
    <w:multiLevelType w:val="hybridMultilevel"/>
    <w:tmpl w:val="1866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F1311"/>
    <w:multiLevelType w:val="hybridMultilevel"/>
    <w:tmpl w:val="364435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3A436A1"/>
    <w:multiLevelType w:val="hybridMultilevel"/>
    <w:tmpl w:val="E75EA8A4"/>
    <w:lvl w:ilvl="0" w:tplc="1009000F">
      <w:start w:val="1"/>
      <w:numFmt w:val="decimal"/>
      <w:lvlText w:val="%1."/>
      <w:lvlJc w:val="left"/>
      <w:pPr>
        <w:ind w:left="-360" w:hanging="360"/>
      </w:p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10" w15:restartNumberingAfterBreak="0">
    <w:nsid w:val="1609029D"/>
    <w:multiLevelType w:val="hybridMultilevel"/>
    <w:tmpl w:val="968E517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B4A0DE0"/>
    <w:multiLevelType w:val="hybridMultilevel"/>
    <w:tmpl w:val="F5D0F640"/>
    <w:lvl w:ilvl="0" w:tplc="5394EC3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7056A2"/>
    <w:multiLevelType w:val="hybridMultilevel"/>
    <w:tmpl w:val="DF520BB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D611289"/>
    <w:multiLevelType w:val="hybridMultilevel"/>
    <w:tmpl w:val="EA78A4A4"/>
    <w:lvl w:ilvl="0" w:tplc="634CB3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E582AB4"/>
    <w:multiLevelType w:val="hybridMultilevel"/>
    <w:tmpl w:val="74204DA8"/>
    <w:lvl w:ilvl="0" w:tplc="00CE26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F05842"/>
    <w:multiLevelType w:val="hybridMultilevel"/>
    <w:tmpl w:val="22FED5DA"/>
    <w:lvl w:ilvl="0" w:tplc="09208DDA">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21464FF"/>
    <w:multiLevelType w:val="hybridMultilevel"/>
    <w:tmpl w:val="76EEEA1A"/>
    <w:lvl w:ilvl="0" w:tplc="09208DD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8F7506"/>
    <w:multiLevelType w:val="hybridMultilevel"/>
    <w:tmpl w:val="4E64A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E1E1A"/>
    <w:multiLevelType w:val="hybridMultilevel"/>
    <w:tmpl w:val="72209E98"/>
    <w:lvl w:ilvl="0" w:tplc="2B70B970">
      <w:start w:val="2017"/>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47555FD"/>
    <w:multiLevelType w:val="hybridMultilevel"/>
    <w:tmpl w:val="240C3AD4"/>
    <w:lvl w:ilvl="0" w:tplc="556C915E">
      <w:numFmt w:val="bullet"/>
      <w:lvlText w:val=""/>
      <w:lvlJc w:val="left"/>
      <w:pPr>
        <w:ind w:left="480" w:hanging="360"/>
      </w:pPr>
      <w:rPr>
        <w:rFonts w:ascii="Symbol" w:eastAsia="Symbol" w:hAnsi="Symbol" w:cs="Symbol" w:hint="default"/>
        <w:w w:val="100"/>
        <w:sz w:val="22"/>
        <w:szCs w:val="22"/>
        <w:lang w:val="en-CA" w:eastAsia="en-CA" w:bidi="en-CA"/>
      </w:rPr>
    </w:lvl>
    <w:lvl w:ilvl="1" w:tplc="432677C8">
      <w:numFmt w:val="bullet"/>
      <w:lvlText w:val="•"/>
      <w:lvlJc w:val="left"/>
      <w:pPr>
        <w:ind w:left="1392" w:hanging="360"/>
      </w:pPr>
      <w:rPr>
        <w:rFonts w:hint="default"/>
        <w:lang w:val="en-CA" w:eastAsia="en-CA" w:bidi="en-CA"/>
      </w:rPr>
    </w:lvl>
    <w:lvl w:ilvl="2" w:tplc="B7E6A418">
      <w:numFmt w:val="bullet"/>
      <w:lvlText w:val="•"/>
      <w:lvlJc w:val="left"/>
      <w:pPr>
        <w:ind w:left="2304" w:hanging="360"/>
      </w:pPr>
      <w:rPr>
        <w:rFonts w:hint="default"/>
        <w:lang w:val="en-CA" w:eastAsia="en-CA" w:bidi="en-CA"/>
      </w:rPr>
    </w:lvl>
    <w:lvl w:ilvl="3" w:tplc="B3D2F3E2">
      <w:numFmt w:val="bullet"/>
      <w:lvlText w:val="•"/>
      <w:lvlJc w:val="left"/>
      <w:pPr>
        <w:ind w:left="3216" w:hanging="360"/>
      </w:pPr>
      <w:rPr>
        <w:rFonts w:hint="default"/>
        <w:lang w:val="en-CA" w:eastAsia="en-CA" w:bidi="en-CA"/>
      </w:rPr>
    </w:lvl>
    <w:lvl w:ilvl="4" w:tplc="CB66A5E6">
      <w:numFmt w:val="bullet"/>
      <w:lvlText w:val="•"/>
      <w:lvlJc w:val="left"/>
      <w:pPr>
        <w:ind w:left="4128" w:hanging="360"/>
      </w:pPr>
      <w:rPr>
        <w:rFonts w:hint="default"/>
        <w:lang w:val="en-CA" w:eastAsia="en-CA" w:bidi="en-CA"/>
      </w:rPr>
    </w:lvl>
    <w:lvl w:ilvl="5" w:tplc="08FACCDE">
      <w:numFmt w:val="bullet"/>
      <w:lvlText w:val="•"/>
      <w:lvlJc w:val="left"/>
      <w:pPr>
        <w:ind w:left="5040" w:hanging="360"/>
      </w:pPr>
      <w:rPr>
        <w:rFonts w:hint="default"/>
        <w:lang w:val="en-CA" w:eastAsia="en-CA" w:bidi="en-CA"/>
      </w:rPr>
    </w:lvl>
    <w:lvl w:ilvl="6" w:tplc="DC7CFF62">
      <w:numFmt w:val="bullet"/>
      <w:lvlText w:val="•"/>
      <w:lvlJc w:val="left"/>
      <w:pPr>
        <w:ind w:left="5952" w:hanging="360"/>
      </w:pPr>
      <w:rPr>
        <w:rFonts w:hint="default"/>
        <w:lang w:val="en-CA" w:eastAsia="en-CA" w:bidi="en-CA"/>
      </w:rPr>
    </w:lvl>
    <w:lvl w:ilvl="7" w:tplc="DF487EFA">
      <w:numFmt w:val="bullet"/>
      <w:lvlText w:val="•"/>
      <w:lvlJc w:val="left"/>
      <w:pPr>
        <w:ind w:left="6864" w:hanging="360"/>
      </w:pPr>
      <w:rPr>
        <w:rFonts w:hint="default"/>
        <w:lang w:val="en-CA" w:eastAsia="en-CA" w:bidi="en-CA"/>
      </w:rPr>
    </w:lvl>
    <w:lvl w:ilvl="8" w:tplc="DA7AF720">
      <w:numFmt w:val="bullet"/>
      <w:lvlText w:val="•"/>
      <w:lvlJc w:val="left"/>
      <w:pPr>
        <w:ind w:left="7776" w:hanging="360"/>
      </w:pPr>
      <w:rPr>
        <w:rFonts w:hint="default"/>
        <w:lang w:val="en-CA" w:eastAsia="en-CA" w:bidi="en-CA"/>
      </w:rPr>
    </w:lvl>
  </w:abstractNum>
  <w:abstractNum w:abstractNumId="20" w15:restartNumberingAfterBreak="0">
    <w:nsid w:val="5D1529EF"/>
    <w:multiLevelType w:val="multilevel"/>
    <w:tmpl w:val="EAB81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0770BE5"/>
    <w:multiLevelType w:val="hybridMultilevel"/>
    <w:tmpl w:val="D9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1A537E"/>
    <w:multiLevelType w:val="hybridMultilevel"/>
    <w:tmpl w:val="A45A843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6E3771E3"/>
    <w:multiLevelType w:val="hybridMultilevel"/>
    <w:tmpl w:val="A28A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64DC2"/>
    <w:multiLevelType w:val="hybridMultilevel"/>
    <w:tmpl w:val="857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204265"/>
    <w:multiLevelType w:val="hybridMultilevel"/>
    <w:tmpl w:val="BE58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87A70"/>
    <w:multiLevelType w:val="hybridMultilevel"/>
    <w:tmpl w:val="D78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9"/>
  </w:num>
  <w:num w:numId="11">
    <w:abstractNumId w:val="18"/>
  </w:num>
  <w:num w:numId="12">
    <w:abstractNumId w:val="13"/>
  </w:num>
  <w:num w:numId="13">
    <w:abstractNumId w:val="21"/>
  </w:num>
  <w:num w:numId="14">
    <w:abstractNumId w:val="25"/>
  </w:num>
  <w:num w:numId="15">
    <w:abstractNumId w:val="7"/>
  </w:num>
  <w:num w:numId="16">
    <w:abstractNumId w:val="19"/>
  </w:num>
  <w:num w:numId="17">
    <w:abstractNumId w:val="5"/>
  </w:num>
  <w:num w:numId="18">
    <w:abstractNumId w:val="23"/>
  </w:num>
  <w:num w:numId="19">
    <w:abstractNumId w:val="14"/>
  </w:num>
  <w:num w:numId="20">
    <w:abstractNumId w:val="26"/>
  </w:num>
  <w:num w:numId="21">
    <w:abstractNumId w:val="17"/>
  </w:num>
  <w:num w:numId="22">
    <w:abstractNumId w:val="6"/>
  </w:num>
  <w:num w:numId="23">
    <w:abstractNumId w:val="16"/>
  </w:num>
  <w:num w:numId="24">
    <w:abstractNumId w:val="15"/>
  </w:num>
  <w:num w:numId="25">
    <w:abstractNumId w:val="22"/>
  </w:num>
  <w:num w:numId="26">
    <w:abstractNumId w:val="8"/>
  </w:num>
  <w:num w:numId="27">
    <w:abstractNumId w:val="3"/>
  </w:num>
  <w:num w:numId="28">
    <w:abstractNumId w:val="3"/>
  </w:num>
  <w:num w:numId="29">
    <w:abstractNumId w:val="1"/>
  </w:num>
  <w:num w:numId="30">
    <w:abstractNumId w:val="2"/>
  </w:num>
  <w:num w:numId="31">
    <w:abstractNumId w:val="2"/>
  </w:num>
  <w:num w:numId="32">
    <w:abstractNumId w:val="0"/>
  </w:num>
  <w:num w:numId="33">
    <w:abstractNumId w:val="0"/>
  </w:num>
  <w:num w:numId="3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noPunctuationKerning/>
  <w:characterSpacingControl w:val="doNotCompress"/>
  <w:hdrShapeDefaults>
    <o:shapedefaults v:ext="edit" spidmax="6145" fill="f" fillcolor="white" stroke="f">
      <v:fill color="white" on="f"/>
      <v:stroke on="f"/>
    </o:shapedefaults>
  </w:hdrShapeDefaults>
  <w:footnotePr>
    <w:pos w:val="beneathText"/>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94"/>
    <w:rsid w:val="00000162"/>
    <w:rsid w:val="000002AE"/>
    <w:rsid w:val="00000513"/>
    <w:rsid w:val="00000B23"/>
    <w:rsid w:val="00000C10"/>
    <w:rsid w:val="00001865"/>
    <w:rsid w:val="00001990"/>
    <w:rsid w:val="00001A69"/>
    <w:rsid w:val="00002036"/>
    <w:rsid w:val="0000262F"/>
    <w:rsid w:val="000030B8"/>
    <w:rsid w:val="00003173"/>
    <w:rsid w:val="00003988"/>
    <w:rsid w:val="00003B15"/>
    <w:rsid w:val="00003BC4"/>
    <w:rsid w:val="00003E93"/>
    <w:rsid w:val="00004B58"/>
    <w:rsid w:val="00004C0D"/>
    <w:rsid w:val="00004EC6"/>
    <w:rsid w:val="0000551D"/>
    <w:rsid w:val="00005626"/>
    <w:rsid w:val="00005B1F"/>
    <w:rsid w:val="0000613B"/>
    <w:rsid w:val="000064AD"/>
    <w:rsid w:val="00006F82"/>
    <w:rsid w:val="000071CD"/>
    <w:rsid w:val="00007874"/>
    <w:rsid w:val="00007E96"/>
    <w:rsid w:val="000100FF"/>
    <w:rsid w:val="00010109"/>
    <w:rsid w:val="000108EA"/>
    <w:rsid w:val="0001139E"/>
    <w:rsid w:val="00012B8C"/>
    <w:rsid w:val="00012D66"/>
    <w:rsid w:val="00013036"/>
    <w:rsid w:val="000133DC"/>
    <w:rsid w:val="00013F83"/>
    <w:rsid w:val="0001401C"/>
    <w:rsid w:val="00014E46"/>
    <w:rsid w:val="00015972"/>
    <w:rsid w:val="00016707"/>
    <w:rsid w:val="00017303"/>
    <w:rsid w:val="00017523"/>
    <w:rsid w:val="00017786"/>
    <w:rsid w:val="00017ADB"/>
    <w:rsid w:val="0002078C"/>
    <w:rsid w:val="00020BCA"/>
    <w:rsid w:val="00020BD2"/>
    <w:rsid w:val="000212BE"/>
    <w:rsid w:val="00022DE5"/>
    <w:rsid w:val="00023EAC"/>
    <w:rsid w:val="0002414E"/>
    <w:rsid w:val="00025CEC"/>
    <w:rsid w:val="000272A8"/>
    <w:rsid w:val="00027EC8"/>
    <w:rsid w:val="00030050"/>
    <w:rsid w:val="000300FE"/>
    <w:rsid w:val="0003054E"/>
    <w:rsid w:val="0003078E"/>
    <w:rsid w:val="00030795"/>
    <w:rsid w:val="00030B9C"/>
    <w:rsid w:val="00030C1C"/>
    <w:rsid w:val="00030D66"/>
    <w:rsid w:val="00031329"/>
    <w:rsid w:val="00032AEB"/>
    <w:rsid w:val="00032E43"/>
    <w:rsid w:val="000332A9"/>
    <w:rsid w:val="0003339F"/>
    <w:rsid w:val="0003425C"/>
    <w:rsid w:val="00034605"/>
    <w:rsid w:val="0003462F"/>
    <w:rsid w:val="00034FC7"/>
    <w:rsid w:val="000358FA"/>
    <w:rsid w:val="0003628A"/>
    <w:rsid w:val="0003674D"/>
    <w:rsid w:val="0003763E"/>
    <w:rsid w:val="000376C9"/>
    <w:rsid w:val="000377E8"/>
    <w:rsid w:val="00037C27"/>
    <w:rsid w:val="00037E17"/>
    <w:rsid w:val="00040494"/>
    <w:rsid w:val="00040CCB"/>
    <w:rsid w:val="00043D61"/>
    <w:rsid w:val="000441BF"/>
    <w:rsid w:val="0004435B"/>
    <w:rsid w:val="00044FBA"/>
    <w:rsid w:val="00046B6E"/>
    <w:rsid w:val="00046E59"/>
    <w:rsid w:val="0004721F"/>
    <w:rsid w:val="00047275"/>
    <w:rsid w:val="00047C09"/>
    <w:rsid w:val="00050221"/>
    <w:rsid w:val="00050342"/>
    <w:rsid w:val="00050D10"/>
    <w:rsid w:val="00051DB6"/>
    <w:rsid w:val="000528CD"/>
    <w:rsid w:val="00053C19"/>
    <w:rsid w:val="00053ECA"/>
    <w:rsid w:val="00053F58"/>
    <w:rsid w:val="000544AE"/>
    <w:rsid w:val="00054FBF"/>
    <w:rsid w:val="00056135"/>
    <w:rsid w:val="00056506"/>
    <w:rsid w:val="00056CEB"/>
    <w:rsid w:val="00057100"/>
    <w:rsid w:val="0006001E"/>
    <w:rsid w:val="00060398"/>
    <w:rsid w:val="000604AB"/>
    <w:rsid w:val="0006086D"/>
    <w:rsid w:val="000611DD"/>
    <w:rsid w:val="000611E3"/>
    <w:rsid w:val="000617EC"/>
    <w:rsid w:val="000619C8"/>
    <w:rsid w:val="00061DC7"/>
    <w:rsid w:val="00061EEB"/>
    <w:rsid w:val="0006341A"/>
    <w:rsid w:val="0006388E"/>
    <w:rsid w:val="0006443E"/>
    <w:rsid w:val="000645B0"/>
    <w:rsid w:val="0006474C"/>
    <w:rsid w:val="0006520B"/>
    <w:rsid w:val="00065B3E"/>
    <w:rsid w:val="00065D9E"/>
    <w:rsid w:val="00065EAB"/>
    <w:rsid w:val="000661BC"/>
    <w:rsid w:val="000662DB"/>
    <w:rsid w:val="000666C8"/>
    <w:rsid w:val="00066892"/>
    <w:rsid w:val="00066F35"/>
    <w:rsid w:val="00066FBB"/>
    <w:rsid w:val="000670A0"/>
    <w:rsid w:val="00067955"/>
    <w:rsid w:val="00070249"/>
    <w:rsid w:val="00071432"/>
    <w:rsid w:val="00071BC5"/>
    <w:rsid w:val="00072FB6"/>
    <w:rsid w:val="00073190"/>
    <w:rsid w:val="00073915"/>
    <w:rsid w:val="00073973"/>
    <w:rsid w:val="00074391"/>
    <w:rsid w:val="00074C81"/>
    <w:rsid w:val="0007521D"/>
    <w:rsid w:val="00075345"/>
    <w:rsid w:val="0007554C"/>
    <w:rsid w:val="000760DA"/>
    <w:rsid w:val="00076207"/>
    <w:rsid w:val="0007623E"/>
    <w:rsid w:val="00076B6C"/>
    <w:rsid w:val="00076C64"/>
    <w:rsid w:val="00076DBE"/>
    <w:rsid w:val="00077FEB"/>
    <w:rsid w:val="00080B96"/>
    <w:rsid w:val="00080CCD"/>
    <w:rsid w:val="0008264E"/>
    <w:rsid w:val="000831DD"/>
    <w:rsid w:val="0008341E"/>
    <w:rsid w:val="000837E4"/>
    <w:rsid w:val="00084392"/>
    <w:rsid w:val="000849FC"/>
    <w:rsid w:val="00084BDF"/>
    <w:rsid w:val="00084D8B"/>
    <w:rsid w:val="00085545"/>
    <w:rsid w:val="00085743"/>
    <w:rsid w:val="0008610A"/>
    <w:rsid w:val="0008619A"/>
    <w:rsid w:val="00086315"/>
    <w:rsid w:val="00087CBA"/>
    <w:rsid w:val="00090636"/>
    <w:rsid w:val="00090707"/>
    <w:rsid w:val="00090C53"/>
    <w:rsid w:val="00091C0E"/>
    <w:rsid w:val="000922A4"/>
    <w:rsid w:val="000926D6"/>
    <w:rsid w:val="00094110"/>
    <w:rsid w:val="00094402"/>
    <w:rsid w:val="000950CA"/>
    <w:rsid w:val="00095841"/>
    <w:rsid w:val="000958A6"/>
    <w:rsid w:val="000960EE"/>
    <w:rsid w:val="000961FE"/>
    <w:rsid w:val="000963DB"/>
    <w:rsid w:val="000964E6"/>
    <w:rsid w:val="00096551"/>
    <w:rsid w:val="0009734F"/>
    <w:rsid w:val="000978DB"/>
    <w:rsid w:val="000A0226"/>
    <w:rsid w:val="000A0A48"/>
    <w:rsid w:val="000A19CE"/>
    <w:rsid w:val="000A1FC2"/>
    <w:rsid w:val="000A35D7"/>
    <w:rsid w:val="000A3691"/>
    <w:rsid w:val="000A3804"/>
    <w:rsid w:val="000A4188"/>
    <w:rsid w:val="000A4B9C"/>
    <w:rsid w:val="000A5125"/>
    <w:rsid w:val="000A57F6"/>
    <w:rsid w:val="000A5969"/>
    <w:rsid w:val="000A5ABF"/>
    <w:rsid w:val="000A62DB"/>
    <w:rsid w:val="000A76A9"/>
    <w:rsid w:val="000A7C86"/>
    <w:rsid w:val="000A7D42"/>
    <w:rsid w:val="000B0CBE"/>
    <w:rsid w:val="000B12CD"/>
    <w:rsid w:val="000B15B1"/>
    <w:rsid w:val="000B18AF"/>
    <w:rsid w:val="000B263F"/>
    <w:rsid w:val="000B2BC2"/>
    <w:rsid w:val="000B34BA"/>
    <w:rsid w:val="000B3598"/>
    <w:rsid w:val="000B3B63"/>
    <w:rsid w:val="000B51D6"/>
    <w:rsid w:val="000B5CB2"/>
    <w:rsid w:val="000B5FD9"/>
    <w:rsid w:val="000B6EBA"/>
    <w:rsid w:val="000B7653"/>
    <w:rsid w:val="000B7CAD"/>
    <w:rsid w:val="000B7CE5"/>
    <w:rsid w:val="000B7F0C"/>
    <w:rsid w:val="000B7FD6"/>
    <w:rsid w:val="000C1528"/>
    <w:rsid w:val="000C1CFC"/>
    <w:rsid w:val="000C227A"/>
    <w:rsid w:val="000C3DFC"/>
    <w:rsid w:val="000C4D0D"/>
    <w:rsid w:val="000C52C8"/>
    <w:rsid w:val="000C5D4E"/>
    <w:rsid w:val="000C5EA0"/>
    <w:rsid w:val="000C6217"/>
    <w:rsid w:val="000C65FA"/>
    <w:rsid w:val="000C6B5D"/>
    <w:rsid w:val="000C713A"/>
    <w:rsid w:val="000C740A"/>
    <w:rsid w:val="000C796E"/>
    <w:rsid w:val="000C7F60"/>
    <w:rsid w:val="000D0C0A"/>
    <w:rsid w:val="000D0C3C"/>
    <w:rsid w:val="000D1149"/>
    <w:rsid w:val="000D1273"/>
    <w:rsid w:val="000D1D11"/>
    <w:rsid w:val="000D2772"/>
    <w:rsid w:val="000D2E85"/>
    <w:rsid w:val="000D32CF"/>
    <w:rsid w:val="000D3EE9"/>
    <w:rsid w:val="000D5148"/>
    <w:rsid w:val="000D5C16"/>
    <w:rsid w:val="000D63E4"/>
    <w:rsid w:val="000D6D26"/>
    <w:rsid w:val="000D714A"/>
    <w:rsid w:val="000D766A"/>
    <w:rsid w:val="000D7C9D"/>
    <w:rsid w:val="000E02A3"/>
    <w:rsid w:val="000E02A6"/>
    <w:rsid w:val="000E0512"/>
    <w:rsid w:val="000E0C42"/>
    <w:rsid w:val="000E1358"/>
    <w:rsid w:val="000E1B96"/>
    <w:rsid w:val="000E2F46"/>
    <w:rsid w:val="000E3018"/>
    <w:rsid w:val="000E3500"/>
    <w:rsid w:val="000E39B5"/>
    <w:rsid w:val="000E3CF8"/>
    <w:rsid w:val="000E504F"/>
    <w:rsid w:val="000E6A49"/>
    <w:rsid w:val="000E7568"/>
    <w:rsid w:val="000F0056"/>
    <w:rsid w:val="000F0082"/>
    <w:rsid w:val="000F0539"/>
    <w:rsid w:val="000F08F9"/>
    <w:rsid w:val="000F1749"/>
    <w:rsid w:val="000F21E9"/>
    <w:rsid w:val="000F414A"/>
    <w:rsid w:val="000F44F4"/>
    <w:rsid w:val="000F4854"/>
    <w:rsid w:val="000F4B5D"/>
    <w:rsid w:val="000F52A2"/>
    <w:rsid w:val="000F57A2"/>
    <w:rsid w:val="000F5A66"/>
    <w:rsid w:val="000F5A81"/>
    <w:rsid w:val="000F5DDB"/>
    <w:rsid w:val="000F7131"/>
    <w:rsid w:val="000F7233"/>
    <w:rsid w:val="000F7479"/>
    <w:rsid w:val="000F7B49"/>
    <w:rsid w:val="000F7DF9"/>
    <w:rsid w:val="0010030E"/>
    <w:rsid w:val="0010163D"/>
    <w:rsid w:val="001027AE"/>
    <w:rsid w:val="00102E39"/>
    <w:rsid w:val="00102E44"/>
    <w:rsid w:val="00102F51"/>
    <w:rsid w:val="00103033"/>
    <w:rsid w:val="00103590"/>
    <w:rsid w:val="00103664"/>
    <w:rsid w:val="00104BF2"/>
    <w:rsid w:val="0010539F"/>
    <w:rsid w:val="001061BF"/>
    <w:rsid w:val="0010647C"/>
    <w:rsid w:val="0010671B"/>
    <w:rsid w:val="001073BE"/>
    <w:rsid w:val="001073E2"/>
    <w:rsid w:val="00107598"/>
    <w:rsid w:val="0010760D"/>
    <w:rsid w:val="00107AF7"/>
    <w:rsid w:val="00107D25"/>
    <w:rsid w:val="00107DF7"/>
    <w:rsid w:val="0011009C"/>
    <w:rsid w:val="00111381"/>
    <w:rsid w:val="001114F5"/>
    <w:rsid w:val="0011174F"/>
    <w:rsid w:val="00111FF8"/>
    <w:rsid w:val="001130B8"/>
    <w:rsid w:val="00113722"/>
    <w:rsid w:val="00113896"/>
    <w:rsid w:val="00113A71"/>
    <w:rsid w:val="00113ADD"/>
    <w:rsid w:val="00113E27"/>
    <w:rsid w:val="00113FD7"/>
    <w:rsid w:val="00114059"/>
    <w:rsid w:val="001141DF"/>
    <w:rsid w:val="00114589"/>
    <w:rsid w:val="001145EE"/>
    <w:rsid w:val="00116664"/>
    <w:rsid w:val="00116D66"/>
    <w:rsid w:val="00116FA7"/>
    <w:rsid w:val="00117782"/>
    <w:rsid w:val="001177DD"/>
    <w:rsid w:val="00117AC8"/>
    <w:rsid w:val="00117FF8"/>
    <w:rsid w:val="00120944"/>
    <w:rsid w:val="00120D9B"/>
    <w:rsid w:val="00121502"/>
    <w:rsid w:val="00122BF3"/>
    <w:rsid w:val="00123181"/>
    <w:rsid w:val="0012337C"/>
    <w:rsid w:val="00123947"/>
    <w:rsid w:val="00123CC4"/>
    <w:rsid w:val="00124370"/>
    <w:rsid w:val="0012444C"/>
    <w:rsid w:val="001248C8"/>
    <w:rsid w:val="00124A85"/>
    <w:rsid w:val="001250FA"/>
    <w:rsid w:val="0012512D"/>
    <w:rsid w:val="00127462"/>
    <w:rsid w:val="00130542"/>
    <w:rsid w:val="00130898"/>
    <w:rsid w:val="00131127"/>
    <w:rsid w:val="001311E9"/>
    <w:rsid w:val="00132257"/>
    <w:rsid w:val="00132863"/>
    <w:rsid w:val="00132E37"/>
    <w:rsid w:val="0013315E"/>
    <w:rsid w:val="0013341F"/>
    <w:rsid w:val="00133429"/>
    <w:rsid w:val="001335FD"/>
    <w:rsid w:val="001339AE"/>
    <w:rsid w:val="00133F5F"/>
    <w:rsid w:val="001349CF"/>
    <w:rsid w:val="001360B3"/>
    <w:rsid w:val="00136296"/>
    <w:rsid w:val="001363C7"/>
    <w:rsid w:val="0013674F"/>
    <w:rsid w:val="00136BD5"/>
    <w:rsid w:val="0013702B"/>
    <w:rsid w:val="001372C0"/>
    <w:rsid w:val="00137BE6"/>
    <w:rsid w:val="0014049A"/>
    <w:rsid w:val="00140A46"/>
    <w:rsid w:val="0014139F"/>
    <w:rsid w:val="001413E8"/>
    <w:rsid w:val="0014183E"/>
    <w:rsid w:val="001428EE"/>
    <w:rsid w:val="00143965"/>
    <w:rsid w:val="001441BB"/>
    <w:rsid w:val="00144F5B"/>
    <w:rsid w:val="001456F0"/>
    <w:rsid w:val="001457A9"/>
    <w:rsid w:val="0014750A"/>
    <w:rsid w:val="001539E0"/>
    <w:rsid w:val="00153B38"/>
    <w:rsid w:val="00153C47"/>
    <w:rsid w:val="001542D9"/>
    <w:rsid w:val="001544B6"/>
    <w:rsid w:val="00154A30"/>
    <w:rsid w:val="00155DD6"/>
    <w:rsid w:val="001563F4"/>
    <w:rsid w:val="00157F03"/>
    <w:rsid w:val="00160376"/>
    <w:rsid w:val="001607B1"/>
    <w:rsid w:val="00160F0D"/>
    <w:rsid w:val="00161505"/>
    <w:rsid w:val="0016192F"/>
    <w:rsid w:val="00161BD7"/>
    <w:rsid w:val="00161BE9"/>
    <w:rsid w:val="00161E94"/>
    <w:rsid w:val="001620A6"/>
    <w:rsid w:val="0016246A"/>
    <w:rsid w:val="00163B54"/>
    <w:rsid w:val="00163D5E"/>
    <w:rsid w:val="00163D7A"/>
    <w:rsid w:val="001640B5"/>
    <w:rsid w:val="001647DA"/>
    <w:rsid w:val="00164FC5"/>
    <w:rsid w:val="001661A0"/>
    <w:rsid w:val="001661C6"/>
    <w:rsid w:val="001663ED"/>
    <w:rsid w:val="001668B6"/>
    <w:rsid w:val="00166CA8"/>
    <w:rsid w:val="00167161"/>
    <w:rsid w:val="00167BBD"/>
    <w:rsid w:val="00167CCB"/>
    <w:rsid w:val="00170B9D"/>
    <w:rsid w:val="00171033"/>
    <w:rsid w:val="00171840"/>
    <w:rsid w:val="00171D3B"/>
    <w:rsid w:val="00171E80"/>
    <w:rsid w:val="00172A35"/>
    <w:rsid w:val="00173685"/>
    <w:rsid w:val="00173D9F"/>
    <w:rsid w:val="00173F51"/>
    <w:rsid w:val="00175E70"/>
    <w:rsid w:val="00176055"/>
    <w:rsid w:val="0017694D"/>
    <w:rsid w:val="00176BA6"/>
    <w:rsid w:val="00176F73"/>
    <w:rsid w:val="00177021"/>
    <w:rsid w:val="00180C56"/>
    <w:rsid w:val="00180D9D"/>
    <w:rsid w:val="00181054"/>
    <w:rsid w:val="001812FF"/>
    <w:rsid w:val="00181691"/>
    <w:rsid w:val="00181958"/>
    <w:rsid w:val="00184231"/>
    <w:rsid w:val="001853F6"/>
    <w:rsid w:val="001855DF"/>
    <w:rsid w:val="001857BC"/>
    <w:rsid w:val="00185F83"/>
    <w:rsid w:val="00186315"/>
    <w:rsid w:val="00186AC0"/>
    <w:rsid w:val="00190192"/>
    <w:rsid w:val="00190535"/>
    <w:rsid w:val="00190926"/>
    <w:rsid w:val="00190E27"/>
    <w:rsid w:val="00191288"/>
    <w:rsid w:val="00191445"/>
    <w:rsid w:val="00191A11"/>
    <w:rsid w:val="00192020"/>
    <w:rsid w:val="001924B8"/>
    <w:rsid w:val="00192C5C"/>
    <w:rsid w:val="00192CB0"/>
    <w:rsid w:val="00192E82"/>
    <w:rsid w:val="00192F74"/>
    <w:rsid w:val="001931CC"/>
    <w:rsid w:val="0019408F"/>
    <w:rsid w:val="001942B6"/>
    <w:rsid w:val="0019469F"/>
    <w:rsid w:val="001948C3"/>
    <w:rsid w:val="00195161"/>
    <w:rsid w:val="00195694"/>
    <w:rsid w:val="001956B5"/>
    <w:rsid w:val="00195D1A"/>
    <w:rsid w:val="00196432"/>
    <w:rsid w:val="001970AF"/>
    <w:rsid w:val="00197A7E"/>
    <w:rsid w:val="00197B79"/>
    <w:rsid w:val="001A047B"/>
    <w:rsid w:val="001A089B"/>
    <w:rsid w:val="001A0A63"/>
    <w:rsid w:val="001A127D"/>
    <w:rsid w:val="001A173F"/>
    <w:rsid w:val="001A1ECA"/>
    <w:rsid w:val="001A20D1"/>
    <w:rsid w:val="001A24FC"/>
    <w:rsid w:val="001A2832"/>
    <w:rsid w:val="001A2DB7"/>
    <w:rsid w:val="001A381E"/>
    <w:rsid w:val="001A3CBC"/>
    <w:rsid w:val="001A4226"/>
    <w:rsid w:val="001A5667"/>
    <w:rsid w:val="001A5C99"/>
    <w:rsid w:val="001A5CA1"/>
    <w:rsid w:val="001A602A"/>
    <w:rsid w:val="001A7079"/>
    <w:rsid w:val="001B02D8"/>
    <w:rsid w:val="001B0B56"/>
    <w:rsid w:val="001B0B61"/>
    <w:rsid w:val="001B0BD8"/>
    <w:rsid w:val="001B1475"/>
    <w:rsid w:val="001B25A3"/>
    <w:rsid w:val="001B28C1"/>
    <w:rsid w:val="001B31D9"/>
    <w:rsid w:val="001B3285"/>
    <w:rsid w:val="001B374B"/>
    <w:rsid w:val="001B3A77"/>
    <w:rsid w:val="001B3B91"/>
    <w:rsid w:val="001B53A9"/>
    <w:rsid w:val="001B5502"/>
    <w:rsid w:val="001B5693"/>
    <w:rsid w:val="001B60E2"/>
    <w:rsid w:val="001B6BA3"/>
    <w:rsid w:val="001B6C10"/>
    <w:rsid w:val="001B6D6C"/>
    <w:rsid w:val="001B7D26"/>
    <w:rsid w:val="001C1782"/>
    <w:rsid w:val="001C1D13"/>
    <w:rsid w:val="001C269E"/>
    <w:rsid w:val="001C2906"/>
    <w:rsid w:val="001C4170"/>
    <w:rsid w:val="001C4EAC"/>
    <w:rsid w:val="001C4ED4"/>
    <w:rsid w:val="001C7C56"/>
    <w:rsid w:val="001D0528"/>
    <w:rsid w:val="001D091B"/>
    <w:rsid w:val="001D0989"/>
    <w:rsid w:val="001D16A4"/>
    <w:rsid w:val="001D2E0E"/>
    <w:rsid w:val="001D2E19"/>
    <w:rsid w:val="001D32E9"/>
    <w:rsid w:val="001D3793"/>
    <w:rsid w:val="001D4416"/>
    <w:rsid w:val="001D4FD7"/>
    <w:rsid w:val="001D5288"/>
    <w:rsid w:val="001D6410"/>
    <w:rsid w:val="001D64E3"/>
    <w:rsid w:val="001D67F9"/>
    <w:rsid w:val="001D6F51"/>
    <w:rsid w:val="001D77D5"/>
    <w:rsid w:val="001D781A"/>
    <w:rsid w:val="001D7E0D"/>
    <w:rsid w:val="001E03AF"/>
    <w:rsid w:val="001E081B"/>
    <w:rsid w:val="001E108B"/>
    <w:rsid w:val="001E1A21"/>
    <w:rsid w:val="001E1A6A"/>
    <w:rsid w:val="001E23ED"/>
    <w:rsid w:val="001E2498"/>
    <w:rsid w:val="001E4568"/>
    <w:rsid w:val="001E4AEB"/>
    <w:rsid w:val="001E4BE1"/>
    <w:rsid w:val="001E50B2"/>
    <w:rsid w:val="001E561C"/>
    <w:rsid w:val="001E5B19"/>
    <w:rsid w:val="001E608D"/>
    <w:rsid w:val="001E6AA5"/>
    <w:rsid w:val="001E6DCD"/>
    <w:rsid w:val="001E794F"/>
    <w:rsid w:val="001E7ECF"/>
    <w:rsid w:val="001E7F47"/>
    <w:rsid w:val="001F1837"/>
    <w:rsid w:val="001F1DA7"/>
    <w:rsid w:val="001F1E02"/>
    <w:rsid w:val="001F2163"/>
    <w:rsid w:val="001F38B2"/>
    <w:rsid w:val="001F3F9E"/>
    <w:rsid w:val="001F424F"/>
    <w:rsid w:val="001F5C77"/>
    <w:rsid w:val="001F6A9E"/>
    <w:rsid w:val="001F6B2D"/>
    <w:rsid w:val="001F7516"/>
    <w:rsid w:val="001F7523"/>
    <w:rsid w:val="0020015A"/>
    <w:rsid w:val="00200D33"/>
    <w:rsid w:val="00200EA6"/>
    <w:rsid w:val="00202061"/>
    <w:rsid w:val="00202992"/>
    <w:rsid w:val="00202B2B"/>
    <w:rsid w:val="00202DA2"/>
    <w:rsid w:val="00203BA1"/>
    <w:rsid w:val="00203BBE"/>
    <w:rsid w:val="00203EBE"/>
    <w:rsid w:val="002043FD"/>
    <w:rsid w:val="0020454B"/>
    <w:rsid w:val="00205610"/>
    <w:rsid w:val="00206474"/>
    <w:rsid w:val="00206E50"/>
    <w:rsid w:val="00206F94"/>
    <w:rsid w:val="002070B2"/>
    <w:rsid w:val="002070BF"/>
    <w:rsid w:val="002074F9"/>
    <w:rsid w:val="002077A6"/>
    <w:rsid w:val="0021258C"/>
    <w:rsid w:val="0021273B"/>
    <w:rsid w:val="002128F7"/>
    <w:rsid w:val="002137B3"/>
    <w:rsid w:val="00213E9B"/>
    <w:rsid w:val="00214E94"/>
    <w:rsid w:val="00215007"/>
    <w:rsid w:val="002162F7"/>
    <w:rsid w:val="00216AAA"/>
    <w:rsid w:val="00216D03"/>
    <w:rsid w:val="00217258"/>
    <w:rsid w:val="00217648"/>
    <w:rsid w:val="00220A15"/>
    <w:rsid w:val="00220B48"/>
    <w:rsid w:val="002214A0"/>
    <w:rsid w:val="00221548"/>
    <w:rsid w:val="00221C15"/>
    <w:rsid w:val="00222B8E"/>
    <w:rsid w:val="00223197"/>
    <w:rsid w:val="002243ED"/>
    <w:rsid w:val="00225688"/>
    <w:rsid w:val="00226684"/>
    <w:rsid w:val="002279B7"/>
    <w:rsid w:val="00227ACD"/>
    <w:rsid w:val="00227D92"/>
    <w:rsid w:val="00227D9E"/>
    <w:rsid w:val="002300AB"/>
    <w:rsid w:val="00230288"/>
    <w:rsid w:val="0023069C"/>
    <w:rsid w:val="00230D6C"/>
    <w:rsid w:val="00230E09"/>
    <w:rsid w:val="00230F2E"/>
    <w:rsid w:val="00231B2F"/>
    <w:rsid w:val="00232A69"/>
    <w:rsid w:val="00232ADC"/>
    <w:rsid w:val="002337EC"/>
    <w:rsid w:val="00233EE5"/>
    <w:rsid w:val="002344D9"/>
    <w:rsid w:val="002349E4"/>
    <w:rsid w:val="00235488"/>
    <w:rsid w:val="002354E2"/>
    <w:rsid w:val="00235958"/>
    <w:rsid w:val="002365C4"/>
    <w:rsid w:val="0023674A"/>
    <w:rsid w:val="00237D7B"/>
    <w:rsid w:val="00237DD9"/>
    <w:rsid w:val="002400A8"/>
    <w:rsid w:val="002405A9"/>
    <w:rsid w:val="00240DEA"/>
    <w:rsid w:val="002411D3"/>
    <w:rsid w:val="002414FC"/>
    <w:rsid w:val="0024183B"/>
    <w:rsid w:val="002424E6"/>
    <w:rsid w:val="0024289B"/>
    <w:rsid w:val="00242DCF"/>
    <w:rsid w:val="002438EA"/>
    <w:rsid w:val="00243B03"/>
    <w:rsid w:val="002440DA"/>
    <w:rsid w:val="002450AA"/>
    <w:rsid w:val="00245513"/>
    <w:rsid w:val="00246112"/>
    <w:rsid w:val="00246323"/>
    <w:rsid w:val="0024671F"/>
    <w:rsid w:val="00246852"/>
    <w:rsid w:val="00246888"/>
    <w:rsid w:val="00246AD7"/>
    <w:rsid w:val="00246B02"/>
    <w:rsid w:val="002500CA"/>
    <w:rsid w:val="0025045F"/>
    <w:rsid w:val="002507DC"/>
    <w:rsid w:val="00251801"/>
    <w:rsid w:val="00252420"/>
    <w:rsid w:val="00252DB4"/>
    <w:rsid w:val="00253117"/>
    <w:rsid w:val="00253515"/>
    <w:rsid w:val="00255224"/>
    <w:rsid w:val="0025536A"/>
    <w:rsid w:val="00255677"/>
    <w:rsid w:val="0025585E"/>
    <w:rsid w:val="00255913"/>
    <w:rsid w:val="00256D07"/>
    <w:rsid w:val="002570B7"/>
    <w:rsid w:val="002578E2"/>
    <w:rsid w:val="00257CD2"/>
    <w:rsid w:val="00257D60"/>
    <w:rsid w:val="002603B4"/>
    <w:rsid w:val="00260AE2"/>
    <w:rsid w:val="00260B7D"/>
    <w:rsid w:val="00260C50"/>
    <w:rsid w:val="0026104E"/>
    <w:rsid w:val="00261E48"/>
    <w:rsid w:val="00261E65"/>
    <w:rsid w:val="002624AE"/>
    <w:rsid w:val="002626CF"/>
    <w:rsid w:val="00262CCF"/>
    <w:rsid w:val="002631F2"/>
    <w:rsid w:val="00263AA2"/>
    <w:rsid w:val="00263F52"/>
    <w:rsid w:val="002643EE"/>
    <w:rsid w:val="00264C66"/>
    <w:rsid w:val="00264D6B"/>
    <w:rsid w:val="00266870"/>
    <w:rsid w:val="0026785B"/>
    <w:rsid w:val="00270B43"/>
    <w:rsid w:val="00270DB7"/>
    <w:rsid w:val="00270DF9"/>
    <w:rsid w:val="00271ED5"/>
    <w:rsid w:val="0027223C"/>
    <w:rsid w:val="00274548"/>
    <w:rsid w:val="00274564"/>
    <w:rsid w:val="002746AF"/>
    <w:rsid w:val="00274B67"/>
    <w:rsid w:val="002756C4"/>
    <w:rsid w:val="00275DE5"/>
    <w:rsid w:val="0027673D"/>
    <w:rsid w:val="00276824"/>
    <w:rsid w:val="00276A0C"/>
    <w:rsid w:val="00276B12"/>
    <w:rsid w:val="00276D50"/>
    <w:rsid w:val="0027728D"/>
    <w:rsid w:val="002779A2"/>
    <w:rsid w:val="00277F8E"/>
    <w:rsid w:val="002802F2"/>
    <w:rsid w:val="00281485"/>
    <w:rsid w:val="002819B5"/>
    <w:rsid w:val="00281A0E"/>
    <w:rsid w:val="002821B8"/>
    <w:rsid w:val="00282DD5"/>
    <w:rsid w:val="00283724"/>
    <w:rsid w:val="002837C6"/>
    <w:rsid w:val="002839EF"/>
    <w:rsid w:val="00283FA2"/>
    <w:rsid w:val="0028402C"/>
    <w:rsid w:val="00284687"/>
    <w:rsid w:val="0028476A"/>
    <w:rsid w:val="00285054"/>
    <w:rsid w:val="0028576B"/>
    <w:rsid w:val="00285F18"/>
    <w:rsid w:val="002865DA"/>
    <w:rsid w:val="00286639"/>
    <w:rsid w:val="00286BAA"/>
    <w:rsid w:val="00290401"/>
    <w:rsid w:val="00290565"/>
    <w:rsid w:val="00290A03"/>
    <w:rsid w:val="00290E83"/>
    <w:rsid w:val="00291A2A"/>
    <w:rsid w:val="0029269B"/>
    <w:rsid w:val="00292B70"/>
    <w:rsid w:val="00293B32"/>
    <w:rsid w:val="002946CD"/>
    <w:rsid w:val="00294BCA"/>
    <w:rsid w:val="00294E17"/>
    <w:rsid w:val="00295E87"/>
    <w:rsid w:val="00295FDC"/>
    <w:rsid w:val="00296308"/>
    <w:rsid w:val="00296558"/>
    <w:rsid w:val="00296AEC"/>
    <w:rsid w:val="00296BFC"/>
    <w:rsid w:val="002977DE"/>
    <w:rsid w:val="002A000B"/>
    <w:rsid w:val="002A047D"/>
    <w:rsid w:val="002A0595"/>
    <w:rsid w:val="002A0C1F"/>
    <w:rsid w:val="002A103A"/>
    <w:rsid w:val="002A1626"/>
    <w:rsid w:val="002A1AE8"/>
    <w:rsid w:val="002A1C48"/>
    <w:rsid w:val="002A2751"/>
    <w:rsid w:val="002A2E15"/>
    <w:rsid w:val="002A3255"/>
    <w:rsid w:val="002A3523"/>
    <w:rsid w:val="002A3AE5"/>
    <w:rsid w:val="002A3D5B"/>
    <w:rsid w:val="002A512B"/>
    <w:rsid w:val="002A51AC"/>
    <w:rsid w:val="002A58C0"/>
    <w:rsid w:val="002A59D5"/>
    <w:rsid w:val="002A5F3F"/>
    <w:rsid w:val="002A6E02"/>
    <w:rsid w:val="002A78A9"/>
    <w:rsid w:val="002B05EE"/>
    <w:rsid w:val="002B0763"/>
    <w:rsid w:val="002B09C0"/>
    <w:rsid w:val="002B0A8D"/>
    <w:rsid w:val="002B0D18"/>
    <w:rsid w:val="002B0F72"/>
    <w:rsid w:val="002B1062"/>
    <w:rsid w:val="002B1B58"/>
    <w:rsid w:val="002B2619"/>
    <w:rsid w:val="002B2748"/>
    <w:rsid w:val="002B2C8D"/>
    <w:rsid w:val="002B2CA5"/>
    <w:rsid w:val="002B4324"/>
    <w:rsid w:val="002B4486"/>
    <w:rsid w:val="002B44D5"/>
    <w:rsid w:val="002B4A70"/>
    <w:rsid w:val="002B579B"/>
    <w:rsid w:val="002B5BA5"/>
    <w:rsid w:val="002B5C64"/>
    <w:rsid w:val="002B5E4A"/>
    <w:rsid w:val="002B6660"/>
    <w:rsid w:val="002B67DE"/>
    <w:rsid w:val="002B6F35"/>
    <w:rsid w:val="002B7061"/>
    <w:rsid w:val="002B71BB"/>
    <w:rsid w:val="002B7DB0"/>
    <w:rsid w:val="002C026B"/>
    <w:rsid w:val="002C0D98"/>
    <w:rsid w:val="002C0EBE"/>
    <w:rsid w:val="002C129C"/>
    <w:rsid w:val="002C213E"/>
    <w:rsid w:val="002C2A1B"/>
    <w:rsid w:val="002C2E3A"/>
    <w:rsid w:val="002C307B"/>
    <w:rsid w:val="002C3C33"/>
    <w:rsid w:val="002C3EFF"/>
    <w:rsid w:val="002C56A6"/>
    <w:rsid w:val="002C6E67"/>
    <w:rsid w:val="002C794D"/>
    <w:rsid w:val="002C7C97"/>
    <w:rsid w:val="002D02D0"/>
    <w:rsid w:val="002D0623"/>
    <w:rsid w:val="002D0ED2"/>
    <w:rsid w:val="002D19B9"/>
    <w:rsid w:val="002D2794"/>
    <w:rsid w:val="002D2C4B"/>
    <w:rsid w:val="002D322A"/>
    <w:rsid w:val="002D3512"/>
    <w:rsid w:val="002D378C"/>
    <w:rsid w:val="002D3BA0"/>
    <w:rsid w:val="002D3D6D"/>
    <w:rsid w:val="002D409F"/>
    <w:rsid w:val="002D40D4"/>
    <w:rsid w:val="002D43EB"/>
    <w:rsid w:val="002D4D7A"/>
    <w:rsid w:val="002D536E"/>
    <w:rsid w:val="002D566A"/>
    <w:rsid w:val="002D5AC5"/>
    <w:rsid w:val="002D62F3"/>
    <w:rsid w:val="002D74A0"/>
    <w:rsid w:val="002E0D29"/>
    <w:rsid w:val="002E0F7F"/>
    <w:rsid w:val="002E2498"/>
    <w:rsid w:val="002E26C8"/>
    <w:rsid w:val="002E3C4C"/>
    <w:rsid w:val="002E413A"/>
    <w:rsid w:val="002E4420"/>
    <w:rsid w:val="002E45E8"/>
    <w:rsid w:val="002E4E66"/>
    <w:rsid w:val="002E5957"/>
    <w:rsid w:val="002E5A14"/>
    <w:rsid w:val="002E6515"/>
    <w:rsid w:val="002E72C7"/>
    <w:rsid w:val="002E7808"/>
    <w:rsid w:val="002F10ED"/>
    <w:rsid w:val="002F152D"/>
    <w:rsid w:val="002F1A5D"/>
    <w:rsid w:val="002F1A87"/>
    <w:rsid w:val="002F1C44"/>
    <w:rsid w:val="002F1C53"/>
    <w:rsid w:val="002F1FAA"/>
    <w:rsid w:val="002F2041"/>
    <w:rsid w:val="002F37FB"/>
    <w:rsid w:val="002F4795"/>
    <w:rsid w:val="002F5D09"/>
    <w:rsid w:val="002F6612"/>
    <w:rsid w:val="002F673F"/>
    <w:rsid w:val="002F6B96"/>
    <w:rsid w:val="002F7DC4"/>
    <w:rsid w:val="0030046F"/>
    <w:rsid w:val="00301170"/>
    <w:rsid w:val="0030139F"/>
    <w:rsid w:val="003019EA"/>
    <w:rsid w:val="00301CD3"/>
    <w:rsid w:val="00301D17"/>
    <w:rsid w:val="003020BD"/>
    <w:rsid w:val="00302139"/>
    <w:rsid w:val="003022E1"/>
    <w:rsid w:val="0030246B"/>
    <w:rsid w:val="00302BCD"/>
    <w:rsid w:val="00302E9C"/>
    <w:rsid w:val="0030438C"/>
    <w:rsid w:val="0030445B"/>
    <w:rsid w:val="0030539F"/>
    <w:rsid w:val="003055DF"/>
    <w:rsid w:val="00305B89"/>
    <w:rsid w:val="00305DFC"/>
    <w:rsid w:val="003101C0"/>
    <w:rsid w:val="00310352"/>
    <w:rsid w:val="00311303"/>
    <w:rsid w:val="00311CE0"/>
    <w:rsid w:val="003124BC"/>
    <w:rsid w:val="003127BE"/>
    <w:rsid w:val="00312D17"/>
    <w:rsid w:val="00313AAA"/>
    <w:rsid w:val="00313C2C"/>
    <w:rsid w:val="003146BA"/>
    <w:rsid w:val="00315178"/>
    <w:rsid w:val="00315737"/>
    <w:rsid w:val="00315D1B"/>
    <w:rsid w:val="00316213"/>
    <w:rsid w:val="00316D2E"/>
    <w:rsid w:val="003170AE"/>
    <w:rsid w:val="003177D5"/>
    <w:rsid w:val="00320931"/>
    <w:rsid w:val="003209A0"/>
    <w:rsid w:val="00320D0A"/>
    <w:rsid w:val="003211F6"/>
    <w:rsid w:val="0032149E"/>
    <w:rsid w:val="00321A83"/>
    <w:rsid w:val="00321A8D"/>
    <w:rsid w:val="00322C2C"/>
    <w:rsid w:val="00322FE9"/>
    <w:rsid w:val="00323AD9"/>
    <w:rsid w:val="0032417F"/>
    <w:rsid w:val="0032432C"/>
    <w:rsid w:val="00324A57"/>
    <w:rsid w:val="00324B64"/>
    <w:rsid w:val="003250AA"/>
    <w:rsid w:val="00325CBD"/>
    <w:rsid w:val="003262F7"/>
    <w:rsid w:val="00326756"/>
    <w:rsid w:val="00327084"/>
    <w:rsid w:val="00327795"/>
    <w:rsid w:val="00330246"/>
    <w:rsid w:val="00330866"/>
    <w:rsid w:val="00330E93"/>
    <w:rsid w:val="00330F74"/>
    <w:rsid w:val="00331A61"/>
    <w:rsid w:val="0033262C"/>
    <w:rsid w:val="00332F2A"/>
    <w:rsid w:val="00333A0E"/>
    <w:rsid w:val="00333B5E"/>
    <w:rsid w:val="003342E0"/>
    <w:rsid w:val="0033580F"/>
    <w:rsid w:val="0033649D"/>
    <w:rsid w:val="00336674"/>
    <w:rsid w:val="0033724B"/>
    <w:rsid w:val="00337D66"/>
    <w:rsid w:val="0034010D"/>
    <w:rsid w:val="00341081"/>
    <w:rsid w:val="00341A17"/>
    <w:rsid w:val="00341C5F"/>
    <w:rsid w:val="003426B1"/>
    <w:rsid w:val="00342D34"/>
    <w:rsid w:val="003431D1"/>
    <w:rsid w:val="00343416"/>
    <w:rsid w:val="003436D9"/>
    <w:rsid w:val="00343A03"/>
    <w:rsid w:val="003440DC"/>
    <w:rsid w:val="00344165"/>
    <w:rsid w:val="003449EF"/>
    <w:rsid w:val="00344DC9"/>
    <w:rsid w:val="00344F82"/>
    <w:rsid w:val="003452F4"/>
    <w:rsid w:val="00345520"/>
    <w:rsid w:val="003466FE"/>
    <w:rsid w:val="00346F2F"/>
    <w:rsid w:val="00347C5D"/>
    <w:rsid w:val="00347EA7"/>
    <w:rsid w:val="00347F9E"/>
    <w:rsid w:val="00347FAC"/>
    <w:rsid w:val="003500CC"/>
    <w:rsid w:val="00350141"/>
    <w:rsid w:val="003503E5"/>
    <w:rsid w:val="00350466"/>
    <w:rsid w:val="003514D1"/>
    <w:rsid w:val="00351570"/>
    <w:rsid w:val="00352165"/>
    <w:rsid w:val="003526EF"/>
    <w:rsid w:val="00352E18"/>
    <w:rsid w:val="003532E6"/>
    <w:rsid w:val="00353402"/>
    <w:rsid w:val="0035475C"/>
    <w:rsid w:val="0035492C"/>
    <w:rsid w:val="00354D82"/>
    <w:rsid w:val="00355118"/>
    <w:rsid w:val="0035529C"/>
    <w:rsid w:val="00355820"/>
    <w:rsid w:val="00355A38"/>
    <w:rsid w:val="00355AB7"/>
    <w:rsid w:val="0035623D"/>
    <w:rsid w:val="003563B6"/>
    <w:rsid w:val="003567D0"/>
    <w:rsid w:val="003568A7"/>
    <w:rsid w:val="00356A55"/>
    <w:rsid w:val="00357213"/>
    <w:rsid w:val="003577A2"/>
    <w:rsid w:val="003600E5"/>
    <w:rsid w:val="0036058F"/>
    <w:rsid w:val="003606AB"/>
    <w:rsid w:val="003607AE"/>
    <w:rsid w:val="00360B62"/>
    <w:rsid w:val="00360B8A"/>
    <w:rsid w:val="00360F87"/>
    <w:rsid w:val="0036121C"/>
    <w:rsid w:val="00361360"/>
    <w:rsid w:val="00362076"/>
    <w:rsid w:val="003629AF"/>
    <w:rsid w:val="00362E2D"/>
    <w:rsid w:val="003635E6"/>
    <w:rsid w:val="00363882"/>
    <w:rsid w:val="003639E1"/>
    <w:rsid w:val="00365751"/>
    <w:rsid w:val="00365834"/>
    <w:rsid w:val="00365B33"/>
    <w:rsid w:val="00365E88"/>
    <w:rsid w:val="00367083"/>
    <w:rsid w:val="003678B2"/>
    <w:rsid w:val="00370C64"/>
    <w:rsid w:val="00370E4C"/>
    <w:rsid w:val="00371944"/>
    <w:rsid w:val="00371D2A"/>
    <w:rsid w:val="00372072"/>
    <w:rsid w:val="003720F9"/>
    <w:rsid w:val="00373ADC"/>
    <w:rsid w:val="003752A9"/>
    <w:rsid w:val="00375F09"/>
    <w:rsid w:val="00376B31"/>
    <w:rsid w:val="0037794C"/>
    <w:rsid w:val="00377F15"/>
    <w:rsid w:val="0038175A"/>
    <w:rsid w:val="00382052"/>
    <w:rsid w:val="00382345"/>
    <w:rsid w:val="003826AC"/>
    <w:rsid w:val="0038283D"/>
    <w:rsid w:val="00382B05"/>
    <w:rsid w:val="00382B5C"/>
    <w:rsid w:val="00383079"/>
    <w:rsid w:val="003830BF"/>
    <w:rsid w:val="003830F6"/>
    <w:rsid w:val="00383C3D"/>
    <w:rsid w:val="00383E2E"/>
    <w:rsid w:val="003849D1"/>
    <w:rsid w:val="003855D4"/>
    <w:rsid w:val="003906DB"/>
    <w:rsid w:val="00390EB0"/>
    <w:rsid w:val="003916F9"/>
    <w:rsid w:val="00391A69"/>
    <w:rsid w:val="003920CE"/>
    <w:rsid w:val="00392A59"/>
    <w:rsid w:val="00392DF7"/>
    <w:rsid w:val="00393242"/>
    <w:rsid w:val="00393BD0"/>
    <w:rsid w:val="00394803"/>
    <w:rsid w:val="0039484B"/>
    <w:rsid w:val="00394BF5"/>
    <w:rsid w:val="00394D5A"/>
    <w:rsid w:val="00394FAD"/>
    <w:rsid w:val="0039504C"/>
    <w:rsid w:val="00395653"/>
    <w:rsid w:val="00396417"/>
    <w:rsid w:val="0039682E"/>
    <w:rsid w:val="00396999"/>
    <w:rsid w:val="00397410"/>
    <w:rsid w:val="00397D05"/>
    <w:rsid w:val="00397E45"/>
    <w:rsid w:val="003A0190"/>
    <w:rsid w:val="003A1550"/>
    <w:rsid w:val="003A1D52"/>
    <w:rsid w:val="003A28DA"/>
    <w:rsid w:val="003A333A"/>
    <w:rsid w:val="003A54C7"/>
    <w:rsid w:val="003A5FC8"/>
    <w:rsid w:val="003A65DB"/>
    <w:rsid w:val="003A7CE8"/>
    <w:rsid w:val="003B171D"/>
    <w:rsid w:val="003B1E61"/>
    <w:rsid w:val="003B1FAB"/>
    <w:rsid w:val="003B302F"/>
    <w:rsid w:val="003B36F9"/>
    <w:rsid w:val="003B4175"/>
    <w:rsid w:val="003B4215"/>
    <w:rsid w:val="003B61E5"/>
    <w:rsid w:val="003B690B"/>
    <w:rsid w:val="003C0C95"/>
    <w:rsid w:val="003C1A30"/>
    <w:rsid w:val="003C1C63"/>
    <w:rsid w:val="003C1DF1"/>
    <w:rsid w:val="003C20D6"/>
    <w:rsid w:val="003C29C9"/>
    <w:rsid w:val="003C2CD7"/>
    <w:rsid w:val="003C3C3D"/>
    <w:rsid w:val="003C3D98"/>
    <w:rsid w:val="003C3FEB"/>
    <w:rsid w:val="003C412F"/>
    <w:rsid w:val="003C4863"/>
    <w:rsid w:val="003C547F"/>
    <w:rsid w:val="003C5DD3"/>
    <w:rsid w:val="003C5E54"/>
    <w:rsid w:val="003C648D"/>
    <w:rsid w:val="003C6AC6"/>
    <w:rsid w:val="003C6B4A"/>
    <w:rsid w:val="003C6C2C"/>
    <w:rsid w:val="003D2944"/>
    <w:rsid w:val="003D2A7B"/>
    <w:rsid w:val="003D2E62"/>
    <w:rsid w:val="003D3E3D"/>
    <w:rsid w:val="003D3F39"/>
    <w:rsid w:val="003D45EB"/>
    <w:rsid w:val="003D59A1"/>
    <w:rsid w:val="003D69FA"/>
    <w:rsid w:val="003D7BD9"/>
    <w:rsid w:val="003E030D"/>
    <w:rsid w:val="003E11A4"/>
    <w:rsid w:val="003E1A77"/>
    <w:rsid w:val="003E21A6"/>
    <w:rsid w:val="003E2E58"/>
    <w:rsid w:val="003E3666"/>
    <w:rsid w:val="003E4C22"/>
    <w:rsid w:val="003E54C2"/>
    <w:rsid w:val="003E560F"/>
    <w:rsid w:val="003E7600"/>
    <w:rsid w:val="003E7749"/>
    <w:rsid w:val="003F09FD"/>
    <w:rsid w:val="003F1010"/>
    <w:rsid w:val="003F1832"/>
    <w:rsid w:val="003F19CC"/>
    <w:rsid w:val="003F19E3"/>
    <w:rsid w:val="003F1FA3"/>
    <w:rsid w:val="003F2455"/>
    <w:rsid w:val="003F33FF"/>
    <w:rsid w:val="003F3CF0"/>
    <w:rsid w:val="003F41D9"/>
    <w:rsid w:val="003F42EC"/>
    <w:rsid w:val="003F4A4F"/>
    <w:rsid w:val="003F5826"/>
    <w:rsid w:val="003F59C1"/>
    <w:rsid w:val="003F61F5"/>
    <w:rsid w:val="003F62DD"/>
    <w:rsid w:val="003F673D"/>
    <w:rsid w:val="004009EF"/>
    <w:rsid w:val="00401308"/>
    <w:rsid w:val="00401CF1"/>
    <w:rsid w:val="00401D4D"/>
    <w:rsid w:val="004025BF"/>
    <w:rsid w:val="00402AA3"/>
    <w:rsid w:val="0040378E"/>
    <w:rsid w:val="00403989"/>
    <w:rsid w:val="00403ADA"/>
    <w:rsid w:val="00403E34"/>
    <w:rsid w:val="00403EAC"/>
    <w:rsid w:val="00404471"/>
    <w:rsid w:val="00404825"/>
    <w:rsid w:val="004048AD"/>
    <w:rsid w:val="00404B22"/>
    <w:rsid w:val="00405167"/>
    <w:rsid w:val="00405455"/>
    <w:rsid w:val="00405981"/>
    <w:rsid w:val="00406052"/>
    <w:rsid w:val="00406E67"/>
    <w:rsid w:val="004074B1"/>
    <w:rsid w:val="00407C3A"/>
    <w:rsid w:val="004115A2"/>
    <w:rsid w:val="00411A98"/>
    <w:rsid w:val="00412B74"/>
    <w:rsid w:val="00412C06"/>
    <w:rsid w:val="00412D9D"/>
    <w:rsid w:val="0041304E"/>
    <w:rsid w:val="004131D5"/>
    <w:rsid w:val="004149F0"/>
    <w:rsid w:val="00415630"/>
    <w:rsid w:val="00416454"/>
    <w:rsid w:val="00416728"/>
    <w:rsid w:val="00416F6A"/>
    <w:rsid w:val="00417229"/>
    <w:rsid w:val="00417A21"/>
    <w:rsid w:val="00417C2A"/>
    <w:rsid w:val="00417E09"/>
    <w:rsid w:val="004204CB"/>
    <w:rsid w:val="00420AB3"/>
    <w:rsid w:val="00421789"/>
    <w:rsid w:val="00421893"/>
    <w:rsid w:val="00421BDE"/>
    <w:rsid w:val="0042213E"/>
    <w:rsid w:val="004232B2"/>
    <w:rsid w:val="00424BF2"/>
    <w:rsid w:val="00425057"/>
    <w:rsid w:val="0042506F"/>
    <w:rsid w:val="004262CE"/>
    <w:rsid w:val="00426745"/>
    <w:rsid w:val="00426E52"/>
    <w:rsid w:val="00427488"/>
    <w:rsid w:val="004274AF"/>
    <w:rsid w:val="00427EB1"/>
    <w:rsid w:val="00430038"/>
    <w:rsid w:val="00431CF7"/>
    <w:rsid w:val="00431D3A"/>
    <w:rsid w:val="0043246B"/>
    <w:rsid w:val="004330C8"/>
    <w:rsid w:val="004337DA"/>
    <w:rsid w:val="004337F7"/>
    <w:rsid w:val="00433A80"/>
    <w:rsid w:val="00435C0A"/>
    <w:rsid w:val="0043672F"/>
    <w:rsid w:val="004374E7"/>
    <w:rsid w:val="00437B86"/>
    <w:rsid w:val="00437BB7"/>
    <w:rsid w:val="0044003D"/>
    <w:rsid w:val="004402AC"/>
    <w:rsid w:val="0044080B"/>
    <w:rsid w:val="00440841"/>
    <w:rsid w:val="00440CD5"/>
    <w:rsid w:val="0044150F"/>
    <w:rsid w:val="00441C53"/>
    <w:rsid w:val="00441CFE"/>
    <w:rsid w:val="00441EAF"/>
    <w:rsid w:val="00442635"/>
    <w:rsid w:val="00442C94"/>
    <w:rsid w:val="00444071"/>
    <w:rsid w:val="00444B5B"/>
    <w:rsid w:val="00446062"/>
    <w:rsid w:val="00446146"/>
    <w:rsid w:val="00446534"/>
    <w:rsid w:val="0044668E"/>
    <w:rsid w:val="00446B85"/>
    <w:rsid w:val="00446BEE"/>
    <w:rsid w:val="00450252"/>
    <w:rsid w:val="00450A5A"/>
    <w:rsid w:val="00450AA2"/>
    <w:rsid w:val="00451180"/>
    <w:rsid w:val="00451575"/>
    <w:rsid w:val="0045157E"/>
    <w:rsid w:val="004517F5"/>
    <w:rsid w:val="004519C1"/>
    <w:rsid w:val="00452385"/>
    <w:rsid w:val="0045242E"/>
    <w:rsid w:val="004528E2"/>
    <w:rsid w:val="00452D34"/>
    <w:rsid w:val="00452D8A"/>
    <w:rsid w:val="0045615D"/>
    <w:rsid w:val="00456A54"/>
    <w:rsid w:val="00456A84"/>
    <w:rsid w:val="00457286"/>
    <w:rsid w:val="00461864"/>
    <w:rsid w:val="00461937"/>
    <w:rsid w:val="00461F8F"/>
    <w:rsid w:val="00463A05"/>
    <w:rsid w:val="00463C1D"/>
    <w:rsid w:val="00464BE2"/>
    <w:rsid w:val="00464E4E"/>
    <w:rsid w:val="004655E6"/>
    <w:rsid w:val="00466304"/>
    <w:rsid w:val="00466547"/>
    <w:rsid w:val="004677E7"/>
    <w:rsid w:val="00467D7B"/>
    <w:rsid w:val="0047036A"/>
    <w:rsid w:val="00470D98"/>
    <w:rsid w:val="004710DA"/>
    <w:rsid w:val="004711DE"/>
    <w:rsid w:val="00471CA6"/>
    <w:rsid w:val="00472124"/>
    <w:rsid w:val="0047296E"/>
    <w:rsid w:val="00472B5D"/>
    <w:rsid w:val="00472FF9"/>
    <w:rsid w:val="00473DA7"/>
    <w:rsid w:val="00474347"/>
    <w:rsid w:val="004760C0"/>
    <w:rsid w:val="00476536"/>
    <w:rsid w:val="0047699A"/>
    <w:rsid w:val="00477721"/>
    <w:rsid w:val="00477984"/>
    <w:rsid w:val="00477F65"/>
    <w:rsid w:val="00481608"/>
    <w:rsid w:val="00481689"/>
    <w:rsid w:val="004816F9"/>
    <w:rsid w:val="00482562"/>
    <w:rsid w:val="00483038"/>
    <w:rsid w:val="004835CB"/>
    <w:rsid w:val="004838D8"/>
    <w:rsid w:val="0048391A"/>
    <w:rsid w:val="0048415D"/>
    <w:rsid w:val="0048430C"/>
    <w:rsid w:val="0048477D"/>
    <w:rsid w:val="00484ABB"/>
    <w:rsid w:val="00484AE3"/>
    <w:rsid w:val="00486123"/>
    <w:rsid w:val="00486CC6"/>
    <w:rsid w:val="00486FA0"/>
    <w:rsid w:val="00490FD6"/>
    <w:rsid w:val="00493110"/>
    <w:rsid w:val="00493477"/>
    <w:rsid w:val="00493FA8"/>
    <w:rsid w:val="00494DB3"/>
    <w:rsid w:val="004950D4"/>
    <w:rsid w:val="00495D7B"/>
    <w:rsid w:val="00496192"/>
    <w:rsid w:val="004962F2"/>
    <w:rsid w:val="0049631A"/>
    <w:rsid w:val="00496363"/>
    <w:rsid w:val="00497C81"/>
    <w:rsid w:val="00497F19"/>
    <w:rsid w:val="00497F32"/>
    <w:rsid w:val="004A0236"/>
    <w:rsid w:val="004A0340"/>
    <w:rsid w:val="004A05C2"/>
    <w:rsid w:val="004A0744"/>
    <w:rsid w:val="004A099D"/>
    <w:rsid w:val="004A0AD5"/>
    <w:rsid w:val="004A0E6A"/>
    <w:rsid w:val="004A1765"/>
    <w:rsid w:val="004A17DA"/>
    <w:rsid w:val="004A1801"/>
    <w:rsid w:val="004A1ADF"/>
    <w:rsid w:val="004A1D70"/>
    <w:rsid w:val="004A2992"/>
    <w:rsid w:val="004A2998"/>
    <w:rsid w:val="004A29DC"/>
    <w:rsid w:val="004A3D73"/>
    <w:rsid w:val="004A560A"/>
    <w:rsid w:val="004A5739"/>
    <w:rsid w:val="004A5E82"/>
    <w:rsid w:val="004A5F3A"/>
    <w:rsid w:val="004A6E7A"/>
    <w:rsid w:val="004A6E7C"/>
    <w:rsid w:val="004A7562"/>
    <w:rsid w:val="004A794E"/>
    <w:rsid w:val="004A7A00"/>
    <w:rsid w:val="004A7DBD"/>
    <w:rsid w:val="004A7E1B"/>
    <w:rsid w:val="004A7F88"/>
    <w:rsid w:val="004B085F"/>
    <w:rsid w:val="004B1690"/>
    <w:rsid w:val="004B1AFF"/>
    <w:rsid w:val="004B1E10"/>
    <w:rsid w:val="004B2316"/>
    <w:rsid w:val="004B248D"/>
    <w:rsid w:val="004B2AD5"/>
    <w:rsid w:val="004B2DA3"/>
    <w:rsid w:val="004B3656"/>
    <w:rsid w:val="004B3DFF"/>
    <w:rsid w:val="004B4144"/>
    <w:rsid w:val="004B49D4"/>
    <w:rsid w:val="004B4C6F"/>
    <w:rsid w:val="004B5988"/>
    <w:rsid w:val="004B5F28"/>
    <w:rsid w:val="004B66E4"/>
    <w:rsid w:val="004B678B"/>
    <w:rsid w:val="004B6E21"/>
    <w:rsid w:val="004B7538"/>
    <w:rsid w:val="004B7601"/>
    <w:rsid w:val="004B7A3E"/>
    <w:rsid w:val="004B7D70"/>
    <w:rsid w:val="004C0126"/>
    <w:rsid w:val="004C0576"/>
    <w:rsid w:val="004C0650"/>
    <w:rsid w:val="004C06C1"/>
    <w:rsid w:val="004C0D41"/>
    <w:rsid w:val="004C1C04"/>
    <w:rsid w:val="004C3A6F"/>
    <w:rsid w:val="004C3B06"/>
    <w:rsid w:val="004C4DDA"/>
    <w:rsid w:val="004C539E"/>
    <w:rsid w:val="004C54B7"/>
    <w:rsid w:val="004C5CDB"/>
    <w:rsid w:val="004C621D"/>
    <w:rsid w:val="004C6255"/>
    <w:rsid w:val="004C6833"/>
    <w:rsid w:val="004C6854"/>
    <w:rsid w:val="004C6C58"/>
    <w:rsid w:val="004C6ED6"/>
    <w:rsid w:val="004C7138"/>
    <w:rsid w:val="004C797C"/>
    <w:rsid w:val="004D0C61"/>
    <w:rsid w:val="004D2AF6"/>
    <w:rsid w:val="004D344E"/>
    <w:rsid w:val="004D445D"/>
    <w:rsid w:val="004D6803"/>
    <w:rsid w:val="004D7471"/>
    <w:rsid w:val="004D7C54"/>
    <w:rsid w:val="004E0538"/>
    <w:rsid w:val="004E0773"/>
    <w:rsid w:val="004E0C03"/>
    <w:rsid w:val="004E0F2C"/>
    <w:rsid w:val="004E12BA"/>
    <w:rsid w:val="004E17BA"/>
    <w:rsid w:val="004E21CA"/>
    <w:rsid w:val="004E2441"/>
    <w:rsid w:val="004E2D6F"/>
    <w:rsid w:val="004E2EBD"/>
    <w:rsid w:val="004E3E1C"/>
    <w:rsid w:val="004E432C"/>
    <w:rsid w:val="004E470B"/>
    <w:rsid w:val="004E48B2"/>
    <w:rsid w:val="004E5492"/>
    <w:rsid w:val="004E5EB9"/>
    <w:rsid w:val="004E6AA6"/>
    <w:rsid w:val="004E6DE7"/>
    <w:rsid w:val="004E75B5"/>
    <w:rsid w:val="004E7E32"/>
    <w:rsid w:val="004E7EC0"/>
    <w:rsid w:val="004F026E"/>
    <w:rsid w:val="004F05FC"/>
    <w:rsid w:val="004F06D0"/>
    <w:rsid w:val="004F1035"/>
    <w:rsid w:val="004F1050"/>
    <w:rsid w:val="004F2730"/>
    <w:rsid w:val="004F2F73"/>
    <w:rsid w:val="004F369A"/>
    <w:rsid w:val="004F36C2"/>
    <w:rsid w:val="004F53A1"/>
    <w:rsid w:val="004F5771"/>
    <w:rsid w:val="004F5E75"/>
    <w:rsid w:val="004F630C"/>
    <w:rsid w:val="004F64C6"/>
    <w:rsid w:val="004F6531"/>
    <w:rsid w:val="004F6BA6"/>
    <w:rsid w:val="004F726F"/>
    <w:rsid w:val="004F78C0"/>
    <w:rsid w:val="00500117"/>
    <w:rsid w:val="00500817"/>
    <w:rsid w:val="00500BAA"/>
    <w:rsid w:val="00500D3E"/>
    <w:rsid w:val="005013FB"/>
    <w:rsid w:val="005022A7"/>
    <w:rsid w:val="0050232E"/>
    <w:rsid w:val="00502A4C"/>
    <w:rsid w:val="00502C78"/>
    <w:rsid w:val="00503954"/>
    <w:rsid w:val="005041B2"/>
    <w:rsid w:val="0050455B"/>
    <w:rsid w:val="005045FF"/>
    <w:rsid w:val="005046F6"/>
    <w:rsid w:val="00504735"/>
    <w:rsid w:val="00504D33"/>
    <w:rsid w:val="005063B1"/>
    <w:rsid w:val="00506B68"/>
    <w:rsid w:val="0050734F"/>
    <w:rsid w:val="00507787"/>
    <w:rsid w:val="00507CFF"/>
    <w:rsid w:val="0051065A"/>
    <w:rsid w:val="00510692"/>
    <w:rsid w:val="00510B35"/>
    <w:rsid w:val="00511458"/>
    <w:rsid w:val="00511746"/>
    <w:rsid w:val="00511F1A"/>
    <w:rsid w:val="005127AD"/>
    <w:rsid w:val="005127D6"/>
    <w:rsid w:val="00513433"/>
    <w:rsid w:val="00513692"/>
    <w:rsid w:val="005142ED"/>
    <w:rsid w:val="005144C2"/>
    <w:rsid w:val="0051554C"/>
    <w:rsid w:val="005157CB"/>
    <w:rsid w:val="005175F7"/>
    <w:rsid w:val="00517A46"/>
    <w:rsid w:val="005201FE"/>
    <w:rsid w:val="0052028C"/>
    <w:rsid w:val="00520648"/>
    <w:rsid w:val="00523780"/>
    <w:rsid w:val="00523E17"/>
    <w:rsid w:val="0052425C"/>
    <w:rsid w:val="00525499"/>
    <w:rsid w:val="00525B2F"/>
    <w:rsid w:val="00525DBC"/>
    <w:rsid w:val="005261C7"/>
    <w:rsid w:val="00526A42"/>
    <w:rsid w:val="00526F9C"/>
    <w:rsid w:val="00527B50"/>
    <w:rsid w:val="00527D38"/>
    <w:rsid w:val="00530670"/>
    <w:rsid w:val="0053176A"/>
    <w:rsid w:val="005317CF"/>
    <w:rsid w:val="0053212C"/>
    <w:rsid w:val="00532381"/>
    <w:rsid w:val="005329F9"/>
    <w:rsid w:val="005333F2"/>
    <w:rsid w:val="00533D7F"/>
    <w:rsid w:val="00534336"/>
    <w:rsid w:val="0053446A"/>
    <w:rsid w:val="00534B91"/>
    <w:rsid w:val="00534D6D"/>
    <w:rsid w:val="0053588C"/>
    <w:rsid w:val="00535B67"/>
    <w:rsid w:val="00535BDD"/>
    <w:rsid w:val="0053630A"/>
    <w:rsid w:val="0053658C"/>
    <w:rsid w:val="005409C7"/>
    <w:rsid w:val="00540D2B"/>
    <w:rsid w:val="0054253C"/>
    <w:rsid w:val="0054262B"/>
    <w:rsid w:val="00542653"/>
    <w:rsid w:val="005430CF"/>
    <w:rsid w:val="005441B7"/>
    <w:rsid w:val="005449AD"/>
    <w:rsid w:val="00545426"/>
    <w:rsid w:val="00545B6E"/>
    <w:rsid w:val="00546661"/>
    <w:rsid w:val="005468EB"/>
    <w:rsid w:val="005474D2"/>
    <w:rsid w:val="00551128"/>
    <w:rsid w:val="00551236"/>
    <w:rsid w:val="0055326E"/>
    <w:rsid w:val="005533E9"/>
    <w:rsid w:val="00553AD6"/>
    <w:rsid w:val="005540DF"/>
    <w:rsid w:val="00554221"/>
    <w:rsid w:val="00554E96"/>
    <w:rsid w:val="0055560F"/>
    <w:rsid w:val="00555863"/>
    <w:rsid w:val="00555877"/>
    <w:rsid w:val="00555C04"/>
    <w:rsid w:val="00556051"/>
    <w:rsid w:val="0055669C"/>
    <w:rsid w:val="00556DFF"/>
    <w:rsid w:val="00557469"/>
    <w:rsid w:val="00561C46"/>
    <w:rsid w:val="00561D9B"/>
    <w:rsid w:val="00561F1C"/>
    <w:rsid w:val="00562A9C"/>
    <w:rsid w:val="00562B7F"/>
    <w:rsid w:val="00562BE5"/>
    <w:rsid w:val="00562C0C"/>
    <w:rsid w:val="00562D4A"/>
    <w:rsid w:val="0056303F"/>
    <w:rsid w:val="005639CD"/>
    <w:rsid w:val="00563B50"/>
    <w:rsid w:val="00563FCD"/>
    <w:rsid w:val="00564020"/>
    <w:rsid w:val="0056503A"/>
    <w:rsid w:val="0056613A"/>
    <w:rsid w:val="00566711"/>
    <w:rsid w:val="00566EB5"/>
    <w:rsid w:val="00566FB1"/>
    <w:rsid w:val="00567870"/>
    <w:rsid w:val="0057001C"/>
    <w:rsid w:val="005702A0"/>
    <w:rsid w:val="00570636"/>
    <w:rsid w:val="005709D9"/>
    <w:rsid w:val="00570FB9"/>
    <w:rsid w:val="00571297"/>
    <w:rsid w:val="005716D6"/>
    <w:rsid w:val="00571DCF"/>
    <w:rsid w:val="0057239A"/>
    <w:rsid w:val="005733F7"/>
    <w:rsid w:val="00574981"/>
    <w:rsid w:val="00574E16"/>
    <w:rsid w:val="005750C9"/>
    <w:rsid w:val="005759B0"/>
    <w:rsid w:val="0057642A"/>
    <w:rsid w:val="00580BF1"/>
    <w:rsid w:val="005810DD"/>
    <w:rsid w:val="005811DF"/>
    <w:rsid w:val="00581874"/>
    <w:rsid w:val="00581903"/>
    <w:rsid w:val="005827AD"/>
    <w:rsid w:val="00582EC7"/>
    <w:rsid w:val="0058327E"/>
    <w:rsid w:val="005833F3"/>
    <w:rsid w:val="005838C7"/>
    <w:rsid w:val="00583E9A"/>
    <w:rsid w:val="00584C37"/>
    <w:rsid w:val="00584FFF"/>
    <w:rsid w:val="00585125"/>
    <w:rsid w:val="0058536E"/>
    <w:rsid w:val="00585ADB"/>
    <w:rsid w:val="00586861"/>
    <w:rsid w:val="0058686B"/>
    <w:rsid w:val="00586C6A"/>
    <w:rsid w:val="005875AD"/>
    <w:rsid w:val="005900E9"/>
    <w:rsid w:val="0059063F"/>
    <w:rsid w:val="005914A7"/>
    <w:rsid w:val="00591863"/>
    <w:rsid w:val="00591D7B"/>
    <w:rsid w:val="00592349"/>
    <w:rsid w:val="005926C1"/>
    <w:rsid w:val="00592D13"/>
    <w:rsid w:val="005930AA"/>
    <w:rsid w:val="005941BF"/>
    <w:rsid w:val="005943C5"/>
    <w:rsid w:val="00594B50"/>
    <w:rsid w:val="00594BB0"/>
    <w:rsid w:val="005952AC"/>
    <w:rsid w:val="00595339"/>
    <w:rsid w:val="005953EA"/>
    <w:rsid w:val="005954E7"/>
    <w:rsid w:val="0059550A"/>
    <w:rsid w:val="00596CAA"/>
    <w:rsid w:val="00597041"/>
    <w:rsid w:val="005972BF"/>
    <w:rsid w:val="00597378"/>
    <w:rsid w:val="005977FA"/>
    <w:rsid w:val="005978F1"/>
    <w:rsid w:val="00597A58"/>
    <w:rsid w:val="005A0161"/>
    <w:rsid w:val="005A06DA"/>
    <w:rsid w:val="005A107F"/>
    <w:rsid w:val="005A11F3"/>
    <w:rsid w:val="005A1654"/>
    <w:rsid w:val="005A1A82"/>
    <w:rsid w:val="005A1C8F"/>
    <w:rsid w:val="005A1C91"/>
    <w:rsid w:val="005A1FCC"/>
    <w:rsid w:val="005A2177"/>
    <w:rsid w:val="005A23CF"/>
    <w:rsid w:val="005A2761"/>
    <w:rsid w:val="005A286D"/>
    <w:rsid w:val="005A2C59"/>
    <w:rsid w:val="005A3590"/>
    <w:rsid w:val="005A3AAE"/>
    <w:rsid w:val="005A3B68"/>
    <w:rsid w:val="005A3F04"/>
    <w:rsid w:val="005A4393"/>
    <w:rsid w:val="005A4A0D"/>
    <w:rsid w:val="005A53C3"/>
    <w:rsid w:val="005A5FAF"/>
    <w:rsid w:val="005A72BE"/>
    <w:rsid w:val="005B014D"/>
    <w:rsid w:val="005B020B"/>
    <w:rsid w:val="005B072E"/>
    <w:rsid w:val="005B20EA"/>
    <w:rsid w:val="005B26F5"/>
    <w:rsid w:val="005B29E9"/>
    <w:rsid w:val="005B302E"/>
    <w:rsid w:val="005B3301"/>
    <w:rsid w:val="005B3405"/>
    <w:rsid w:val="005B3556"/>
    <w:rsid w:val="005B39E2"/>
    <w:rsid w:val="005B4DB4"/>
    <w:rsid w:val="005B53B9"/>
    <w:rsid w:val="005B54D1"/>
    <w:rsid w:val="005B596A"/>
    <w:rsid w:val="005B6299"/>
    <w:rsid w:val="005B6311"/>
    <w:rsid w:val="005B6C19"/>
    <w:rsid w:val="005C029D"/>
    <w:rsid w:val="005C0ABD"/>
    <w:rsid w:val="005C0E49"/>
    <w:rsid w:val="005C103B"/>
    <w:rsid w:val="005C161C"/>
    <w:rsid w:val="005C2239"/>
    <w:rsid w:val="005C2C53"/>
    <w:rsid w:val="005C302F"/>
    <w:rsid w:val="005C30A1"/>
    <w:rsid w:val="005C5071"/>
    <w:rsid w:val="005C5682"/>
    <w:rsid w:val="005C5ABB"/>
    <w:rsid w:val="005C5C9F"/>
    <w:rsid w:val="005C5D33"/>
    <w:rsid w:val="005C6846"/>
    <w:rsid w:val="005C6905"/>
    <w:rsid w:val="005C6B4F"/>
    <w:rsid w:val="005C791B"/>
    <w:rsid w:val="005D0365"/>
    <w:rsid w:val="005D1BE2"/>
    <w:rsid w:val="005D1C89"/>
    <w:rsid w:val="005D1E16"/>
    <w:rsid w:val="005D292B"/>
    <w:rsid w:val="005D2B46"/>
    <w:rsid w:val="005D39EE"/>
    <w:rsid w:val="005D3D83"/>
    <w:rsid w:val="005D4774"/>
    <w:rsid w:val="005D4B1F"/>
    <w:rsid w:val="005D4E49"/>
    <w:rsid w:val="005D55AF"/>
    <w:rsid w:val="005D5688"/>
    <w:rsid w:val="005D5E8F"/>
    <w:rsid w:val="005D64BC"/>
    <w:rsid w:val="005D667C"/>
    <w:rsid w:val="005D67CC"/>
    <w:rsid w:val="005D6FB3"/>
    <w:rsid w:val="005D7316"/>
    <w:rsid w:val="005E036C"/>
    <w:rsid w:val="005E0BD1"/>
    <w:rsid w:val="005E10AD"/>
    <w:rsid w:val="005E1417"/>
    <w:rsid w:val="005E1A99"/>
    <w:rsid w:val="005E1C65"/>
    <w:rsid w:val="005E240F"/>
    <w:rsid w:val="005E29D4"/>
    <w:rsid w:val="005E2C73"/>
    <w:rsid w:val="005E3779"/>
    <w:rsid w:val="005E39CD"/>
    <w:rsid w:val="005E3A6D"/>
    <w:rsid w:val="005E3B1C"/>
    <w:rsid w:val="005E4303"/>
    <w:rsid w:val="005E4749"/>
    <w:rsid w:val="005E4C04"/>
    <w:rsid w:val="005E57CA"/>
    <w:rsid w:val="005E60E3"/>
    <w:rsid w:val="005E65D8"/>
    <w:rsid w:val="005E6F9C"/>
    <w:rsid w:val="005E70A8"/>
    <w:rsid w:val="005E7D9B"/>
    <w:rsid w:val="005F03ED"/>
    <w:rsid w:val="005F0DA4"/>
    <w:rsid w:val="005F1BEF"/>
    <w:rsid w:val="005F1C0D"/>
    <w:rsid w:val="005F3964"/>
    <w:rsid w:val="005F4463"/>
    <w:rsid w:val="005F49D7"/>
    <w:rsid w:val="005F5B5F"/>
    <w:rsid w:val="005F6E80"/>
    <w:rsid w:val="00600836"/>
    <w:rsid w:val="006017D0"/>
    <w:rsid w:val="0060245E"/>
    <w:rsid w:val="0060247C"/>
    <w:rsid w:val="00602AAA"/>
    <w:rsid w:val="00602C54"/>
    <w:rsid w:val="00602ECC"/>
    <w:rsid w:val="00603A8F"/>
    <w:rsid w:val="00603B8E"/>
    <w:rsid w:val="00603BF9"/>
    <w:rsid w:val="006049C5"/>
    <w:rsid w:val="006051DE"/>
    <w:rsid w:val="006059FF"/>
    <w:rsid w:val="00605EB9"/>
    <w:rsid w:val="006060C3"/>
    <w:rsid w:val="00606674"/>
    <w:rsid w:val="00606F5A"/>
    <w:rsid w:val="00607632"/>
    <w:rsid w:val="00607B4C"/>
    <w:rsid w:val="00610A81"/>
    <w:rsid w:val="006110FA"/>
    <w:rsid w:val="006112B5"/>
    <w:rsid w:val="0061179F"/>
    <w:rsid w:val="006124C3"/>
    <w:rsid w:val="006125B2"/>
    <w:rsid w:val="006128B3"/>
    <w:rsid w:val="006132E1"/>
    <w:rsid w:val="00613349"/>
    <w:rsid w:val="00614AFE"/>
    <w:rsid w:val="00615AB0"/>
    <w:rsid w:val="006163C3"/>
    <w:rsid w:val="00616D93"/>
    <w:rsid w:val="00616FB5"/>
    <w:rsid w:val="006171F0"/>
    <w:rsid w:val="00620171"/>
    <w:rsid w:val="00620207"/>
    <w:rsid w:val="0062021F"/>
    <w:rsid w:val="00620F44"/>
    <w:rsid w:val="00621A5D"/>
    <w:rsid w:val="00621E73"/>
    <w:rsid w:val="006248D1"/>
    <w:rsid w:val="0062506A"/>
    <w:rsid w:val="006256B9"/>
    <w:rsid w:val="00625710"/>
    <w:rsid w:val="006259FB"/>
    <w:rsid w:val="00625D61"/>
    <w:rsid w:val="00626E95"/>
    <w:rsid w:val="006272BE"/>
    <w:rsid w:val="006276EF"/>
    <w:rsid w:val="00627A94"/>
    <w:rsid w:val="00630500"/>
    <w:rsid w:val="006309EF"/>
    <w:rsid w:val="00630EB2"/>
    <w:rsid w:val="00631478"/>
    <w:rsid w:val="0063150D"/>
    <w:rsid w:val="00631C2C"/>
    <w:rsid w:val="00633D09"/>
    <w:rsid w:val="00633FB8"/>
    <w:rsid w:val="00634419"/>
    <w:rsid w:val="006346BD"/>
    <w:rsid w:val="00634976"/>
    <w:rsid w:val="00634E2D"/>
    <w:rsid w:val="006357AE"/>
    <w:rsid w:val="006357F4"/>
    <w:rsid w:val="0063591E"/>
    <w:rsid w:val="00635AB1"/>
    <w:rsid w:val="00635DD7"/>
    <w:rsid w:val="0063615B"/>
    <w:rsid w:val="00636556"/>
    <w:rsid w:val="00636825"/>
    <w:rsid w:val="00636C4D"/>
    <w:rsid w:val="00636EE4"/>
    <w:rsid w:val="006372A3"/>
    <w:rsid w:val="0063770E"/>
    <w:rsid w:val="00640CE0"/>
    <w:rsid w:val="00641780"/>
    <w:rsid w:val="00641B73"/>
    <w:rsid w:val="006421F8"/>
    <w:rsid w:val="0064228B"/>
    <w:rsid w:val="006424EB"/>
    <w:rsid w:val="006426BC"/>
    <w:rsid w:val="00643566"/>
    <w:rsid w:val="00644606"/>
    <w:rsid w:val="00645123"/>
    <w:rsid w:val="00645164"/>
    <w:rsid w:val="00645648"/>
    <w:rsid w:val="0064642A"/>
    <w:rsid w:val="0064683B"/>
    <w:rsid w:val="006468ED"/>
    <w:rsid w:val="00646903"/>
    <w:rsid w:val="00647F1F"/>
    <w:rsid w:val="006505F0"/>
    <w:rsid w:val="00651213"/>
    <w:rsid w:val="006516BD"/>
    <w:rsid w:val="00651996"/>
    <w:rsid w:val="0065237E"/>
    <w:rsid w:val="006526B6"/>
    <w:rsid w:val="00652A77"/>
    <w:rsid w:val="00652D49"/>
    <w:rsid w:val="00653CC5"/>
    <w:rsid w:val="00653E3D"/>
    <w:rsid w:val="0065433F"/>
    <w:rsid w:val="00654496"/>
    <w:rsid w:val="00654837"/>
    <w:rsid w:val="00655044"/>
    <w:rsid w:val="006560C7"/>
    <w:rsid w:val="006563A0"/>
    <w:rsid w:val="0065646D"/>
    <w:rsid w:val="00656767"/>
    <w:rsid w:val="00656ACC"/>
    <w:rsid w:val="00656ECF"/>
    <w:rsid w:val="0066020D"/>
    <w:rsid w:val="00661112"/>
    <w:rsid w:val="00661FB5"/>
    <w:rsid w:val="0066217F"/>
    <w:rsid w:val="00662DA4"/>
    <w:rsid w:val="00663045"/>
    <w:rsid w:val="0066372B"/>
    <w:rsid w:val="00664549"/>
    <w:rsid w:val="0066496E"/>
    <w:rsid w:val="00665048"/>
    <w:rsid w:val="00665F25"/>
    <w:rsid w:val="00666013"/>
    <w:rsid w:val="0066626E"/>
    <w:rsid w:val="00666D5D"/>
    <w:rsid w:val="00667EA4"/>
    <w:rsid w:val="00670054"/>
    <w:rsid w:val="00670A1C"/>
    <w:rsid w:val="00670C24"/>
    <w:rsid w:val="0067130F"/>
    <w:rsid w:val="0067183D"/>
    <w:rsid w:val="006719CC"/>
    <w:rsid w:val="00672528"/>
    <w:rsid w:val="006728BE"/>
    <w:rsid w:val="00673F30"/>
    <w:rsid w:val="00674484"/>
    <w:rsid w:val="00674A6C"/>
    <w:rsid w:val="0067537C"/>
    <w:rsid w:val="0067546F"/>
    <w:rsid w:val="006756C5"/>
    <w:rsid w:val="00675D40"/>
    <w:rsid w:val="00676147"/>
    <w:rsid w:val="0067743E"/>
    <w:rsid w:val="00677905"/>
    <w:rsid w:val="006802BC"/>
    <w:rsid w:val="0068034B"/>
    <w:rsid w:val="00680A18"/>
    <w:rsid w:val="00680FA3"/>
    <w:rsid w:val="0068129C"/>
    <w:rsid w:val="0068133F"/>
    <w:rsid w:val="006819AE"/>
    <w:rsid w:val="0068258D"/>
    <w:rsid w:val="00682D18"/>
    <w:rsid w:val="0068303B"/>
    <w:rsid w:val="00683155"/>
    <w:rsid w:val="006840C6"/>
    <w:rsid w:val="006842B2"/>
    <w:rsid w:val="006847A5"/>
    <w:rsid w:val="00684963"/>
    <w:rsid w:val="00686728"/>
    <w:rsid w:val="006874DD"/>
    <w:rsid w:val="0068756D"/>
    <w:rsid w:val="00687DB0"/>
    <w:rsid w:val="00690B85"/>
    <w:rsid w:val="00691022"/>
    <w:rsid w:val="006912BE"/>
    <w:rsid w:val="00691569"/>
    <w:rsid w:val="00691668"/>
    <w:rsid w:val="00691715"/>
    <w:rsid w:val="00691795"/>
    <w:rsid w:val="00693641"/>
    <w:rsid w:val="00693B84"/>
    <w:rsid w:val="0069427C"/>
    <w:rsid w:val="0069468F"/>
    <w:rsid w:val="00695792"/>
    <w:rsid w:val="00696582"/>
    <w:rsid w:val="006969EB"/>
    <w:rsid w:val="00696CF1"/>
    <w:rsid w:val="00696ED4"/>
    <w:rsid w:val="006A165C"/>
    <w:rsid w:val="006A203B"/>
    <w:rsid w:val="006A22CE"/>
    <w:rsid w:val="006A2C97"/>
    <w:rsid w:val="006A3086"/>
    <w:rsid w:val="006A3F07"/>
    <w:rsid w:val="006A3F62"/>
    <w:rsid w:val="006A4337"/>
    <w:rsid w:val="006A47A6"/>
    <w:rsid w:val="006A4BA5"/>
    <w:rsid w:val="006A4D40"/>
    <w:rsid w:val="006A52ED"/>
    <w:rsid w:val="006A54EC"/>
    <w:rsid w:val="006A7704"/>
    <w:rsid w:val="006B0000"/>
    <w:rsid w:val="006B02B4"/>
    <w:rsid w:val="006B19DF"/>
    <w:rsid w:val="006B1DC3"/>
    <w:rsid w:val="006B31BF"/>
    <w:rsid w:val="006B37EA"/>
    <w:rsid w:val="006B381D"/>
    <w:rsid w:val="006B389F"/>
    <w:rsid w:val="006B4456"/>
    <w:rsid w:val="006B44A5"/>
    <w:rsid w:val="006B49DB"/>
    <w:rsid w:val="006B4BE7"/>
    <w:rsid w:val="006B5247"/>
    <w:rsid w:val="006B578F"/>
    <w:rsid w:val="006B5DC0"/>
    <w:rsid w:val="006B5FEF"/>
    <w:rsid w:val="006B6E67"/>
    <w:rsid w:val="006B70F7"/>
    <w:rsid w:val="006B7CE4"/>
    <w:rsid w:val="006C084B"/>
    <w:rsid w:val="006C09F8"/>
    <w:rsid w:val="006C0FC5"/>
    <w:rsid w:val="006C2DC7"/>
    <w:rsid w:val="006C3132"/>
    <w:rsid w:val="006C319A"/>
    <w:rsid w:val="006C3B8A"/>
    <w:rsid w:val="006C5B65"/>
    <w:rsid w:val="006C6533"/>
    <w:rsid w:val="006C669A"/>
    <w:rsid w:val="006C6CBA"/>
    <w:rsid w:val="006C732C"/>
    <w:rsid w:val="006C7596"/>
    <w:rsid w:val="006C7AD1"/>
    <w:rsid w:val="006D0FEA"/>
    <w:rsid w:val="006D0FF7"/>
    <w:rsid w:val="006D12A8"/>
    <w:rsid w:val="006D177B"/>
    <w:rsid w:val="006D1D8E"/>
    <w:rsid w:val="006D2462"/>
    <w:rsid w:val="006D2979"/>
    <w:rsid w:val="006D2AF5"/>
    <w:rsid w:val="006D3D5B"/>
    <w:rsid w:val="006D413E"/>
    <w:rsid w:val="006D44ED"/>
    <w:rsid w:val="006D5B38"/>
    <w:rsid w:val="006D641E"/>
    <w:rsid w:val="006D6DED"/>
    <w:rsid w:val="006D77B9"/>
    <w:rsid w:val="006D7ACC"/>
    <w:rsid w:val="006D7C21"/>
    <w:rsid w:val="006E09C6"/>
    <w:rsid w:val="006E1A1A"/>
    <w:rsid w:val="006E2B50"/>
    <w:rsid w:val="006E3B6B"/>
    <w:rsid w:val="006E487B"/>
    <w:rsid w:val="006E4D3B"/>
    <w:rsid w:val="006E5ED6"/>
    <w:rsid w:val="006F043A"/>
    <w:rsid w:val="006F0490"/>
    <w:rsid w:val="006F06EB"/>
    <w:rsid w:val="006F1DBA"/>
    <w:rsid w:val="006F1FEF"/>
    <w:rsid w:val="006F27C0"/>
    <w:rsid w:val="006F2E7B"/>
    <w:rsid w:val="006F32C4"/>
    <w:rsid w:val="006F367C"/>
    <w:rsid w:val="006F36E0"/>
    <w:rsid w:val="006F3A6B"/>
    <w:rsid w:val="006F3B56"/>
    <w:rsid w:val="006F577D"/>
    <w:rsid w:val="006F5DD6"/>
    <w:rsid w:val="006F6281"/>
    <w:rsid w:val="006F65AF"/>
    <w:rsid w:val="006F7C72"/>
    <w:rsid w:val="006F7EC8"/>
    <w:rsid w:val="00700152"/>
    <w:rsid w:val="00701C50"/>
    <w:rsid w:val="00701C7B"/>
    <w:rsid w:val="00702156"/>
    <w:rsid w:val="00702159"/>
    <w:rsid w:val="00702564"/>
    <w:rsid w:val="0070341E"/>
    <w:rsid w:val="007036CE"/>
    <w:rsid w:val="00704B29"/>
    <w:rsid w:val="00704D22"/>
    <w:rsid w:val="007055F7"/>
    <w:rsid w:val="007068DA"/>
    <w:rsid w:val="00706A29"/>
    <w:rsid w:val="00706B23"/>
    <w:rsid w:val="0071031C"/>
    <w:rsid w:val="007106DC"/>
    <w:rsid w:val="0071075F"/>
    <w:rsid w:val="00710AB5"/>
    <w:rsid w:val="00710C95"/>
    <w:rsid w:val="00710DD3"/>
    <w:rsid w:val="00711024"/>
    <w:rsid w:val="0071189D"/>
    <w:rsid w:val="00711C8F"/>
    <w:rsid w:val="00711E52"/>
    <w:rsid w:val="007126D6"/>
    <w:rsid w:val="007127B4"/>
    <w:rsid w:val="00712A8E"/>
    <w:rsid w:val="007145D4"/>
    <w:rsid w:val="007149FB"/>
    <w:rsid w:val="0071566E"/>
    <w:rsid w:val="007156F7"/>
    <w:rsid w:val="007161A2"/>
    <w:rsid w:val="007162FD"/>
    <w:rsid w:val="00716FED"/>
    <w:rsid w:val="00717C1D"/>
    <w:rsid w:val="00720611"/>
    <w:rsid w:val="00720B12"/>
    <w:rsid w:val="00721B1D"/>
    <w:rsid w:val="00722652"/>
    <w:rsid w:val="0072289F"/>
    <w:rsid w:val="007228A2"/>
    <w:rsid w:val="00722BB7"/>
    <w:rsid w:val="00723709"/>
    <w:rsid w:val="0072376A"/>
    <w:rsid w:val="007245B5"/>
    <w:rsid w:val="00725847"/>
    <w:rsid w:val="00725B3D"/>
    <w:rsid w:val="00725CE5"/>
    <w:rsid w:val="007262B9"/>
    <w:rsid w:val="00727DBC"/>
    <w:rsid w:val="00727DFF"/>
    <w:rsid w:val="0073038F"/>
    <w:rsid w:val="0073119E"/>
    <w:rsid w:val="00731281"/>
    <w:rsid w:val="00731E5E"/>
    <w:rsid w:val="00732D45"/>
    <w:rsid w:val="00732E56"/>
    <w:rsid w:val="0073372A"/>
    <w:rsid w:val="00733CAE"/>
    <w:rsid w:val="00734289"/>
    <w:rsid w:val="007351C6"/>
    <w:rsid w:val="00735A92"/>
    <w:rsid w:val="00735E51"/>
    <w:rsid w:val="0073609F"/>
    <w:rsid w:val="0073630C"/>
    <w:rsid w:val="007367B6"/>
    <w:rsid w:val="00736A51"/>
    <w:rsid w:val="00736EEE"/>
    <w:rsid w:val="00737BE7"/>
    <w:rsid w:val="007406BF"/>
    <w:rsid w:val="00740CC9"/>
    <w:rsid w:val="007410BA"/>
    <w:rsid w:val="0074116A"/>
    <w:rsid w:val="00741B10"/>
    <w:rsid w:val="00741C0D"/>
    <w:rsid w:val="0074245D"/>
    <w:rsid w:val="007425D5"/>
    <w:rsid w:val="00742722"/>
    <w:rsid w:val="007429EE"/>
    <w:rsid w:val="00742F44"/>
    <w:rsid w:val="007431C9"/>
    <w:rsid w:val="007447E4"/>
    <w:rsid w:val="00744DE9"/>
    <w:rsid w:val="00746D08"/>
    <w:rsid w:val="00746D16"/>
    <w:rsid w:val="00746E73"/>
    <w:rsid w:val="00746F29"/>
    <w:rsid w:val="007473F9"/>
    <w:rsid w:val="00747559"/>
    <w:rsid w:val="007476A5"/>
    <w:rsid w:val="00750810"/>
    <w:rsid w:val="00750CB1"/>
    <w:rsid w:val="00751A20"/>
    <w:rsid w:val="00751C7B"/>
    <w:rsid w:val="00751F78"/>
    <w:rsid w:val="00751FED"/>
    <w:rsid w:val="00753335"/>
    <w:rsid w:val="00755314"/>
    <w:rsid w:val="00755B67"/>
    <w:rsid w:val="00755F3B"/>
    <w:rsid w:val="00756474"/>
    <w:rsid w:val="0075702E"/>
    <w:rsid w:val="0075724F"/>
    <w:rsid w:val="00760CEF"/>
    <w:rsid w:val="00760FDD"/>
    <w:rsid w:val="00761B03"/>
    <w:rsid w:val="00761DD4"/>
    <w:rsid w:val="00762538"/>
    <w:rsid w:val="00763604"/>
    <w:rsid w:val="00763A05"/>
    <w:rsid w:val="00763D5B"/>
    <w:rsid w:val="0076401E"/>
    <w:rsid w:val="007647B0"/>
    <w:rsid w:val="00765225"/>
    <w:rsid w:val="007652FB"/>
    <w:rsid w:val="00765A44"/>
    <w:rsid w:val="00765FD8"/>
    <w:rsid w:val="00765FDD"/>
    <w:rsid w:val="007670B7"/>
    <w:rsid w:val="007677D3"/>
    <w:rsid w:val="00770CE2"/>
    <w:rsid w:val="00770F74"/>
    <w:rsid w:val="00771A62"/>
    <w:rsid w:val="00771F4F"/>
    <w:rsid w:val="00772FBB"/>
    <w:rsid w:val="00773D66"/>
    <w:rsid w:val="00774B77"/>
    <w:rsid w:val="00774CE9"/>
    <w:rsid w:val="0077567C"/>
    <w:rsid w:val="00775B23"/>
    <w:rsid w:val="00775CC4"/>
    <w:rsid w:val="007767A6"/>
    <w:rsid w:val="00776820"/>
    <w:rsid w:val="00776BC8"/>
    <w:rsid w:val="00777F6C"/>
    <w:rsid w:val="00780308"/>
    <w:rsid w:val="00780386"/>
    <w:rsid w:val="007812DE"/>
    <w:rsid w:val="007815B9"/>
    <w:rsid w:val="00782409"/>
    <w:rsid w:val="00782A62"/>
    <w:rsid w:val="00784723"/>
    <w:rsid w:val="00784ED9"/>
    <w:rsid w:val="0078552C"/>
    <w:rsid w:val="00785667"/>
    <w:rsid w:val="00785F75"/>
    <w:rsid w:val="00786E01"/>
    <w:rsid w:val="00786FD1"/>
    <w:rsid w:val="007874EA"/>
    <w:rsid w:val="0078791F"/>
    <w:rsid w:val="00787C4A"/>
    <w:rsid w:val="00787E06"/>
    <w:rsid w:val="00790733"/>
    <w:rsid w:val="00790C6F"/>
    <w:rsid w:val="00790D82"/>
    <w:rsid w:val="0079119B"/>
    <w:rsid w:val="00791266"/>
    <w:rsid w:val="007912BE"/>
    <w:rsid w:val="00791B84"/>
    <w:rsid w:val="00792BE2"/>
    <w:rsid w:val="0079318A"/>
    <w:rsid w:val="007937A0"/>
    <w:rsid w:val="00794A59"/>
    <w:rsid w:val="00794F03"/>
    <w:rsid w:val="0079549C"/>
    <w:rsid w:val="007972CC"/>
    <w:rsid w:val="0079739E"/>
    <w:rsid w:val="00797631"/>
    <w:rsid w:val="00797BAC"/>
    <w:rsid w:val="007A0100"/>
    <w:rsid w:val="007A0598"/>
    <w:rsid w:val="007A09A4"/>
    <w:rsid w:val="007A0B12"/>
    <w:rsid w:val="007A0D1B"/>
    <w:rsid w:val="007A118D"/>
    <w:rsid w:val="007A12BF"/>
    <w:rsid w:val="007A1EC5"/>
    <w:rsid w:val="007A2E60"/>
    <w:rsid w:val="007A318E"/>
    <w:rsid w:val="007A34A1"/>
    <w:rsid w:val="007A4FCA"/>
    <w:rsid w:val="007A5A90"/>
    <w:rsid w:val="007A5AFA"/>
    <w:rsid w:val="007A6DE8"/>
    <w:rsid w:val="007A7608"/>
    <w:rsid w:val="007A7E54"/>
    <w:rsid w:val="007B0128"/>
    <w:rsid w:val="007B0532"/>
    <w:rsid w:val="007B07BB"/>
    <w:rsid w:val="007B1067"/>
    <w:rsid w:val="007B11E2"/>
    <w:rsid w:val="007B2242"/>
    <w:rsid w:val="007B4111"/>
    <w:rsid w:val="007B454B"/>
    <w:rsid w:val="007B4583"/>
    <w:rsid w:val="007B49A1"/>
    <w:rsid w:val="007B4A6D"/>
    <w:rsid w:val="007B519F"/>
    <w:rsid w:val="007B53D7"/>
    <w:rsid w:val="007B632E"/>
    <w:rsid w:val="007B775C"/>
    <w:rsid w:val="007C029B"/>
    <w:rsid w:val="007C1B7C"/>
    <w:rsid w:val="007C501F"/>
    <w:rsid w:val="007C68E2"/>
    <w:rsid w:val="007C7257"/>
    <w:rsid w:val="007C7FCF"/>
    <w:rsid w:val="007D00C3"/>
    <w:rsid w:val="007D0376"/>
    <w:rsid w:val="007D0C73"/>
    <w:rsid w:val="007D2498"/>
    <w:rsid w:val="007D2C72"/>
    <w:rsid w:val="007D3466"/>
    <w:rsid w:val="007D3E54"/>
    <w:rsid w:val="007D42FF"/>
    <w:rsid w:val="007D5421"/>
    <w:rsid w:val="007D5819"/>
    <w:rsid w:val="007D6DCD"/>
    <w:rsid w:val="007D6FAA"/>
    <w:rsid w:val="007D7110"/>
    <w:rsid w:val="007D72B3"/>
    <w:rsid w:val="007D781B"/>
    <w:rsid w:val="007E003F"/>
    <w:rsid w:val="007E03ED"/>
    <w:rsid w:val="007E0652"/>
    <w:rsid w:val="007E0D63"/>
    <w:rsid w:val="007E0E9A"/>
    <w:rsid w:val="007E0EA9"/>
    <w:rsid w:val="007E0FB2"/>
    <w:rsid w:val="007E1D9C"/>
    <w:rsid w:val="007E20F0"/>
    <w:rsid w:val="007E22DE"/>
    <w:rsid w:val="007E240E"/>
    <w:rsid w:val="007E252A"/>
    <w:rsid w:val="007E2837"/>
    <w:rsid w:val="007E290A"/>
    <w:rsid w:val="007E2BCF"/>
    <w:rsid w:val="007E2EFA"/>
    <w:rsid w:val="007E3633"/>
    <w:rsid w:val="007E37E4"/>
    <w:rsid w:val="007E3B70"/>
    <w:rsid w:val="007E40CA"/>
    <w:rsid w:val="007E52A6"/>
    <w:rsid w:val="007E5DDB"/>
    <w:rsid w:val="007E6596"/>
    <w:rsid w:val="007E6C47"/>
    <w:rsid w:val="007E6DBA"/>
    <w:rsid w:val="007E7785"/>
    <w:rsid w:val="007E7D03"/>
    <w:rsid w:val="007E7DE1"/>
    <w:rsid w:val="007E7F32"/>
    <w:rsid w:val="007F0259"/>
    <w:rsid w:val="007F05C5"/>
    <w:rsid w:val="007F067D"/>
    <w:rsid w:val="007F124D"/>
    <w:rsid w:val="007F199B"/>
    <w:rsid w:val="007F1B30"/>
    <w:rsid w:val="007F1D5F"/>
    <w:rsid w:val="007F1FE4"/>
    <w:rsid w:val="007F200B"/>
    <w:rsid w:val="007F295E"/>
    <w:rsid w:val="007F2F99"/>
    <w:rsid w:val="007F3424"/>
    <w:rsid w:val="007F34F0"/>
    <w:rsid w:val="007F36DC"/>
    <w:rsid w:val="007F36E3"/>
    <w:rsid w:val="007F47C8"/>
    <w:rsid w:val="007F5B5C"/>
    <w:rsid w:val="007F6158"/>
    <w:rsid w:val="007F7521"/>
    <w:rsid w:val="007F771D"/>
    <w:rsid w:val="007F78F3"/>
    <w:rsid w:val="00800437"/>
    <w:rsid w:val="008028D9"/>
    <w:rsid w:val="0080368B"/>
    <w:rsid w:val="00803D18"/>
    <w:rsid w:val="0080401A"/>
    <w:rsid w:val="00804390"/>
    <w:rsid w:val="00804685"/>
    <w:rsid w:val="00805166"/>
    <w:rsid w:val="008051E4"/>
    <w:rsid w:val="00805886"/>
    <w:rsid w:val="00805F9A"/>
    <w:rsid w:val="0080646E"/>
    <w:rsid w:val="008072D1"/>
    <w:rsid w:val="00807610"/>
    <w:rsid w:val="008100B2"/>
    <w:rsid w:val="008101F6"/>
    <w:rsid w:val="00810252"/>
    <w:rsid w:val="00810612"/>
    <w:rsid w:val="00810D74"/>
    <w:rsid w:val="00810EE3"/>
    <w:rsid w:val="00810FCD"/>
    <w:rsid w:val="008111C5"/>
    <w:rsid w:val="0081159F"/>
    <w:rsid w:val="00811C65"/>
    <w:rsid w:val="00812393"/>
    <w:rsid w:val="00812966"/>
    <w:rsid w:val="00813041"/>
    <w:rsid w:val="008130AF"/>
    <w:rsid w:val="008130E4"/>
    <w:rsid w:val="008142FD"/>
    <w:rsid w:val="0081470A"/>
    <w:rsid w:val="00814EF1"/>
    <w:rsid w:val="00815620"/>
    <w:rsid w:val="0081572C"/>
    <w:rsid w:val="00816124"/>
    <w:rsid w:val="00816888"/>
    <w:rsid w:val="00817750"/>
    <w:rsid w:val="0082050B"/>
    <w:rsid w:val="00820BB1"/>
    <w:rsid w:val="008211C4"/>
    <w:rsid w:val="00821FD2"/>
    <w:rsid w:val="00822686"/>
    <w:rsid w:val="0082381B"/>
    <w:rsid w:val="0082392C"/>
    <w:rsid w:val="008239FB"/>
    <w:rsid w:val="00824B07"/>
    <w:rsid w:val="00825960"/>
    <w:rsid w:val="008262F8"/>
    <w:rsid w:val="0083026C"/>
    <w:rsid w:val="0083051E"/>
    <w:rsid w:val="00830652"/>
    <w:rsid w:val="00830FB5"/>
    <w:rsid w:val="0083141B"/>
    <w:rsid w:val="008316E1"/>
    <w:rsid w:val="00831862"/>
    <w:rsid w:val="008322BD"/>
    <w:rsid w:val="0083249C"/>
    <w:rsid w:val="00832667"/>
    <w:rsid w:val="0083288C"/>
    <w:rsid w:val="008328A4"/>
    <w:rsid w:val="008334D3"/>
    <w:rsid w:val="00833D88"/>
    <w:rsid w:val="00834A41"/>
    <w:rsid w:val="00834C0F"/>
    <w:rsid w:val="00834E37"/>
    <w:rsid w:val="00835571"/>
    <w:rsid w:val="00835808"/>
    <w:rsid w:val="00836B0C"/>
    <w:rsid w:val="00837174"/>
    <w:rsid w:val="00837F4C"/>
    <w:rsid w:val="008401A4"/>
    <w:rsid w:val="008409AC"/>
    <w:rsid w:val="0084150B"/>
    <w:rsid w:val="00841B9E"/>
    <w:rsid w:val="008423D3"/>
    <w:rsid w:val="008429E4"/>
    <w:rsid w:val="00842C24"/>
    <w:rsid w:val="00842E1B"/>
    <w:rsid w:val="00845C5D"/>
    <w:rsid w:val="00845E38"/>
    <w:rsid w:val="00845E55"/>
    <w:rsid w:val="00846011"/>
    <w:rsid w:val="0084636C"/>
    <w:rsid w:val="0085304C"/>
    <w:rsid w:val="008556DC"/>
    <w:rsid w:val="00856E52"/>
    <w:rsid w:val="00857027"/>
    <w:rsid w:val="008573DB"/>
    <w:rsid w:val="00857DD4"/>
    <w:rsid w:val="0086035C"/>
    <w:rsid w:val="00860FDA"/>
    <w:rsid w:val="00861024"/>
    <w:rsid w:val="00862766"/>
    <w:rsid w:val="008642FE"/>
    <w:rsid w:val="00865CBC"/>
    <w:rsid w:val="00866152"/>
    <w:rsid w:val="008662FD"/>
    <w:rsid w:val="008669B4"/>
    <w:rsid w:val="00867CFD"/>
    <w:rsid w:val="008707DC"/>
    <w:rsid w:val="008711E6"/>
    <w:rsid w:val="00871202"/>
    <w:rsid w:val="00871ACA"/>
    <w:rsid w:val="00871ADE"/>
    <w:rsid w:val="00871C61"/>
    <w:rsid w:val="00872118"/>
    <w:rsid w:val="00872156"/>
    <w:rsid w:val="008721CF"/>
    <w:rsid w:val="008726A9"/>
    <w:rsid w:val="008726B8"/>
    <w:rsid w:val="00872868"/>
    <w:rsid w:val="00873BF3"/>
    <w:rsid w:val="00873E6A"/>
    <w:rsid w:val="008744B7"/>
    <w:rsid w:val="00875063"/>
    <w:rsid w:val="00875381"/>
    <w:rsid w:val="008755CC"/>
    <w:rsid w:val="008755D4"/>
    <w:rsid w:val="00875B6C"/>
    <w:rsid w:val="00876960"/>
    <w:rsid w:val="00876B3F"/>
    <w:rsid w:val="00876D65"/>
    <w:rsid w:val="00880512"/>
    <w:rsid w:val="0088109B"/>
    <w:rsid w:val="008813D2"/>
    <w:rsid w:val="00882662"/>
    <w:rsid w:val="00883632"/>
    <w:rsid w:val="008848B7"/>
    <w:rsid w:val="00884B2F"/>
    <w:rsid w:val="00885B0F"/>
    <w:rsid w:val="00885B47"/>
    <w:rsid w:val="00886621"/>
    <w:rsid w:val="00886C63"/>
    <w:rsid w:val="00887452"/>
    <w:rsid w:val="0089059A"/>
    <w:rsid w:val="00890663"/>
    <w:rsid w:val="00890965"/>
    <w:rsid w:val="00890B92"/>
    <w:rsid w:val="008911E8"/>
    <w:rsid w:val="00891751"/>
    <w:rsid w:val="00892992"/>
    <w:rsid w:val="00892A56"/>
    <w:rsid w:val="0089367D"/>
    <w:rsid w:val="00894CD7"/>
    <w:rsid w:val="00895361"/>
    <w:rsid w:val="00895B5B"/>
    <w:rsid w:val="00895D0F"/>
    <w:rsid w:val="0089609E"/>
    <w:rsid w:val="0089717C"/>
    <w:rsid w:val="008A0CC0"/>
    <w:rsid w:val="008A0CCA"/>
    <w:rsid w:val="008A112C"/>
    <w:rsid w:val="008A20A9"/>
    <w:rsid w:val="008A3624"/>
    <w:rsid w:val="008A52B2"/>
    <w:rsid w:val="008A5352"/>
    <w:rsid w:val="008A5F88"/>
    <w:rsid w:val="008A6000"/>
    <w:rsid w:val="008A6833"/>
    <w:rsid w:val="008A6BFC"/>
    <w:rsid w:val="008A7C2C"/>
    <w:rsid w:val="008B02FE"/>
    <w:rsid w:val="008B0427"/>
    <w:rsid w:val="008B0A8F"/>
    <w:rsid w:val="008B0D74"/>
    <w:rsid w:val="008B137B"/>
    <w:rsid w:val="008B17A2"/>
    <w:rsid w:val="008B1923"/>
    <w:rsid w:val="008B2165"/>
    <w:rsid w:val="008B2F4F"/>
    <w:rsid w:val="008B320D"/>
    <w:rsid w:val="008B389C"/>
    <w:rsid w:val="008B3C47"/>
    <w:rsid w:val="008B4049"/>
    <w:rsid w:val="008B4A08"/>
    <w:rsid w:val="008B4A4B"/>
    <w:rsid w:val="008B53C9"/>
    <w:rsid w:val="008B5773"/>
    <w:rsid w:val="008B66E4"/>
    <w:rsid w:val="008B671F"/>
    <w:rsid w:val="008B681C"/>
    <w:rsid w:val="008B6D99"/>
    <w:rsid w:val="008B761E"/>
    <w:rsid w:val="008C10C5"/>
    <w:rsid w:val="008C11CA"/>
    <w:rsid w:val="008C152B"/>
    <w:rsid w:val="008C1CFE"/>
    <w:rsid w:val="008C269A"/>
    <w:rsid w:val="008C3106"/>
    <w:rsid w:val="008C3C49"/>
    <w:rsid w:val="008C4052"/>
    <w:rsid w:val="008C5481"/>
    <w:rsid w:val="008C78A7"/>
    <w:rsid w:val="008C7987"/>
    <w:rsid w:val="008C7AF6"/>
    <w:rsid w:val="008D2614"/>
    <w:rsid w:val="008D2703"/>
    <w:rsid w:val="008D2A83"/>
    <w:rsid w:val="008D2CDD"/>
    <w:rsid w:val="008D3C56"/>
    <w:rsid w:val="008D42D8"/>
    <w:rsid w:val="008D46E6"/>
    <w:rsid w:val="008D4F72"/>
    <w:rsid w:val="008D5022"/>
    <w:rsid w:val="008D61C7"/>
    <w:rsid w:val="008D6656"/>
    <w:rsid w:val="008D68B8"/>
    <w:rsid w:val="008D6940"/>
    <w:rsid w:val="008E00A5"/>
    <w:rsid w:val="008E00B7"/>
    <w:rsid w:val="008E022B"/>
    <w:rsid w:val="008E03F8"/>
    <w:rsid w:val="008E13E5"/>
    <w:rsid w:val="008E1544"/>
    <w:rsid w:val="008E157D"/>
    <w:rsid w:val="008E1DF8"/>
    <w:rsid w:val="008E2288"/>
    <w:rsid w:val="008E2407"/>
    <w:rsid w:val="008E248A"/>
    <w:rsid w:val="008E3005"/>
    <w:rsid w:val="008E31E7"/>
    <w:rsid w:val="008E37EF"/>
    <w:rsid w:val="008E4132"/>
    <w:rsid w:val="008E4494"/>
    <w:rsid w:val="008E49F1"/>
    <w:rsid w:val="008E4B2F"/>
    <w:rsid w:val="008E4CD8"/>
    <w:rsid w:val="008E577E"/>
    <w:rsid w:val="008E5E88"/>
    <w:rsid w:val="008E6953"/>
    <w:rsid w:val="008E6C86"/>
    <w:rsid w:val="008E79B8"/>
    <w:rsid w:val="008E7BA9"/>
    <w:rsid w:val="008F04BD"/>
    <w:rsid w:val="008F0559"/>
    <w:rsid w:val="008F0B3D"/>
    <w:rsid w:val="008F0C2F"/>
    <w:rsid w:val="008F14F5"/>
    <w:rsid w:val="008F28AD"/>
    <w:rsid w:val="008F30AE"/>
    <w:rsid w:val="008F30FD"/>
    <w:rsid w:val="008F4470"/>
    <w:rsid w:val="008F619D"/>
    <w:rsid w:val="008F6390"/>
    <w:rsid w:val="008F6A3E"/>
    <w:rsid w:val="009005D4"/>
    <w:rsid w:val="0090091E"/>
    <w:rsid w:val="00900A97"/>
    <w:rsid w:val="00900B7C"/>
    <w:rsid w:val="00900BA2"/>
    <w:rsid w:val="0090396F"/>
    <w:rsid w:val="0090454F"/>
    <w:rsid w:val="00904C4F"/>
    <w:rsid w:val="0090623D"/>
    <w:rsid w:val="00906804"/>
    <w:rsid w:val="00906C26"/>
    <w:rsid w:val="00907128"/>
    <w:rsid w:val="00907D6F"/>
    <w:rsid w:val="0091020F"/>
    <w:rsid w:val="009103BF"/>
    <w:rsid w:val="009104F1"/>
    <w:rsid w:val="00910F1A"/>
    <w:rsid w:val="00911F7F"/>
    <w:rsid w:val="009123DD"/>
    <w:rsid w:val="00912FA0"/>
    <w:rsid w:val="009139CE"/>
    <w:rsid w:val="00914225"/>
    <w:rsid w:val="0091431B"/>
    <w:rsid w:val="009144E6"/>
    <w:rsid w:val="00914E53"/>
    <w:rsid w:val="00915188"/>
    <w:rsid w:val="00915B91"/>
    <w:rsid w:val="00915EAF"/>
    <w:rsid w:val="00916372"/>
    <w:rsid w:val="009166CB"/>
    <w:rsid w:val="00916EA8"/>
    <w:rsid w:val="00917128"/>
    <w:rsid w:val="00917542"/>
    <w:rsid w:val="00917D32"/>
    <w:rsid w:val="00920214"/>
    <w:rsid w:val="009205A5"/>
    <w:rsid w:val="00920B84"/>
    <w:rsid w:val="00920C30"/>
    <w:rsid w:val="00920FC7"/>
    <w:rsid w:val="009215A5"/>
    <w:rsid w:val="00922DD9"/>
    <w:rsid w:val="0092328A"/>
    <w:rsid w:val="00924166"/>
    <w:rsid w:val="009241A4"/>
    <w:rsid w:val="00924617"/>
    <w:rsid w:val="00924C47"/>
    <w:rsid w:val="009258D1"/>
    <w:rsid w:val="0092634E"/>
    <w:rsid w:val="00926717"/>
    <w:rsid w:val="009267E7"/>
    <w:rsid w:val="00926C32"/>
    <w:rsid w:val="00927E18"/>
    <w:rsid w:val="00927F25"/>
    <w:rsid w:val="009303D8"/>
    <w:rsid w:val="00930AD8"/>
    <w:rsid w:val="00930FEE"/>
    <w:rsid w:val="00931C32"/>
    <w:rsid w:val="00931CBD"/>
    <w:rsid w:val="009320A4"/>
    <w:rsid w:val="00932936"/>
    <w:rsid w:val="00932C8D"/>
    <w:rsid w:val="00933386"/>
    <w:rsid w:val="00933B51"/>
    <w:rsid w:val="00933BC4"/>
    <w:rsid w:val="00933C93"/>
    <w:rsid w:val="00933E1A"/>
    <w:rsid w:val="009355B6"/>
    <w:rsid w:val="00935846"/>
    <w:rsid w:val="00935DA1"/>
    <w:rsid w:val="00936594"/>
    <w:rsid w:val="00937016"/>
    <w:rsid w:val="00937D0D"/>
    <w:rsid w:val="00937E10"/>
    <w:rsid w:val="00941337"/>
    <w:rsid w:val="009419C8"/>
    <w:rsid w:val="00941B15"/>
    <w:rsid w:val="00941F79"/>
    <w:rsid w:val="009442EE"/>
    <w:rsid w:val="00945B48"/>
    <w:rsid w:val="009461D2"/>
    <w:rsid w:val="00946435"/>
    <w:rsid w:val="0094654E"/>
    <w:rsid w:val="0094662E"/>
    <w:rsid w:val="009466C0"/>
    <w:rsid w:val="00946DAA"/>
    <w:rsid w:val="009477C4"/>
    <w:rsid w:val="009502AD"/>
    <w:rsid w:val="00950A8C"/>
    <w:rsid w:val="00951115"/>
    <w:rsid w:val="00951293"/>
    <w:rsid w:val="009517E1"/>
    <w:rsid w:val="009526B3"/>
    <w:rsid w:val="009527E4"/>
    <w:rsid w:val="00953058"/>
    <w:rsid w:val="00953970"/>
    <w:rsid w:val="00954314"/>
    <w:rsid w:val="00954F75"/>
    <w:rsid w:val="00955BCC"/>
    <w:rsid w:val="009566E6"/>
    <w:rsid w:val="00957240"/>
    <w:rsid w:val="009574AE"/>
    <w:rsid w:val="0095753D"/>
    <w:rsid w:val="00960A4B"/>
    <w:rsid w:val="00960D26"/>
    <w:rsid w:val="00961212"/>
    <w:rsid w:val="00961866"/>
    <w:rsid w:val="00962021"/>
    <w:rsid w:val="00962940"/>
    <w:rsid w:val="00963500"/>
    <w:rsid w:val="009639EF"/>
    <w:rsid w:val="009645E2"/>
    <w:rsid w:val="009649A0"/>
    <w:rsid w:val="00965B0F"/>
    <w:rsid w:val="00965EF3"/>
    <w:rsid w:val="0096675C"/>
    <w:rsid w:val="009679F5"/>
    <w:rsid w:val="00967D34"/>
    <w:rsid w:val="0097097D"/>
    <w:rsid w:val="00970F5C"/>
    <w:rsid w:val="00971B1D"/>
    <w:rsid w:val="00972CEF"/>
    <w:rsid w:val="009730CD"/>
    <w:rsid w:val="00974330"/>
    <w:rsid w:val="0097449E"/>
    <w:rsid w:val="00974F72"/>
    <w:rsid w:val="009752C8"/>
    <w:rsid w:val="0097549A"/>
    <w:rsid w:val="00976497"/>
    <w:rsid w:val="00976A06"/>
    <w:rsid w:val="00976F84"/>
    <w:rsid w:val="00977B51"/>
    <w:rsid w:val="00977CE8"/>
    <w:rsid w:val="00980B38"/>
    <w:rsid w:val="00980C03"/>
    <w:rsid w:val="00981327"/>
    <w:rsid w:val="0098152A"/>
    <w:rsid w:val="0098153D"/>
    <w:rsid w:val="009819BF"/>
    <w:rsid w:val="009819F1"/>
    <w:rsid w:val="00981BE0"/>
    <w:rsid w:val="00981E67"/>
    <w:rsid w:val="0098208F"/>
    <w:rsid w:val="00982286"/>
    <w:rsid w:val="00982459"/>
    <w:rsid w:val="00982623"/>
    <w:rsid w:val="00982DD7"/>
    <w:rsid w:val="0098310E"/>
    <w:rsid w:val="0098314C"/>
    <w:rsid w:val="00983975"/>
    <w:rsid w:val="00983D93"/>
    <w:rsid w:val="0098437B"/>
    <w:rsid w:val="00984AA6"/>
    <w:rsid w:val="009853D9"/>
    <w:rsid w:val="00985866"/>
    <w:rsid w:val="00985F0C"/>
    <w:rsid w:val="00985F14"/>
    <w:rsid w:val="00986439"/>
    <w:rsid w:val="00986923"/>
    <w:rsid w:val="00986DC8"/>
    <w:rsid w:val="00986DD5"/>
    <w:rsid w:val="009871F3"/>
    <w:rsid w:val="009876F9"/>
    <w:rsid w:val="009879A8"/>
    <w:rsid w:val="00987E39"/>
    <w:rsid w:val="00987F3E"/>
    <w:rsid w:val="00990DD8"/>
    <w:rsid w:val="00991B18"/>
    <w:rsid w:val="009934AE"/>
    <w:rsid w:val="00994096"/>
    <w:rsid w:val="00994180"/>
    <w:rsid w:val="009942D3"/>
    <w:rsid w:val="0099469B"/>
    <w:rsid w:val="00995204"/>
    <w:rsid w:val="009953CC"/>
    <w:rsid w:val="0099570C"/>
    <w:rsid w:val="009969F0"/>
    <w:rsid w:val="00996FB3"/>
    <w:rsid w:val="00997728"/>
    <w:rsid w:val="009A1107"/>
    <w:rsid w:val="009A112E"/>
    <w:rsid w:val="009A170A"/>
    <w:rsid w:val="009A1771"/>
    <w:rsid w:val="009A1B49"/>
    <w:rsid w:val="009A3143"/>
    <w:rsid w:val="009A36D4"/>
    <w:rsid w:val="009A44FF"/>
    <w:rsid w:val="009A5AEE"/>
    <w:rsid w:val="009A5BAD"/>
    <w:rsid w:val="009A5BB9"/>
    <w:rsid w:val="009A6315"/>
    <w:rsid w:val="009A67A6"/>
    <w:rsid w:val="009A6C68"/>
    <w:rsid w:val="009A708E"/>
    <w:rsid w:val="009B01EB"/>
    <w:rsid w:val="009B021D"/>
    <w:rsid w:val="009B0DD2"/>
    <w:rsid w:val="009B1538"/>
    <w:rsid w:val="009B1F4A"/>
    <w:rsid w:val="009B24E3"/>
    <w:rsid w:val="009B2DE3"/>
    <w:rsid w:val="009B3064"/>
    <w:rsid w:val="009B33AD"/>
    <w:rsid w:val="009B49C4"/>
    <w:rsid w:val="009B4F8C"/>
    <w:rsid w:val="009B51D1"/>
    <w:rsid w:val="009B5305"/>
    <w:rsid w:val="009B5BD0"/>
    <w:rsid w:val="009B714B"/>
    <w:rsid w:val="009B73BE"/>
    <w:rsid w:val="009B77F8"/>
    <w:rsid w:val="009B7CB6"/>
    <w:rsid w:val="009C0123"/>
    <w:rsid w:val="009C0293"/>
    <w:rsid w:val="009C03BA"/>
    <w:rsid w:val="009C0741"/>
    <w:rsid w:val="009C0C3A"/>
    <w:rsid w:val="009C0CEF"/>
    <w:rsid w:val="009C112A"/>
    <w:rsid w:val="009C265D"/>
    <w:rsid w:val="009C2CFC"/>
    <w:rsid w:val="009C2D27"/>
    <w:rsid w:val="009C32E3"/>
    <w:rsid w:val="009C41D6"/>
    <w:rsid w:val="009C4329"/>
    <w:rsid w:val="009C45ED"/>
    <w:rsid w:val="009C4661"/>
    <w:rsid w:val="009C4742"/>
    <w:rsid w:val="009C49D4"/>
    <w:rsid w:val="009C4BB6"/>
    <w:rsid w:val="009C4DD2"/>
    <w:rsid w:val="009C6117"/>
    <w:rsid w:val="009D073A"/>
    <w:rsid w:val="009D0E20"/>
    <w:rsid w:val="009D1C72"/>
    <w:rsid w:val="009D1E8F"/>
    <w:rsid w:val="009D2468"/>
    <w:rsid w:val="009D3112"/>
    <w:rsid w:val="009D3791"/>
    <w:rsid w:val="009D3AB3"/>
    <w:rsid w:val="009D494F"/>
    <w:rsid w:val="009D4D07"/>
    <w:rsid w:val="009D64FF"/>
    <w:rsid w:val="009D682D"/>
    <w:rsid w:val="009D693C"/>
    <w:rsid w:val="009D6D90"/>
    <w:rsid w:val="009D7345"/>
    <w:rsid w:val="009D7A9B"/>
    <w:rsid w:val="009D7C5C"/>
    <w:rsid w:val="009E0188"/>
    <w:rsid w:val="009E0329"/>
    <w:rsid w:val="009E04A4"/>
    <w:rsid w:val="009E0CCC"/>
    <w:rsid w:val="009E0F89"/>
    <w:rsid w:val="009E1392"/>
    <w:rsid w:val="009E1471"/>
    <w:rsid w:val="009E1CB2"/>
    <w:rsid w:val="009E202A"/>
    <w:rsid w:val="009E227A"/>
    <w:rsid w:val="009E2AA2"/>
    <w:rsid w:val="009E3DBD"/>
    <w:rsid w:val="009E4595"/>
    <w:rsid w:val="009E4A53"/>
    <w:rsid w:val="009E4B61"/>
    <w:rsid w:val="009E4D85"/>
    <w:rsid w:val="009E550C"/>
    <w:rsid w:val="009E6652"/>
    <w:rsid w:val="009E67F3"/>
    <w:rsid w:val="009E6C0F"/>
    <w:rsid w:val="009E7521"/>
    <w:rsid w:val="009E7A13"/>
    <w:rsid w:val="009F1036"/>
    <w:rsid w:val="009F16DC"/>
    <w:rsid w:val="009F2754"/>
    <w:rsid w:val="009F3240"/>
    <w:rsid w:val="009F50D5"/>
    <w:rsid w:val="009F5158"/>
    <w:rsid w:val="009F55E9"/>
    <w:rsid w:val="009F56BE"/>
    <w:rsid w:val="009F6133"/>
    <w:rsid w:val="009F69E7"/>
    <w:rsid w:val="009F6FC4"/>
    <w:rsid w:val="009F7018"/>
    <w:rsid w:val="009F7A7A"/>
    <w:rsid w:val="00A0143E"/>
    <w:rsid w:val="00A01CE6"/>
    <w:rsid w:val="00A01E1F"/>
    <w:rsid w:val="00A024E1"/>
    <w:rsid w:val="00A02DFD"/>
    <w:rsid w:val="00A0331D"/>
    <w:rsid w:val="00A03336"/>
    <w:rsid w:val="00A0372F"/>
    <w:rsid w:val="00A042B7"/>
    <w:rsid w:val="00A044DE"/>
    <w:rsid w:val="00A059D3"/>
    <w:rsid w:val="00A06097"/>
    <w:rsid w:val="00A06945"/>
    <w:rsid w:val="00A06E5F"/>
    <w:rsid w:val="00A078E0"/>
    <w:rsid w:val="00A07E52"/>
    <w:rsid w:val="00A114DB"/>
    <w:rsid w:val="00A11CC4"/>
    <w:rsid w:val="00A11DF6"/>
    <w:rsid w:val="00A1201A"/>
    <w:rsid w:val="00A12069"/>
    <w:rsid w:val="00A12390"/>
    <w:rsid w:val="00A13144"/>
    <w:rsid w:val="00A13325"/>
    <w:rsid w:val="00A13395"/>
    <w:rsid w:val="00A13457"/>
    <w:rsid w:val="00A13E71"/>
    <w:rsid w:val="00A13F51"/>
    <w:rsid w:val="00A14065"/>
    <w:rsid w:val="00A1419F"/>
    <w:rsid w:val="00A14DCA"/>
    <w:rsid w:val="00A14FB1"/>
    <w:rsid w:val="00A158CA"/>
    <w:rsid w:val="00A15B8C"/>
    <w:rsid w:val="00A15FE2"/>
    <w:rsid w:val="00A16C28"/>
    <w:rsid w:val="00A1785E"/>
    <w:rsid w:val="00A17D5C"/>
    <w:rsid w:val="00A20077"/>
    <w:rsid w:val="00A20AE7"/>
    <w:rsid w:val="00A21A44"/>
    <w:rsid w:val="00A21E62"/>
    <w:rsid w:val="00A23088"/>
    <w:rsid w:val="00A23655"/>
    <w:rsid w:val="00A24809"/>
    <w:rsid w:val="00A249A5"/>
    <w:rsid w:val="00A24E1C"/>
    <w:rsid w:val="00A2504F"/>
    <w:rsid w:val="00A252B5"/>
    <w:rsid w:val="00A25A98"/>
    <w:rsid w:val="00A268CF"/>
    <w:rsid w:val="00A304F2"/>
    <w:rsid w:val="00A30763"/>
    <w:rsid w:val="00A30F5A"/>
    <w:rsid w:val="00A30FE8"/>
    <w:rsid w:val="00A31324"/>
    <w:rsid w:val="00A313AC"/>
    <w:rsid w:val="00A316A2"/>
    <w:rsid w:val="00A31776"/>
    <w:rsid w:val="00A31A83"/>
    <w:rsid w:val="00A32A85"/>
    <w:rsid w:val="00A32CD5"/>
    <w:rsid w:val="00A32FFA"/>
    <w:rsid w:val="00A330EE"/>
    <w:rsid w:val="00A3332C"/>
    <w:rsid w:val="00A3422B"/>
    <w:rsid w:val="00A3422C"/>
    <w:rsid w:val="00A3461A"/>
    <w:rsid w:val="00A348FC"/>
    <w:rsid w:val="00A35695"/>
    <w:rsid w:val="00A35859"/>
    <w:rsid w:val="00A358C5"/>
    <w:rsid w:val="00A36807"/>
    <w:rsid w:val="00A36815"/>
    <w:rsid w:val="00A37321"/>
    <w:rsid w:val="00A37F78"/>
    <w:rsid w:val="00A419AE"/>
    <w:rsid w:val="00A42468"/>
    <w:rsid w:val="00A42533"/>
    <w:rsid w:val="00A42678"/>
    <w:rsid w:val="00A431AC"/>
    <w:rsid w:val="00A43330"/>
    <w:rsid w:val="00A4340C"/>
    <w:rsid w:val="00A43523"/>
    <w:rsid w:val="00A43663"/>
    <w:rsid w:val="00A43686"/>
    <w:rsid w:val="00A43760"/>
    <w:rsid w:val="00A43D0E"/>
    <w:rsid w:val="00A442E0"/>
    <w:rsid w:val="00A44A14"/>
    <w:rsid w:val="00A44D64"/>
    <w:rsid w:val="00A45260"/>
    <w:rsid w:val="00A460B8"/>
    <w:rsid w:val="00A46890"/>
    <w:rsid w:val="00A46FAF"/>
    <w:rsid w:val="00A47871"/>
    <w:rsid w:val="00A47B35"/>
    <w:rsid w:val="00A50A93"/>
    <w:rsid w:val="00A51294"/>
    <w:rsid w:val="00A51825"/>
    <w:rsid w:val="00A51AA8"/>
    <w:rsid w:val="00A52178"/>
    <w:rsid w:val="00A523E8"/>
    <w:rsid w:val="00A52555"/>
    <w:rsid w:val="00A52C5B"/>
    <w:rsid w:val="00A52ED9"/>
    <w:rsid w:val="00A53134"/>
    <w:rsid w:val="00A53A92"/>
    <w:rsid w:val="00A550F3"/>
    <w:rsid w:val="00A5596B"/>
    <w:rsid w:val="00A561EA"/>
    <w:rsid w:val="00A56706"/>
    <w:rsid w:val="00A56B08"/>
    <w:rsid w:val="00A60A86"/>
    <w:rsid w:val="00A610AC"/>
    <w:rsid w:val="00A6160C"/>
    <w:rsid w:val="00A62375"/>
    <w:rsid w:val="00A62AB3"/>
    <w:rsid w:val="00A62E57"/>
    <w:rsid w:val="00A63253"/>
    <w:rsid w:val="00A6358D"/>
    <w:rsid w:val="00A638B7"/>
    <w:rsid w:val="00A63B38"/>
    <w:rsid w:val="00A64E39"/>
    <w:rsid w:val="00A65C81"/>
    <w:rsid w:val="00A65E4A"/>
    <w:rsid w:val="00A66293"/>
    <w:rsid w:val="00A66794"/>
    <w:rsid w:val="00A669DB"/>
    <w:rsid w:val="00A66C0D"/>
    <w:rsid w:val="00A67339"/>
    <w:rsid w:val="00A6790C"/>
    <w:rsid w:val="00A67A19"/>
    <w:rsid w:val="00A67F95"/>
    <w:rsid w:val="00A70518"/>
    <w:rsid w:val="00A71C6E"/>
    <w:rsid w:val="00A71F9E"/>
    <w:rsid w:val="00A72880"/>
    <w:rsid w:val="00A7297F"/>
    <w:rsid w:val="00A729A6"/>
    <w:rsid w:val="00A73FD3"/>
    <w:rsid w:val="00A743B1"/>
    <w:rsid w:val="00A7446D"/>
    <w:rsid w:val="00A745DD"/>
    <w:rsid w:val="00A74F60"/>
    <w:rsid w:val="00A750AA"/>
    <w:rsid w:val="00A75493"/>
    <w:rsid w:val="00A758C2"/>
    <w:rsid w:val="00A761DD"/>
    <w:rsid w:val="00A76F3D"/>
    <w:rsid w:val="00A77654"/>
    <w:rsid w:val="00A806AF"/>
    <w:rsid w:val="00A80BD6"/>
    <w:rsid w:val="00A80D68"/>
    <w:rsid w:val="00A80F2D"/>
    <w:rsid w:val="00A81610"/>
    <w:rsid w:val="00A81A2C"/>
    <w:rsid w:val="00A81A57"/>
    <w:rsid w:val="00A82949"/>
    <w:rsid w:val="00A82D75"/>
    <w:rsid w:val="00A82EFC"/>
    <w:rsid w:val="00A8333E"/>
    <w:rsid w:val="00A83701"/>
    <w:rsid w:val="00A83EF3"/>
    <w:rsid w:val="00A8579C"/>
    <w:rsid w:val="00A85FD1"/>
    <w:rsid w:val="00A864BE"/>
    <w:rsid w:val="00A87790"/>
    <w:rsid w:val="00A87923"/>
    <w:rsid w:val="00A87B19"/>
    <w:rsid w:val="00A900AC"/>
    <w:rsid w:val="00A9037E"/>
    <w:rsid w:val="00A908F8"/>
    <w:rsid w:val="00A90D1B"/>
    <w:rsid w:val="00A90D7E"/>
    <w:rsid w:val="00A91B12"/>
    <w:rsid w:val="00A92B5F"/>
    <w:rsid w:val="00A92BD7"/>
    <w:rsid w:val="00A936E9"/>
    <w:rsid w:val="00A94586"/>
    <w:rsid w:val="00A946EE"/>
    <w:rsid w:val="00A9576F"/>
    <w:rsid w:val="00A960F8"/>
    <w:rsid w:val="00A96BD5"/>
    <w:rsid w:val="00A97258"/>
    <w:rsid w:val="00A974E9"/>
    <w:rsid w:val="00AA0510"/>
    <w:rsid w:val="00AA0DF3"/>
    <w:rsid w:val="00AA18FC"/>
    <w:rsid w:val="00AA2172"/>
    <w:rsid w:val="00AA2234"/>
    <w:rsid w:val="00AA24A9"/>
    <w:rsid w:val="00AA286F"/>
    <w:rsid w:val="00AA575C"/>
    <w:rsid w:val="00AA63BB"/>
    <w:rsid w:val="00AA6423"/>
    <w:rsid w:val="00AA65A3"/>
    <w:rsid w:val="00AA7BBD"/>
    <w:rsid w:val="00AA7D8C"/>
    <w:rsid w:val="00AB0907"/>
    <w:rsid w:val="00AB0E0C"/>
    <w:rsid w:val="00AB1AE7"/>
    <w:rsid w:val="00AB1EB0"/>
    <w:rsid w:val="00AB1F67"/>
    <w:rsid w:val="00AB248F"/>
    <w:rsid w:val="00AB34F3"/>
    <w:rsid w:val="00AB35E3"/>
    <w:rsid w:val="00AB452F"/>
    <w:rsid w:val="00AB4713"/>
    <w:rsid w:val="00AB4ADB"/>
    <w:rsid w:val="00AB533F"/>
    <w:rsid w:val="00AB63B3"/>
    <w:rsid w:val="00AB7AFB"/>
    <w:rsid w:val="00AB7F39"/>
    <w:rsid w:val="00AC29A9"/>
    <w:rsid w:val="00AC2FA7"/>
    <w:rsid w:val="00AC30CA"/>
    <w:rsid w:val="00AC3341"/>
    <w:rsid w:val="00AC3F1C"/>
    <w:rsid w:val="00AC5330"/>
    <w:rsid w:val="00AC5975"/>
    <w:rsid w:val="00AC5B03"/>
    <w:rsid w:val="00AC5BA9"/>
    <w:rsid w:val="00AC6624"/>
    <w:rsid w:val="00AC6878"/>
    <w:rsid w:val="00AC6A8C"/>
    <w:rsid w:val="00AC6E4D"/>
    <w:rsid w:val="00AD055F"/>
    <w:rsid w:val="00AD10D2"/>
    <w:rsid w:val="00AD1AF1"/>
    <w:rsid w:val="00AD1F02"/>
    <w:rsid w:val="00AD2140"/>
    <w:rsid w:val="00AD2CB5"/>
    <w:rsid w:val="00AD2E33"/>
    <w:rsid w:val="00AD337D"/>
    <w:rsid w:val="00AD338A"/>
    <w:rsid w:val="00AD38FC"/>
    <w:rsid w:val="00AD4857"/>
    <w:rsid w:val="00AD4E5E"/>
    <w:rsid w:val="00AD4F98"/>
    <w:rsid w:val="00AD5696"/>
    <w:rsid w:val="00AD5D8E"/>
    <w:rsid w:val="00AD5DE6"/>
    <w:rsid w:val="00AD5F63"/>
    <w:rsid w:val="00AD6471"/>
    <w:rsid w:val="00AD66B8"/>
    <w:rsid w:val="00AD6926"/>
    <w:rsid w:val="00AD7168"/>
    <w:rsid w:val="00AD788F"/>
    <w:rsid w:val="00AD78A9"/>
    <w:rsid w:val="00AD7D00"/>
    <w:rsid w:val="00AD7DFF"/>
    <w:rsid w:val="00AE09AC"/>
    <w:rsid w:val="00AE101D"/>
    <w:rsid w:val="00AE16C1"/>
    <w:rsid w:val="00AE1C8C"/>
    <w:rsid w:val="00AE1CB8"/>
    <w:rsid w:val="00AE1F41"/>
    <w:rsid w:val="00AE2130"/>
    <w:rsid w:val="00AE2F56"/>
    <w:rsid w:val="00AE4066"/>
    <w:rsid w:val="00AE4525"/>
    <w:rsid w:val="00AE4582"/>
    <w:rsid w:val="00AE4D0D"/>
    <w:rsid w:val="00AE50E4"/>
    <w:rsid w:val="00AE5222"/>
    <w:rsid w:val="00AE6675"/>
    <w:rsid w:val="00AE6F40"/>
    <w:rsid w:val="00AE7999"/>
    <w:rsid w:val="00AE7D15"/>
    <w:rsid w:val="00AF08F7"/>
    <w:rsid w:val="00AF0950"/>
    <w:rsid w:val="00AF0CE0"/>
    <w:rsid w:val="00AF1106"/>
    <w:rsid w:val="00AF12D6"/>
    <w:rsid w:val="00AF1ACA"/>
    <w:rsid w:val="00AF1FE6"/>
    <w:rsid w:val="00AF2BF4"/>
    <w:rsid w:val="00AF2EB7"/>
    <w:rsid w:val="00AF38F0"/>
    <w:rsid w:val="00AF3EE5"/>
    <w:rsid w:val="00AF455B"/>
    <w:rsid w:val="00AF4746"/>
    <w:rsid w:val="00AF4857"/>
    <w:rsid w:val="00AF49DF"/>
    <w:rsid w:val="00AF5FD1"/>
    <w:rsid w:val="00AF6043"/>
    <w:rsid w:val="00AF614C"/>
    <w:rsid w:val="00AF6688"/>
    <w:rsid w:val="00AF68B2"/>
    <w:rsid w:val="00AF6CD4"/>
    <w:rsid w:val="00AF73EB"/>
    <w:rsid w:val="00AF7670"/>
    <w:rsid w:val="00AF7B29"/>
    <w:rsid w:val="00AF7E2A"/>
    <w:rsid w:val="00AF7E73"/>
    <w:rsid w:val="00B004CB"/>
    <w:rsid w:val="00B01064"/>
    <w:rsid w:val="00B01F58"/>
    <w:rsid w:val="00B030A5"/>
    <w:rsid w:val="00B046FE"/>
    <w:rsid w:val="00B0513D"/>
    <w:rsid w:val="00B05506"/>
    <w:rsid w:val="00B05B70"/>
    <w:rsid w:val="00B05E08"/>
    <w:rsid w:val="00B069A5"/>
    <w:rsid w:val="00B109F9"/>
    <w:rsid w:val="00B1259B"/>
    <w:rsid w:val="00B1288E"/>
    <w:rsid w:val="00B133EB"/>
    <w:rsid w:val="00B13858"/>
    <w:rsid w:val="00B1399F"/>
    <w:rsid w:val="00B143F4"/>
    <w:rsid w:val="00B144AE"/>
    <w:rsid w:val="00B1461C"/>
    <w:rsid w:val="00B15368"/>
    <w:rsid w:val="00B15EFB"/>
    <w:rsid w:val="00B16639"/>
    <w:rsid w:val="00B16C3D"/>
    <w:rsid w:val="00B16ED0"/>
    <w:rsid w:val="00B16F5E"/>
    <w:rsid w:val="00B17E40"/>
    <w:rsid w:val="00B20079"/>
    <w:rsid w:val="00B20C20"/>
    <w:rsid w:val="00B20C4D"/>
    <w:rsid w:val="00B20F3B"/>
    <w:rsid w:val="00B21087"/>
    <w:rsid w:val="00B21356"/>
    <w:rsid w:val="00B213FE"/>
    <w:rsid w:val="00B21743"/>
    <w:rsid w:val="00B21775"/>
    <w:rsid w:val="00B217EE"/>
    <w:rsid w:val="00B219B8"/>
    <w:rsid w:val="00B21E15"/>
    <w:rsid w:val="00B23361"/>
    <w:rsid w:val="00B24B50"/>
    <w:rsid w:val="00B24BE0"/>
    <w:rsid w:val="00B25091"/>
    <w:rsid w:val="00B253F0"/>
    <w:rsid w:val="00B25E4D"/>
    <w:rsid w:val="00B260F2"/>
    <w:rsid w:val="00B26792"/>
    <w:rsid w:val="00B3048B"/>
    <w:rsid w:val="00B30F62"/>
    <w:rsid w:val="00B3100D"/>
    <w:rsid w:val="00B319E0"/>
    <w:rsid w:val="00B31D41"/>
    <w:rsid w:val="00B31F9F"/>
    <w:rsid w:val="00B32D16"/>
    <w:rsid w:val="00B3324E"/>
    <w:rsid w:val="00B3353C"/>
    <w:rsid w:val="00B33A56"/>
    <w:rsid w:val="00B34437"/>
    <w:rsid w:val="00B34B5A"/>
    <w:rsid w:val="00B35866"/>
    <w:rsid w:val="00B36B60"/>
    <w:rsid w:val="00B36BB5"/>
    <w:rsid w:val="00B370A0"/>
    <w:rsid w:val="00B37541"/>
    <w:rsid w:val="00B37F7E"/>
    <w:rsid w:val="00B40DA2"/>
    <w:rsid w:val="00B412FE"/>
    <w:rsid w:val="00B424F8"/>
    <w:rsid w:val="00B43C6F"/>
    <w:rsid w:val="00B44AA8"/>
    <w:rsid w:val="00B44FD9"/>
    <w:rsid w:val="00B458B2"/>
    <w:rsid w:val="00B466E3"/>
    <w:rsid w:val="00B46A20"/>
    <w:rsid w:val="00B46C38"/>
    <w:rsid w:val="00B474CA"/>
    <w:rsid w:val="00B5085B"/>
    <w:rsid w:val="00B513A0"/>
    <w:rsid w:val="00B515D0"/>
    <w:rsid w:val="00B51AA0"/>
    <w:rsid w:val="00B52C46"/>
    <w:rsid w:val="00B5303D"/>
    <w:rsid w:val="00B532A5"/>
    <w:rsid w:val="00B532D0"/>
    <w:rsid w:val="00B533D4"/>
    <w:rsid w:val="00B535F1"/>
    <w:rsid w:val="00B5393B"/>
    <w:rsid w:val="00B53C2A"/>
    <w:rsid w:val="00B53D74"/>
    <w:rsid w:val="00B560BB"/>
    <w:rsid w:val="00B56437"/>
    <w:rsid w:val="00B572F5"/>
    <w:rsid w:val="00B577D9"/>
    <w:rsid w:val="00B57CDD"/>
    <w:rsid w:val="00B57FFA"/>
    <w:rsid w:val="00B60BBA"/>
    <w:rsid w:val="00B61A58"/>
    <w:rsid w:val="00B61F43"/>
    <w:rsid w:val="00B633A8"/>
    <w:rsid w:val="00B63954"/>
    <w:rsid w:val="00B639A2"/>
    <w:rsid w:val="00B6422F"/>
    <w:rsid w:val="00B644DB"/>
    <w:rsid w:val="00B6455A"/>
    <w:rsid w:val="00B647C8"/>
    <w:rsid w:val="00B6485A"/>
    <w:rsid w:val="00B64B6B"/>
    <w:rsid w:val="00B650C8"/>
    <w:rsid w:val="00B653F6"/>
    <w:rsid w:val="00B65611"/>
    <w:rsid w:val="00B65647"/>
    <w:rsid w:val="00B6573F"/>
    <w:rsid w:val="00B659D6"/>
    <w:rsid w:val="00B65FBA"/>
    <w:rsid w:val="00B66658"/>
    <w:rsid w:val="00B66B7F"/>
    <w:rsid w:val="00B66E27"/>
    <w:rsid w:val="00B70475"/>
    <w:rsid w:val="00B7125B"/>
    <w:rsid w:val="00B71B54"/>
    <w:rsid w:val="00B71B5F"/>
    <w:rsid w:val="00B72175"/>
    <w:rsid w:val="00B730EF"/>
    <w:rsid w:val="00B73925"/>
    <w:rsid w:val="00B73BE4"/>
    <w:rsid w:val="00B742E4"/>
    <w:rsid w:val="00B7441A"/>
    <w:rsid w:val="00B7481F"/>
    <w:rsid w:val="00B7484A"/>
    <w:rsid w:val="00B74A91"/>
    <w:rsid w:val="00B74D08"/>
    <w:rsid w:val="00B757C6"/>
    <w:rsid w:val="00B75B83"/>
    <w:rsid w:val="00B7647E"/>
    <w:rsid w:val="00B76A46"/>
    <w:rsid w:val="00B76E62"/>
    <w:rsid w:val="00B77904"/>
    <w:rsid w:val="00B77B81"/>
    <w:rsid w:val="00B80C57"/>
    <w:rsid w:val="00B80D5B"/>
    <w:rsid w:val="00B824AB"/>
    <w:rsid w:val="00B8255A"/>
    <w:rsid w:val="00B83552"/>
    <w:rsid w:val="00B83725"/>
    <w:rsid w:val="00B83CB4"/>
    <w:rsid w:val="00B83FCA"/>
    <w:rsid w:val="00B8463A"/>
    <w:rsid w:val="00B84736"/>
    <w:rsid w:val="00B84A56"/>
    <w:rsid w:val="00B84A62"/>
    <w:rsid w:val="00B8501B"/>
    <w:rsid w:val="00B850E7"/>
    <w:rsid w:val="00B8530F"/>
    <w:rsid w:val="00B85BD1"/>
    <w:rsid w:val="00B86B81"/>
    <w:rsid w:val="00B86F1A"/>
    <w:rsid w:val="00B87304"/>
    <w:rsid w:val="00B87A8B"/>
    <w:rsid w:val="00B87C6E"/>
    <w:rsid w:val="00B87C93"/>
    <w:rsid w:val="00B87FC8"/>
    <w:rsid w:val="00B902C7"/>
    <w:rsid w:val="00B903CF"/>
    <w:rsid w:val="00B915E7"/>
    <w:rsid w:val="00B91A76"/>
    <w:rsid w:val="00B928DF"/>
    <w:rsid w:val="00B92F0C"/>
    <w:rsid w:val="00B932CB"/>
    <w:rsid w:val="00B94408"/>
    <w:rsid w:val="00B960C1"/>
    <w:rsid w:val="00B971D1"/>
    <w:rsid w:val="00B9734C"/>
    <w:rsid w:val="00B97377"/>
    <w:rsid w:val="00B976D1"/>
    <w:rsid w:val="00B97E0E"/>
    <w:rsid w:val="00BA099E"/>
    <w:rsid w:val="00BA0E96"/>
    <w:rsid w:val="00BA1552"/>
    <w:rsid w:val="00BA15E2"/>
    <w:rsid w:val="00BA16A9"/>
    <w:rsid w:val="00BA2376"/>
    <w:rsid w:val="00BA2522"/>
    <w:rsid w:val="00BA43F0"/>
    <w:rsid w:val="00BA5FDC"/>
    <w:rsid w:val="00BA6998"/>
    <w:rsid w:val="00BA6F8B"/>
    <w:rsid w:val="00BA7773"/>
    <w:rsid w:val="00BA7D6C"/>
    <w:rsid w:val="00BB0210"/>
    <w:rsid w:val="00BB0B1F"/>
    <w:rsid w:val="00BB0E0F"/>
    <w:rsid w:val="00BB0E55"/>
    <w:rsid w:val="00BB12F2"/>
    <w:rsid w:val="00BB145C"/>
    <w:rsid w:val="00BB1E90"/>
    <w:rsid w:val="00BB23A8"/>
    <w:rsid w:val="00BB2C49"/>
    <w:rsid w:val="00BB2F1C"/>
    <w:rsid w:val="00BB2FF1"/>
    <w:rsid w:val="00BB32B9"/>
    <w:rsid w:val="00BB362F"/>
    <w:rsid w:val="00BB4713"/>
    <w:rsid w:val="00BB4FF0"/>
    <w:rsid w:val="00BB5BA1"/>
    <w:rsid w:val="00BB5C20"/>
    <w:rsid w:val="00BB5D15"/>
    <w:rsid w:val="00BB6BFB"/>
    <w:rsid w:val="00BB7137"/>
    <w:rsid w:val="00BB7EDA"/>
    <w:rsid w:val="00BC0106"/>
    <w:rsid w:val="00BC161A"/>
    <w:rsid w:val="00BC1D92"/>
    <w:rsid w:val="00BC203E"/>
    <w:rsid w:val="00BC26F3"/>
    <w:rsid w:val="00BC2B0A"/>
    <w:rsid w:val="00BC3770"/>
    <w:rsid w:val="00BC3C28"/>
    <w:rsid w:val="00BC3CD0"/>
    <w:rsid w:val="00BC40DA"/>
    <w:rsid w:val="00BC5995"/>
    <w:rsid w:val="00BC5C0F"/>
    <w:rsid w:val="00BC5FDE"/>
    <w:rsid w:val="00BC66EA"/>
    <w:rsid w:val="00BC6771"/>
    <w:rsid w:val="00BC6D0F"/>
    <w:rsid w:val="00BC7BA8"/>
    <w:rsid w:val="00BD0520"/>
    <w:rsid w:val="00BD0717"/>
    <w:rsid w:val="00BD11FF"/>
    <w:rsid w:val="00BD1B9A"/>
    <w:rsid w:val="00BD2B5B"/>
    <w:rsid w:val="00BD3135"/>
    <w:rsid w:val="00BD32FF"/>
    <w:rsid w:val="00BD4EB5"/>
    <w:rsid w:val="00BD506E"/>
    <w:rsid w:val="00BD5BB5"/>
    <w:rsid w:val="00BD5BBF"/>
    <w:rsid w:val="00BD7977"/>
    <w:rsid w:val="00BD7B62"/>
    <w:rsid w:val="00BE07F4"/>
    <w:rsid w:val="00BE0C23"/>
    <w:rsid w:val="00BE17F7"/>
    <w:rsid w:val="00BE2070"/>
    <w:rsid w:val="00BE239F"/>
    <w:rsid w:val="00BE23F0"/>
    <w:rsid w:val="00BE2661"/>
    <w:rsid w:val="00BE282E"/>
    <w:rsid w:val="00BE2AA5"/>
    <w:rsid w:val="00BE4473"/>
    <w:rsid w:val="00BE4721"/>
    <w:rsid w:val="00BE49FE"/>
    <w:rsid w:val="00BE4F3F"/>
    <w:rsid w:val="00BE522B"/>
    <w:rsid w:val="00BE65E8"/>
    <w:rsid w:val="00BE6E42"/>
    <w:rsid w:val="00BE76A9"/>
    <w:rsid w:val="00BF01A7"/>
    <w:rsid w:val="00BF04BA"/>
    <w:rsid w:val="00BF1490"/>
    <w:rsid w:val="00BF233C"/>
    <w:rsid w:val="00BF26BC"/>
    <w:rsid w:val="00BF308F"/>
    <w:rsid w:val="00BF319A"/>
    <w:rsid w:val="00BF351E"/>
    <w:rsid w:val="00BF35CA"/>
    <w:rsid w:val="00BF36B8"/>
    <w:rsid w:val="00BF3A26"/>
    <w:rsid w:val="00BF3C08"/>
    <w:rsid w:val="00BF3C1C"/>
    <w:rsid w:val="00BF3FB9"/>
    <w:rsid w:val="00BF41B4"/>
    <w:rsid w:val="00BF41C3"/>
    <w:rsid w:val="00BF5027"/>
    <w:rsid w:val="00BF57B1"/>
    <w:rsid w:val="00BF585A"/>
    <w:rsid w:val="00BF6139"/>
    <w:rsid w:val="00BF6A47"/>
    <w:rsid w:val="00BF6EEB"/>
    <w:rsid w:val="00BF733C"/>
    <w:rsid w:val="00BF7864"/>
    <w:rsid w:val="00C00396"/>
    <w:rsid w:val="00C00586"/>
    <w:rsid w:val="00C00719"/>
    <w:rsid w:val="00C00BB3"/>
    <w:rsid w:val="00C0129A"/>
    <w:rsid w:val="00C01766"/>
    <w:rsid w:val="00C02DC7"/>
    <w:rsid w:val="00C03565"/>
    <w:rsid w:val="00C0480B"/>
    <w:rsid w:val="00C04925"/>
    <w:rsid w:val="00C04F20"/>
    <w:rsid w:val="00C06533"/>
    <w:rsid w:val="00C06648"/>
    <w:rsid w:val="00C067FC"/>
    <w:rsid w:val="00C069B1"/>
    <w:rsid w:val="00C0764F"/>
    <w:rsid w:val="00C0774A"/>
    <w:rsid w:val="00C07C97"/>
    <w:rsid w:val="00C07D19"/>
    <w:rsid w:val="00C111C4"/>
    <w:rsid w:val="00C11354"/>
    <w:rsid w:val="00C11799"/>
    <w:rsid w:val="00C12A0C"/>
    <w:rsid w:val="00C136BF"/>
    <w:rsid w:val="00C1374C"/>
    <w:rsid w:val="00C1471F"/>
    <w:rsid w:val="00C14FF1"/>
    <w:rsid w:val="00C15128"/>
    <w:rsid w:val="00C15615"/>
    <w:rsid w:val="00C1584D"/>
    <w:rsid w:val="00C162AF"/>
    <w:rsid w:val="00C165CC"/>
    <w:rsid w:val="00C1668F"/>
    <w:rsid w:val="00C171E5"/>
    <w:rsid w:val="00C1763D"/>
    <w:rsid w:val="00C178FC"/>
    <w:rsid w:val="00C20228"/>
    <w:rsid w:val="00C204E2"/>
    <w:rsid w:val="00C20C14"/>
    <w:rsid w:val="00C2162B"/>
    <w:rsid w:val="00C217BA"/>
    <w:rsid w:val="00C223DE"/>
    <w:rsid w:val="00C22ADA"/>
    <w:rsid w:val="00C22F14"/>
    <w:rsid w:val="00C22F46"/>
    <w:rsid w:val="00C23F6D"/>
    <w:rsid w:val="00C24A5E"/>
    <w:rsid w:val="00C24B33"/>
    <w:rsid w:val="00C24D74"/>
    <w:rsid w:val="00C25302"/>
    <w:rsid w:val="00C253D7"/>
    <w:rsid w:val="00C261E8"/>
    <w:rsid w:val="00C267FF"/>
    <w:rsid w:val="00C26EBE"/>
    <w:rsid w:val="00C27A63"/>
    <w:rsid w:val="00C301A8"/>
    <w:rsid w:val="00C30258"/>
    <w:rsid w:val="00C31150"/>
    <w:rsid w:val="00C31EB2"/>
    <w:rsid w:val="00C31FFB"/>
    <w:rsid w:val="00C32031"/>
    <w:rsid w:val="00C3237C"/>
    <w:rsid w:val="00C3257D"/>
    <w:rsid w:val="00C32EF7"/>
    <w:rsid w:val="00C33053"/>
    <w:rsid w:val="00C3356F"/>
    <w:rsid w:val="00C33D46"/>
    <w:rsid w:val="00C344FD"/>
    <w:rsid w:val="00C352BA"/>
    <w:rsid w:val="00C35DFE"/>
    <w:rsid w:val="00C35F1F"/>
    <w:rsid w:val="00C366D1"/>
    <w:rsid w:val="00C36BC1"/>
    <w:rsid w:val="00C36BF8"/>
    <w:rsid w:val="00C372CF"/>
    <w:rsid w:val="00C37AA7"/>
    <w:rsid w:val="00C37E80"/>
    <w:rsid w:val="00C402F7"/>
    <w:rsid w:val="00C40B5B"/>
    <w:rsid w:val="00C4102C"/>
    <w:rsid w:val="00C410C6"/>
    <w:rsid w:val="00C4165A"/>
    <w:rsid w:val="00C41E06"/>
    <w:rsid w:val="00C41FA1"/>
    <w:rsid w:val="00C43AEE"/>
    <w:rsid w:val="00C44954"/>
    <w:rsid w:val="00C44C3C"/>
    <w:rsid w:val="00C45647"/>
    <w:rsid w:val="00C458AB"/>
    <w:rsid w:val="00C45CC1"/>
    <w:rsid w:val="00C462E0"/>
    <w:rsid w:val="00C47187"/>
    <w:rsid w:val="00C478E5"/>
    <w:rsid w:val="00C47AC8"/>
    <w:rsid w:val="00C50048"/>
    <w:rsid w:val="00C500D9"/>
    <w:rsid w:val="00C504E8"/>
    <w:rsid w:val="00C510F7"/>
    <w:rsid w:val="00C51B0F"/>
    <w:rsid w:val="00C51C8E"/>
    <w:rsid w:val="00C51EAB"/>
    <w:rsid w:val="00C520D6"/>
    <w:rsid w:val="00C52498"/>
    <w:rsid w:val="00C53505"/>
    <w:rsid w:val="00C53955"/>
    <w:rsid w:val="00C53C16"/>
    <w:rsid w:val="00C5434A"/>
    <w:rsid w:val="00C54AB4"/>
    <w:rsid w:val="00C5519F"/>
    <w:rsid w:val="00C554D1"/>
    <w:rsid w:val="00C55C3B"/>
    <w:rsid w:val="00C56411"/>
    <w:rsid w:val="00C576E7"/>
    <w:rsid w:val="00C579A9"/>
    <w:rsid w:val="00C57CF3"/>
    <w:rsid w:val="00C60D0D"/>
    <w:rsid w:val="00C61070"/>
    <w:rsid w:val="00C615E8"/>
    <w:rsid w:val="00C61DD8"/>
    <w:rsid w:val="00C61E07"/>
    <w:rsid w:val="00C63457"/>
    <w:rsid w:val="00C64100"/>
    <w:rsid w:val="00C6520A"/>
    <w:rsid w:val="00C6538A"/>
    <w:rsid w:val="00C65981"/>
    <w:rsid w:val="00C65BDC"/>
    <w:rsid w:val="00C667C1"/>
    <w:rsid w:val="00C675FE"/>
    <w:rsid w:val="00C67C0E"/>
    <w:rsid w:val="00C702C8"/>
    <w:rsid w:val="00C70361"/>
    <w:rsid w:val="00C70819"/>
    <w:rsid w:val="00C72412"/>
    <w:rsid w:val="00C7293A"/>
    <w:rsid w:val="00C72B58"/>
    <w:rsid w:val="00C73293"/>
    <w:rsid w:val="00C73DD6"/>
    <w:rsid w:val="00C74780"/>
    <w:rsid w:val="00C74CC1"/>
    <w:rsid w:val="00C75C67"/>
    <w:rsid w:val="00C75C85"/>
    <w:rsid w:val="00C75F7E"/>
    <w:rsid w:val="00C7676F"/>
    <w:rsid w:val="00C773ED"/>
    <w:rsid w:val="00C80DD2"/>
    <w:rsid w:val="00C80E06"/>
    <w:rsid w:val="00C8140B"/>
    <w:rsid w:val="00C81C9D"/>
    <w:rsid w:val="00C82391"/>
    <w:rsid w:val="00C823D1"/>
    <w:rsid w:val="00C82945"/>
    <w:rsid w:val="00C832D5"/>
    <w:rsid w:val="00C8411E"/>
    <w:rsid w:val="00C841EE"/>
    <w:rsid w:val="00C842EF"/>
    <w:rsid w:val="00C848C7"/>
    <w:rsid w:val="00C84EAC"/>
    <w:rsid w:val="00C84F1B"/>
    <w:rsid w:val="00C85496"/>
    <w:rsid w:val="00C86643"/>
    <w:rsid w:val="00C868DA"/>
    <w:rsid w:val="00C86B09"/>
    <w:rsid w:val="00C86BE8"/>
    <w:rsid w:val="00C86CCD"/>
    <w:rsid w:val="00C87130"/>
    <w:rsid w:val="00C90EBA"/>
    <w:rsid w:val="00C90FA2"/>
    <w:rsid w:val="00C918FB"/>
    <w:rsid w:val="00C9240F"/>
    <w:rsid w:val="00C925B5"/>
    <w:rsid w:val="00C926FE"/>
    <w:rsid w:val="00C937BC"/>
    <w:rsid w:val="00C93815"/>
    <w:rsid w:val="00C93A1A"/>
    <w:rsid w:val="00C94BDD"/>
    <w:rsid w:val="00C94C0F"/>
    <w:rsid w:val="00C95952"/>
    <w:rsid w:val="00C95EFE"/>
    <w:rsid w:val="00C9610A"/>
    <w:rsid w:val="00C97E26"/>
    <w:rsid w:val="00C97EF8"/>
    <w:rsid w:val="00CA176A"/>
    <w:rsid w:val="00CA1F28"/>
    <w:rsid w:val="00CA2B18"/>
    <w:rsid w:val="00CA2E49"/>
    <w:rsid w:val="00CA3A9D"/>
    <w:rsid w:val="00CA3BC2"/>
    <w:rsid w:val="00CA3DCF"/>
    <w:rsid w:val="00CA422B"/>
    <w:rsid w:val="00CA4841"/>
    <w:rsid w:val="00CA4A65"/>
    <w:rsid w:val="00CA501F"/>
    <w:rsid w:val="00CA5B07"/>
    <w:rsid w:val="00CA64F5"/>
    <w:rsid w:val="00CA6674"/>
    <w:rsid w:val="00CA6DA7"/>
    <w:rsid w:val="00CA7172"/>
    <w:rsid w:val="00CA73CD"/>
    <w:rsid w:val="00CB016E"/>
    <w:rsid w:val="00CB01DF"/>
    <w:rsid w:val="00CB110F"/>
    <w:rsid w:val="00CB1CAF"/>
    <w:rsid w:val="00CB2895"/>
    <w:rsid w:val="00CB2D29"/>
    <w:rsid w:val="00CB2D96"/>
    <w:rsid w:val="00CB2F64"/>
    <w:rsid w:val="00CB3FBB"/>
    <w:rsid w:val="00CB46DA"/>
    <w:rsid w:val="00CB5148"/>
    <w:rsid w:val="00CB567D"/>
    <w:rsid w:val="00CB575C"/>
    <w:rsid w:val="00CB5E4A"/>
    <w:rsid w:val="00CB6152"/>
    <w:rsid w:val="00CB61CC"/>
    <w:rsid w:val="00CB62CA"/>
    <w:rsid w:val="00CB6C54"/>
    <w:rsid w:val="00CB6E6E"/>
    <w:rsid w:val="00CB7A27"/>
    <w:rsid w:val="00CC0B5C"/>
    <w:rsid w:val="00CC0BA9"/>
    <w:rsid w:val="00CC0F9A"/>
    <w:rsid w:val="00CC12EE"/>
    <w:rsid w:val="00CC15E6"/>
    <w:rsid w:val="00CC1E72"/>
    <w:rsid w:val="00CC24F8"/>
    <w:rsid w:val="00CC2530"/>
    <w:rsid w:val="00CC269E"/>
    <w:rsid w:val="00CC35BB"/>
    <w:rsid w:val="00CC37AC"/>
    <w:rsid w:val="00CC3D87"/>
    <w:rsid w:val="00CC43E7"/>
    <w:rsid w:val="00CC4996"/>
    <w:rsid w:val="00CC4ED6"/>
    <w:rsid w:val="00CC5FE7"/>
    <w:rsid w:val="00CC695E"/>
    <w:rsid w:val="00CC6E29"/>
    <w:rsid w:val="00CC70EB"/>
    <w:rsid w:val="00CC7434"/>
    <w:rsid w:val="00CC7920"/>
    <w:rsid w:val="00CC7C15"/>
    <w:rsid w:val="00CC7F2F"/>
    <w:rsid w:val="00CD0D64"/>
    <w:rsid w:val="00CD1666"/>
    <w:rsid w:val="00CD4000"/>
    <w:rsid w:val="00CD4254"/>
    <w:rsid w:val="00CD5493"/>
    <w:rsid w:val="00CD646A"/>
    <w:rsid w:val="00CD6597"/>
    <w:rsid w:val="00CD6759"/>
    <w:rsid w:val="00CD7058"/>
    <w:rsid w:val="00CD73A4"/>
    <w:rsid w:val="00CD7F63"/>
    <w:rsid w:val="00CE03A2"/>
    <w:rsid w:val="00CE0666"/>
    <w:rsid w:val="00CE0C9B"/>
    <w:rsid w:val="00CE0DAB"/>
    <w:rsid w:val="00CE145B"/>
    <w:rsid w:val="00CE1C6F"/>
    <w:rsid w:val="00CE27A4"/>
    <w:rsid w:val="00CE2F80"/>
    <w:rsid w:val="00CE3041"/>
    <w:rsid w:val="00CE33B2"/>
    <w:rsid w:val="00CE3C8C"/>
    <w:rsid w:val="00CE40AA"/>
    <w:rsid w:val="00CE414B"/>
    <w:rsid w:val="00CE4382"/>
    <w:rsid w:val="00CE59C5"/>
    <w:rsid w:val="00CE5EDC"/>
    <w:rsid w:val="00CE6126"/>
    <w:rsid w:val="00CE7516"/>
    <w:rsid w:val="00CF0CE0"/>
    <w:rsid w:val="00CF140B"/>
    <w:rsid w:val="00CF1648"/>
    <w:rsid w:val="00CF173F"/>
    <w:rsid w:val="00CF1AEE"/>
    <w:rsid w:val="00CF243A"/>
    <w:rsid w:val="00CF251A"/>
    <w:rsid w:val="00CF2FF1"/>
    <w:rsid w:val="00CF31D3"/>
    <w:rsid w:val="00CF3701"/>
    <w:rsid w:val="00CF3912"/>
    <w:rsid w:val="00CF42D3"/>
    <w:rsid w:val="00CF4BB1"/>
    <w:rsid w:val="00CF4F05"/>
    <w:rsid w:val="00CF505E"/>
    <w:rsid w:val="00CF5137"/>
    <w:rsid w:val="00CF58D5"/>
    <w:rsid w:val="00CF6713"/>
    <w:rsid w:val="00CF6E72"/>
    <w:rsid w:val="00D00524"/>
    <w:rsid w:val="00D00C55"/>
    <w:rsid w:val="00D011E7"/>
    <w:rsid w:val="00D02189"/>
    <w:rsid w:val="00D0236A"/>
    <w:rsid w:val="00D02758"/>
    <w:rsid w:val="00D0353F"/>
    <w:rsid w:val="00D03727"/>
    <w:rsid w:val="00D0397B"/>
    <w:rsid w:val="00D03B4C"/>
    <w:rsid w:val="00D043ED"/>
    <w:rsid w:val="00D04544"/>
    <w:rsid w:val="00D05149"/>
    <w:rsid w:val="00D05518"/>
    <w:rsid w:val="00D05EDE"/>
    <w:rsid w:val="00D10079"/>
    <w:rsid w:val="00D106E5"/>
    <w:rsid w:val="00D10866"/>
    <w:rsid w:val="00D10ADE"/>
    <w:rsid w:val="00D11379"/>
    <w:rsid w:val="00D11CFE"/>
    <w:rsid w:val="00D11E94"/>
    <w:rsid w:val="00D1275A"/>
    <w:rsid w:val="00D12D5C"/>
    <w:rsid w:val="00D1416A"/>
    <w:rsid w:val="00D14480"/>
    <w:rsid w:val="00D1576E"/>
    <w:rsid w:val="00D15CA6"/>
    <w:rsid w:val="00D16754"/>
    <w:rsid w:val="00D16A26"/>
    <w:rsid w:val="00D1725C"/>
    <w:rsid w:val="00D17318"/>
    <w:rsid w:val="00D1787A"/>
    <w:rsid w:val="00D17901"/>
    <w:rsid w:val="00D17ACD"/>
    <w:rsid w:val="00D2020F"/>
    <w:rsid w:val="00D2028A"/>
    <w:rsid w:val="00D2031D"/>
    <w:rsid w:val="00D20412"/>
    <w:rsid w:val="00D207AF"/>
    <w:rsid w:val="00D208C5"/>
    <w:rsid w:val="00D20BCF"/>
    <w:rsid w:val="00D2252A"/>
    <w:rsid w:val="00D22B43"/>
    <w:rsid w:val="00D22B56"/>
    <w:rsid w:val="00D22FC5"/>
    <w:rsid w:val="00D243CD"/>
    <w:rsid w:val="00D248B5"/>
    <w:rsid w:val="00D25868"/>
    <w:rsid w:val="00D25B5E"/>
    <w:rsid w:val="00D25C48"/>
    <w:rsid w:val="00D25E6E"/>
    <w:rsid w:val="00D264FF"/>
    <w:rsid w:val="00D265EA"/>
    <w:rsid w:val="00D26608"/>
    <w:rsid w:val="00D26A56"/>
    <w:rsid w:val="00D26C4F"/>
    <w:rsid w:val="00D27016"/>
    <w:rsid w:val="00D27809"/>
    <w:rsid w:val="00D30137"/>
    <w:rsid w:val="00D308EB"/>
    <w:rsid w:val="00D30965"/>
    <w:rsid w:val="00D30A28"/>
    <w:rsid w:val="00D30F54"/>
    <w:rsid w:val="00D3128E"/>
    <w:rsid w:val="00D3134D"/>
    <w:rsid w:val="00D329E9"/>
    <w:rsid w:val="00D3328F"/>
    <w:rsid w:val="00D33E27"/>
    <w:rsid w:val="00D340FE"/>
    <w:rsid w:val="00D34654"/>
    <w:rsid w:val="00D34A3B"/>
    <w:rsid w:val="00D34D23"/>
    <w:rsid w:val="00D35A79"/>
    <w:rsid w:val="00D362D4"/>
    <w:rsid w:val="00D364DF"/>
    <w:rsid w:val="00D36827"/>
    <w:rsid w:val="00D36C97"/>
    <w:rsid w:val="00D3790E"/>
    <w:rsid w:val="00D37A57"/>
    <w:rsid w:val="00D37C76"/>
    <w:rsid w:val="00D37DAE"/>
    <w:rsid w:val="00D37EDD"/>
    <w:rsid w:val="00D41B6C"/>
    <w:rsid w:val="00D4222F"/>
    <w:rsid w:val="00D42724"/>
    <w:rsid w:val="00D42CA8"/>
    <w:rsid w:val="00D42D17"/>
    <w:rsid w:val="00D42E5C"/>
    <w:rsid w:val="00D439F8"/>
    <w:rsid w:val="00D43B1B"/>
    <w:rsid w:val="00D43CD2"/>
    <w:rsid w:val="00D44182"/>
    <w:rsid w:val="00D446CB"/>
    <w:rsid w:val="00D44EC0"/>
    <w:rsid w:val="00D44FB2"/>
    <w:rsid w:val="00D459B2"/>
    <w:rsid w:val="00D467A1"/>
    <w:rsid w:val="00D46B62"/>
    <w:rsid w:val="00D4774A"/>
    <w:rsid w:val="00D47A06"/>
    <w:rsid w:val="00D47C2E"/>
    <w:rsid w:val="00D50C91"/>
    <w:rsid w:val="00D50D64"/>
    <w:rsid w:val="00D50DB5"/>
    <w:rsid w:val="00D50DF8"/>
    <w:rsid w:val="00D51E40"/>
    <w:rsid w:val="00D521D9"/>
    <w:rsid w:val="00D53378"/>
    <w:rsid w:val="00D547BC"/>
    <w:rsid w:val="00D55182"/>
    <w:rsid w:val="00D5627C"/>
    <w:rsid w:val="00D567B1"/>
    <w:rsid w:val="00D56F8C"/>
    <w:rsid w:val="00D5707A"/>
    <w:rsid w:val="00D578E9"/>
    <w:rsid w:val="00D57ADB"/>
    <w:rsid w:val="00D57E02"/>
    <w:rsid w:val="00D60A7B"/>
    <w:rsid w:val="00D61023"/>
    <w:rsid w:val="00D61C7E"/>
    <w:rsid w:val="00D61F0C"/>
    <w:rsid w:val="00D61F45"/>
    <w:rsid w:val="00D61F9C"/>
    <w:rsid w:val="00D6271B"/>
    <w:rsid w:val="00D6295D"/>
    <w:rsid w:val="00D63B8C"/>
    <w:rsid w:val="00D63CBF"/>
    <w:rsid w:val="00D64843"/>
    <w:rsid w:val="00D66159"/>
    <w:rsid w:val="00D6645E"/>
    <w:rsid w:val="00D66F45"/>
    <w:rsid w:val="00D67067"/>
    <w:rsid w:val="00D67B72"/>
    <w:rsid w:val="00D67DFE"/>
    <w:rsid w:val="00D702CE"/>
    <w:rsid w:val="00D70430"/>
    <w:rsid w:val="00D707C8"/>
    <w:rsid w:val="00D71C40"/>
    <w:rsid w:val="00D722EB"/>
    <w:rsid w:val="00D730A8"/>
    <w:rsid w:val="00D7335F"/>
    <w:rsid w:val="00D735D5"/>
    <w:rsid w:val="00D74285"/>
    <w:rsid w:val="00D74907"/>
    <w:rsid w:val="00D7524B"/>
    <w:rsid w:val="00D77711"/>
    <w:rsid w:val="00D77837"/>
    <w:rsid w:val="00D77883"/>
    <w:rsid w:val="00D77BB6"/>
    <w:rsid w:val="00D77CCE"/>
    <w:rsid w:val="00D80643"/>
    <w:rsid w:val="00D8155C"/>
    <w:rsid w:val="00D81AEC"/>
    <w:rsid w:val="00D81DFF"/>
    <w:rsid w:val="00D81F4D"/>
    <w:rsid w:val="00D82510"/>
    <w:rsid w:val="00D82B1F"/>
    <w:rsid w:val="00D82E9A"/>
    <w:rsid w:val="00D846E4"/>
    <w:rsid w:val="00D8488D"/>
    <w:rsid w:val="00D84C51"/>
    <w:rsid w:val="00D8546E"/>
    <w:rsid w:val="00D85C49"/>
    <w:rsid w:val="00D86485"/>
    <w:rsid w:val="00D8798A"/>
    <w:rsid w:val="00D90670"/>
    <w:rsid w:val="00D90994"/>
    <w:rsid w:val="00D90C16"/>
    <w:rsid w:val="00D90F8B"/>
    <w:rsid w:val="00D910DD"/>
    <w:rsid w:val="00D91340"/>
    <w:rsid w:val="00D91CAE"/>
    <w:rsid w:val="00D9202B"/>
    <w:rsid w:val="00D9227F"/>
    <w:rsid w:val="00D92AC8"/>
    <w:rsid w:val="00D92D25"/>
    <w:rsid w:val="00D93E5F"/>
    <w:rsid w:val="00D9608B"/>
    <w:rsid w:val="00D968C8"/>
    <w:rsid w:val="00D96DDF"/>
    <w:rsid w:val="00D97657"/>
    <w:rsid w:val="00D978EA"/>
    <w:rsid w:val="00D97C1F"/>
    <w:rsid w:val="00D97ED9"/>
    <w:rsid w:val="00DA04D2"/>
    <w:rsid w:val="00DA056A"/>
    <w:rsid w:val="00DA06E4"/>
    <w:rsid w:val="00DA0BB4"/>
    <w:rsid w:val="00DA1491"/>
    <w:rsid w:val="00DA162E"/>
    <w:rsid w:val="00DA1640"/>
    <w:rsid w:val="00DA28E6"/>
    <w:rsid w:val="00DA35BA"/>
    <w:rsid w:val="00DA3A91"/>
    <w:rsid w:val="00DA58B4"/>
    <w:rsid w:val="00DA5ABF"/>
    <w:rsid w:val="00DA5B72"/>
    <w:rsid w:val="00DA6343"/>
    <w:rsid w:val="00DA65F8"/>
    <w:rsid w:val="00DA679B"/>
    <w:rsid w:val="00DA731B"/>
    <w:rsid w:val="00DA74FE"/>
    <w:rsid w:val="00DA76E4"/>
    <w:rsid w:val="00DA7A04"/>
    <w:rsid w:val="00DA7EBB"/>
    <w:rsid w:val="00DB05EF"/>
    <w:rsid w:val="00DB1ABF"/>
    <w:rsid w:val="00DB1B29"/>
    <w:rsid w:val="00DB1B55"/>
    <w:rsid w:val="00DB2668"/>
    <w:rsid w:val="00DB34E1"/>
    <w:rsid w:val="00DB3654"/>
    <w:rsid w:val="00DB39E1"/>
    <w:rsid w:val="00DB39F7"/>
    <w:rsid w:val="00DB3CF9"/>
    <w:rsid w:val="00DB3D16"/>
    <w:rsid w:val="00DB46FB"/>
    <w:rsid w:val="00DB4C24"/>
    <w:rsid w:val="00DB68CF"/>
    <w:rsid w:val="00DB6D7C"/>
    <w:rsid w:val="00DB6E01"/>
    <w:rsid w:val="00DB721B"/>
    <w:rsid w:val="00DB72BD"/>
    <w:rsid w:val="00DB79D7"/>
    <w:rsid w:val="00DB7C5B"/>
    <w:rsid w:val="00DB7D6A"/>
    <w:rsid w:val="00DC045B"/>
    <w:rsid w:val="00DC05C8"/>
    <w:rsid w:val="00DC0AF0"/>
    <w:rsid w:val="00DC13D4"/>
    <w:rsid w:val="00DC3EBE"/>
    <w:rsid w:val="00DC425E"/>
    <w:rsid w:val="00DC4C34"/>
    <w:rsid w:val="00DC4C69"/>
    <w:rsid w:val="00DC4F1C"/>
    <w:rsid w:val="00DC5BA6"/>
    <w:rsid w:val="00DC7650"/>
    <w:rsid w:val="00DD01F7"/>
    <w:rsid w:val="00DD0B79"/>
    <w:rsid w:val="00DD118E"/>
    <w:rsid w:val="00DD122E"/>
    <w:rsid w:val="00DD180E"/>
    <w:rsid w:val="00DD19DE"/>
    <w:rsid w:val="00DD215B"/>
    <w:rsid w:val="00DD243D"/>
    <w:rsid w:val="00DD26D3"/>
    <w:rsid w:val="00DD2815"/>
    <w:rsid w:val="00DD2DA9"/>
    <w:rsid w:val="00DD2E8F"/>
    <w:rsid w:val="00DD30E2"/>
    <w:rsid w:val="00DD3623"/>
    <w:rsid w:val="00DD3693"/>
    <w:rsid w:val="00DD36C9"/>
    <w:rsid w:val="00DD400A"/>
    <w:rsid w:val="00DD4323"/>
    <w:rsid w:val="00DD4445"/>
    <w:rsid w:val="00DD4489"/>
    <w:rsid w:val="00DD51FE"/>
    <w:rsid w:val="00DD5B75"/>
    <w:rsid w:val="00DD66AC"/>
    <w:rsid w:val="00DD6C7C"/>
    <w:rsid w:val="00DD7617"/>
    <w:rsid w:val="00DD7DD0"/>
    <w:rsid w:val="00DD7F4E"/>
    <w:rsid w:val="00DE04AC"/>
    <w:rsid w:val="00DE06C6"/>
    <w:rsid w:val="00DE1704"/>
    <w:rsid w:val="00DE276B"/>
    <w:rsid w:val="00DE3FFC"/>
    <w:rsid w:val="00DE487A"/>
    <w:rsid w:val="00DE4B42"/>
    <w:rsid w:val="00DE4CD2"/>
    <w:rsid w:val="00DE4E95"/>
    <w:rsid w:val="00DE5723"/>
    <w:rsid w:val="00DE57D9"/>
    <w:rsid w:val="00DE63D2"/>
    <w:rsid w:val="00DE6DA7"/>
    <w:rsid w:val="00DE6E50"/>
    <w:rsid w:val="00DE6F31"/>
    <w:rsid w:val="00DE7D8E"/>
    <w:rsid w:val="00DE7DC1"/>
    <w:rsid w:val="00DE7E5B"/>
    <w:rsid w:val="00DE7EA0"/>
    <w:rsid w:val="00DF04E0"/>
    <w:rsid w:val="00DF0610"/>
    <w:rsid w:val="00DF13CD"/>
    <w:rsid w:val="00DF22FF"/>
    <w:rsid w:val="00DF271B"/>
    <w:rsid w:val="00DF2DD7"/>
    <w:rsid w:val="00DF3022"/>
    <w:rsid w:val="00DF3190"/>
    <w:rsid w:val="00DF35FA"/>
    <w:rsid w:val="00DF3C4B"/>
    <w:rsid w:val="00DF4E8E"/>
    <w:rsid w:val="00DF57BE"/>
    <w:rsid w:val="00DF6E11"/>
    <w:rsid w:val="00DF73EF"/>
    <w:rsid w:val="00DF769F"/>
    <w:rsid w:val="00DF7E7A"/>
    <w:rsid w:val="00E00B91"/>
    <w:rsid w:val="00E0137B"/>
    <w:rsid w:val="00E01D45"/>
    <w:rsid w:val="00E025F6"/>
    <w:rsid w:val="00E027F4"/>
    <w:rsid w:val="00E02D95"/>
    <w:rsid w:val="00E037D9"/>
    <w:rsid w:val="00E03B45"/>
    <w:rsid w:val="00E03BAD"/>
    <w:rsid w:val="00E049A1"/>
    <w:rsid w:val="00E06885"/>
    <w:rsid w:val="00E070C4"/>
    <w:rsid w:val="00E11139"/>
    <w:rsid w:val="00E11D38"/>
    <w:rsid w:val="00E1271F"/>
    <w:rsid w:val="00E13766"/>
    <w:rsid w:val="00E13A00"/>
    <w:rsid w:val="00E13EA1"/>
    <w:rsid w:val="00E14FF4"/>
    <w:rsid w:val="00E15044"/>
    <w:rsid w:val="00E156EA"/>
    <w:rsid w:val="00E16C15"/>
    <w:rsid w:val="00E17887"/>
    <w:rsid w:val="00E206BB"/>
    <w:rsid w:val="00E206E8"/>
    <w:rsid w:val="00E210D4"/>
    <w:rsid w:val="00E21451"/>
    <w:rsid w:val="00E21F1A"/>
    <w:rsid w:val="00E22BAE"/>
    <w:rsid w:val="00E22EA7"/>
    <w:rsid w:val="00E2338A"/>
    <w:rsid w:val="00E23B55"/>
    <w:rsid w:val="00E23F7A"/>
    <w:rsid w:val="00E242DB"/>
    <w:rsid w:val="00E24C36"/>
    <w:rsid w:val="00E24FA1"/>
    <w:rsid w:val="00E256EA"/>
    <w:rsid w:val="00E26123"/>
    <w:rsid w:val="00E2623F"/>
    <w:rsid w:val="00E26EB1"/>
    <w:rsid w:val="00E270EA"/>
    <w:rsid w:val="00E276AF"/>
    <w:rsid w:val="00E3002D"/>
    <w:rsid w:val="00E30BE1"/>
    <w:rsid w:val="00E31965"/>
    <w:rsid w:val="00E31D1B"/>
    <w:rsid w:val="00E32768"/>
    <w:rsid w:val="00E329BD"/>
    <w:rsid w:val="00E32CAD"/>
    <w:rsid w:val="00E32CDE"/>
    <w:rsid w:val="00E339D8"/>
    <w:rsid w:val="00E34248"/>
    <w:rsid w:val="00E3468F"/>
    <w:rsid w:val="00E34AEF"/>
    <w:rsid w:val="00E34B72"/>
    <w:rsid w:val="00E34E34"/>
    <w:rsid w:val="00E34FC5"/>
    <w:rsid w:val="00E35417"/>
    <w:rsid w:val="00E358DB"/>
    <w:rsid w:val="00E35D53"/>
    <w:rsid w:val="00E36103"/>
    <w:rsid w:val="00E36197"/>
    <w:rsid w:val="00E362BC"/>
    <w:rsid w:val="00E3646F"/>
    <w:rsid w:val="00E367EC"/>
    <w:rsid w:val="00E36E11"/>
    <w:rsid w:val="00E36FBE"/>
    <w:rsid w:val="00E371FB"/>
    <w:rsid w:val="00E407A5"/>
    <w:rsid w:val="00E40B5C"/>
    <w:rsid w:val="00E4115C"/>
    <w:rsid w:val="00E417C8"/>
    <w:rsid w:val="00E42519"/>
    <w:rsid w:val="00E42A80"/>
    <w:rsid w:val="00E43133"/>
    <w:rsid w:val="00E43C8F"/>
    <w:rsid w:val="00E44C78"/>
    <w:rsid w:val="00E44FC4"/>
    <w:rsid w:val="00E458FD"/>
    <w:rsid w:val="00E45A1A"/>
    <w:rsid w:val="00E45CAF"/>
    <w:rsid w:val="00E45E2D"/>
    <w:rsid w:val="00E4661D"/>
    <w:rsid w:val="00E5001C"/>
    <w:rsid w:val="00E50E54"/>
    <w:rsid w:val="00E51019"/>
    <w:rsid w:val="00E5113B"/>
    <w:rsid w:val="00E51E23"/>
    <w:rsid w:val="00E51EE9"/>
    <w:rsid w:val="00E529F5"/>
    <w:rsid w:val="00E52C4C"/>
    <w:rsid w:val="00E52CAF"/>
    <w:rsid w:val="00E5364B"/>
    <w:rsid w:val="00E53D1E"/>
    <w:rsid w:val="00E543E9"/>
    <w:rsid w:val="00E54762"/>
    <w:rsid w:val="00E547E1"/>
    <w:rsid w:val="00E55D5E"/>
    <w:rsid w:val="00E568AA"/>
    <w:rsid w:val="00E5694D"/>
    <w:rsid w:val="00E56A20"/>
    <w:rsid w:val="00E56A8F"/>
    <w:rsid w:val="00E57273"/>
    <w:rsid w:val="00E57810"/>
    <w:rsid w:val="00E57E18"/>
    <w:rsid w:val="00E60B34"/>
    <w:rsid w:val="00E60E0E"/>
    <w:rsid w:val="00E617D1"/>
    <w:rsid w:val="00E61837"/>
    <w:rsid w:val="00E622A7"/>
    <w:rsid w:val="00E62FC6"/>
    <w:rsid w:val="00E63834"/>
    <w:rsid w:val="00E63CC2"/>
    <w:rsid w:val="00E63FA6"/>
    <w:rsid w:val="00E642EC"/>
    <w:rsid w:val="00E646FE"/>
    <w:rsid w:val="00E65011"/>
    <w:rsid w:val="00E65234"/>
    <w:rsid w:val="00E66278"/>
    <w:rsid w:val="00E66606"/>
    <w:rsid w:val="00E66BA5"/>
    <w:rsid w:val="00E67F91"/>
    <w:rsid w:val="00E709CF"/>
    <w:rsid w:val="00E70EA8"/>
    <w:rsid w:val="00E70EE6"/>
    <w:rsid w:val="00E70FCF"/>
    <w:rsid w:val="00E71497"/>
    <w:rsid w:val="00E71974"/>
    <w:rsid w:val="00E71E0A"/>
    <w:rsid w:val="00E72125"/>
    <w:rsid w:val="00E72776"/>
    <w:rsid w:val="00E73216"/>
    <w:rsid w:val="00E740C5"/>
    <w:rsid w:val="00E746B2"/>
    <w:rsid w:val="00E7475F"/>
    <w:rsid w:val="00E74C27"/>
    <w:rsid w:val="00E74C60"/>
    <w:rsid w:val="00E75247"/>
    <w:rsid w:val="00E757D1"/>
    <w:rsid w:val="00E75C7E"/>
    <w:rsid w:val="00E75E5C"/>
    <w:rsid w:val="00E7642C"/>
    <w:rsid w:val="00E768C6"/>
    <w:rsid w:val="00E776A8"/>
    <w:rsid w:val="00E805C6"/>
    <w:rsid w:val="00E81041"/>
    <w:rsid w:val="00E8143E"/>
    <w:rsid w:val="00E824E7"/>
    <w:rsid w:val="00E82667"/>
    <w:rsid w:val="00E82F15"/>
    <w:rsid w:val="00E836C5"/>
    <w:rsid w:val="00E8393A"/>
    <w:rsid w:val="00E83C50"/>
    <w:rsid w:val="00E8450F"/>
    <w:rsid w:val="00E84863"/>
    <w:rsid w:val="00E84AE8"/>
    <w:rsid w:val="00E850D3"/>
    <w:rsid w:val="00E851EA"/>
    <w:rsid w:val="00E85C93"/>
    <w:rsid w:val="00E85E5A"/>
    <w:rsid w:val="00E8633D"/>
    <w:rsid w:val="00E8726D"/>
    <w:rsid w:val="00E876E4"/>
    <w:rsid w:val="00E877F4"/>
    <w:rsid w:val="00E87D8E"/>
    <w:rsid w:val="00E9018A"/>
    <w:rsid w:val="00E91C3D"/>
    <w:rsid w:val="00E92ADC"/>
    <w:rsid w:val="00E93D00"/>
    <w:rsid w:val="00E93FBE"/>
    <w:rsid w:val="00E9440F"/>
    <w:rsid w:val="00E94D2F"/>
    <w:rsid w:val="00E9527E"/>
    <w:rsid w:val="00E95623"/>
    <w:rsid w:val="00E95650"/>
    <w:rsid w:val="00E95760"/>
    <w:rsid w:val="00E9646C"/>
    <w:rsid w:val="00E9651D"/>
    <w:rsid w:val="00E9728E"/>
    <w:rsid w:val="00E975DC"/>
    <w:rsid w:val="00E97CC3"/>
    <w:rsid w:val="00EA04F3"/>
    <w:rsid w:val="00EA07BD"/>
    <w:rsid w:val="00EA0A74"/>
    <w:rsid w:val="00EA1A0F"/>
    <w:rsid w:val="00EA1E45"/>
    <w:rsid w:val="00EA2867"/>
    <w:rsid w:val="00EA2A28"/>
    <w:rsid w:val="00EA4630"/>
    <w:rsid w:val="00EA48B5"/>
    <w:rsid w:val="00EA5006"/>
    <w:rsid w:val="00EA54A2"/>
    <w:rsid w:val="00EA5D35"/>
    <w:rsid w:val="00EA6325"/>
    <w:rsid w:val="00EA6389"/>
    <w:rsid w:val="00EA6C07"/>
    <w:rsid w:val="00EA6D09"/>
    <w:rsid w:val="00EA6E1D"/>
    <w:rsid w:val="00EA7162"/>
    <w:rsid w:val="00EA7442"/>
    <w:rsid w:val="00EA7CF7"/>
    <w:rsid w:val="00EB0C80"/>
    <w:rsid w:val="00EB0E2B"/>
    <w:rsid w:val="00EB138A"/>
    <w:rsid w:val="00EB13D5"/>
    <w:rsid w:val="00EB14D3"/>
    <w:rsid w:val="00EB164A"/>
    <w:rsid w:val="00EB17C0"/>
    <w:rsid w:val="00EB29FE"/>
    <w:rsid w:val="00EB2B43"/>
    <w:rsid w:val="00EB2FB0"/>
    <w:rsid w:val="00EB3125"/>
    <w:rsid w:val="00EB3C7B"/>
    <w:rsid w:val="00EB41B1"/>
    <w:rsid w:val="00EB4944"/>
    <w:rsid w:val="00EB4AC6"/>
    <w:rsid w:val="00EB4B4F"/>
    <w:rsid w:val="00EB4E56"/>
    <w:rsid w:val="00EB5249"/>
    <w:rsid w:val="00EB55C2"/>
    <w:rsid w:val="00EB56CC"/>
    <w:rsid w:val="00EB588D"/>
    <w:rsid w:val="00EB6310"/>
    <w:rsid w:val="00EB6553"/>
    <w:rsid w:val="00EB6A9F"/>
    <w:rsid w:val="00EB75F8"/>
    <w:rsid w:val="00EB7657"/>
    <w:rsid w:val="00EB76E0"/>
    <w:rsid w:val="00EB7772"/>
    <w:rsid w:val="00EB7ED0"/>
    <w:rsid w:val="00EC047F"/>
    <w:rsid w:val="00EC04C4"/>
    <w:rsid w:val="00EC0C1F"/>
    <w:rsid w:val="00EC101A"/>
    <w:rsid w:val="00EC16E3"/>
    <w:rsid w:val="00EC17DE"/>
    <w:rsid w:val="00EC1A2C"/>
    <w:rsid w:val="00EC1D9F"/>
    <w:rsid w:val="00EC2453"/>
    <w:rsid w:val="00EC354A"/>
    <w:rsid w:val="00EC4904"/>
    <w:rsid w:val="00EC4B2B"/>
    <w:rsid w:val="00EC5802"/>
    <w:rsid w:val="00EC6FAE"/>
    <w:rsid w:val="00EC7117"/>
    <w:rsid w:val="00EC792C"/>
    <w:rsid w:val="00EC7B00"/>
    <w:rsid w:val="00ED05B8"/>
    <w:rsid w:val="00ED0C01"/>
    <w:rsid w:val="00ED2197"/>
    <w:rsid w:val="00ED2239"/>
    <w:rsid w:val="00ED2315"/>
    <w:rsid w:val="00ED2694"/>
    <w:rsid w:val="00ED3C4A"/>
    <w:rsid w:val="00ED3D2E"/>
    <w:rsid w:val="00ED49D9"/>
    <w:rsid w:val="00ED4C90"/>
    <w:rsid w:val="00ED50AB"/>
    <w:rsid w:val="00ED72F9"/>
    <w:rsid w:val="00ED79C3"/>
    <w:rsid w:val="00ED7B66"/>
    <w:rsid w:val="00ED7C2A"/>
    <w:rsid w:val="00EE154E"/>
    <w:rsid w:val="00EE20CA"/>
    <w:rsid w:val="00EE2550"/>
    <w:rsid w:val="00EE277E"/>
    <w:rsid w:val="00EE2BFD"/>
    <w:rsid w:val="00EE43E6"/>
    <w:rsid w:val="00EE4880"/>
    <w:rsid w:val="00EE4AEA"/>
    <w:rsid w:val="00EE4C75"/>
    <w:rsid w:val="00EE504A"/>
    <w:rsid w:val="00EE51AF"/>
    <w:rsid w:val="00EE52B0"/>
    <w:rsid w:val="00EE5C18"/>
    <w:rsid w:val="00EE66CC"/>
    <w:rsid w:val="00EE6A5E"/>
    <w:rsid w:val="00EE6D09"/>
    <w:rsid w:val="00EE7CD7"/>
    <w:rsid w:val="00EF12CD"/>
    <w:rsid w:val="00EF1B92"/>
    <w:rsid w:val="00EF20E3"/>
    <w:rsid w:val="00EF2292"/>
    <w:rsid w:val="00EF3017"/>
    <w:rsid w:val="00EF34E7"/>
    <w:rsid w:val="00EF3B61"/>
    <w:rsid w:val="00EF3CCA"/>
    <w:rsid w:val="00EF4694"/>
    <w:rsid w:val="00EF48CD"/>
    <w:rsid w:val="00EF4CDE"/>
    <w:rsid w:val="00EF537E"/>
    <w:rsid w:val="00EF5E98"/>
    <w:rsid w:val="00EF5F8F"/>
    <w:rsid w:val="00EF6378"/>
    <w:rsid w:val="00EF670F"/>
    <w:rsid w:val="00EF7795"/>
    <w:rsid w:val="00F00177"/>
    <w:rsid w:val="00F004B7"/>
    <w:rsid w:val="00F00AF7"/>
    <w:rsid w:val="00F00CB1"/>
    <w:rsid w:val="00F014D3"/>
    <w:rsid w:val="00F021EE"/>
    <w:rsid w:val="00F023E6"/>
    <w:rsid w:val="00F02883"/>
    <w:rsid w:val="00F02AA1"/>
    <w:rsid w:val="00F02F57"/>
    <w:rsid w:val="00F034F4"/>
    <w:rsid w:val="00F03F1F"/>
    <w:rsid w:val="00F04848"/>
    <w:rsid w:val="00F056A5"/>
    <w:rsid w:val="00F06094"/>
    <w:rsid w:val="00F071C8"/>
    <w:rsid w:val="00F0762A"/>
    <w:rsid w:val="00F10A53"/>
    <w:rsid w:val="00F1119B"/>
    <w:rsid w:val="00F11BAC"/>
    <w:rsid w:val="00F127D9"/>
    <w:rsid w:val="00F13406"/>
    <w:rsid w:val="00F13880"/>
    <w:rsid w:val="00F13A96"/>
    <w:rsid w:val="00F13F92"/>
    <w:rsid w:val="00F14275"/>
    <w:rsid w:val="00F145BA"/>
    <w:rsid w:val="00F1465E"/>
    <w:rsid w:val="00F14CE1"/>
    <w:rsid w:val="00F15F24"/>
    <w:rsid w:val="00F15F44"/>
    <w:rsid w:val="00F16160"/>
    <w:rsid w:val="00F165E7"/>
    <w:rsid w:val="00F1679A"/>
    <w:rsid w:val="00F170CC"/>
    <w:rsid w:val="00F20EF7"/>
    <w:rsid w:val="00F212E9"/>
    <w:rsid w:val="00F21DB9"/>
    <w:rsid w:val="00F228F8"/>
    <w:rsid w:val="00F2327B"/>
    <w:rsid w:val="00F23430"/>
    <w:rsid w:val="00F2346B"/>
    <w:rsid w:val="00F238A0"/>
    <w:rsid w:val="00F23BBF"/>
    <w:rsid w:val="00F23DA9"/>
    <w:rsid w:val="00F24321"/>
    <w:rsid w:val="00F24836"/>
    <w:rsid w:val="00F24B81"/>
    <w:rsid w:val="00F24E66"/>
    <w:rsid w:val="00F25353"/>
    <w:rsid w:val="00F2542E"/>
    <w:rsid w:val="00F25453"/>
    <w:rsid w:val="00F274BE"/>
    <w:rsid w:val="00F278F2"/>
    <w:rsid w:val="00F3023D"/>
    <w:rsid w:val="00F3141F"/>
    <w:rsid w:val="00F31961"/>
    <w:rsid w:val="00F31F35"/>
    <w:rsid w:val="00F32139"/>
    <w:rsid w:val="00F327F7"/>
    <w:rsid w:val="00F32AEE"/>
    <w:rsid w:val="00F32E67"/>
    <w:rsid w:val="00F32F69"/>
    <w:rsid w:val="00F332BE"/>
    <w:rsid w:val="00F34569"/>
    <w:rsid w:val="00F34763"/>
    <w:rsid w:val="00F34C11"/>
    <w:rsid w:val="00F34DB7"/>
    <w:rsid w:val="00F3661C"/>
    <w:rsid w:val="00F36E44"/>
    <w:rsid w:val="00F3784B"/>
    <w:rsid w:val="00F40124"/>
    <w:rsid w:val="00F405C9"/>
    <w:rsid w:val="00F40F5B"/>
    <w:rsid w:val="00F42C59"/>
    <w:rsid w:val="00F434DE"/>
    <w:rsid w:val="00F4356E"/>
    <w:rsid w:val="00F4460F"/>
    <w:rsid w:val="00F44B9D"/>
    <w:rsid w:val="00F450FA"/>
    <w:rsid w:val="00F456E4"/>
    <w:rsid w:val="00F45854"/>
    <w:rsid w:val="00F469F7"/>
    <w:rsid w:val="00F47068"/>
    <w:rsid w:val="00F472CB"/>
    <w:rsid w:val="00F4761E"/>
    <w:rsid w:val="00F4787D"/>
    <w:rsid w:val="00F47FA4"/>
    <w:rsid w:val="00F51CFE"/>
    <w:rsid w:val="00F51DBF"/>
    <w:rsid w:val="00F53789"/>
    <w:rsid w:val="00F53EA5"/>
    <w:rsid w:val="00F53F80"/>
    <w:rsid w:val="00F546D4"/>
    <w:rsid w:val="00F554A6"/>
    <w:rsid w:val="00F5565C"/>
    <w:rsid w:val="00F55B15"/>
    <w:rsid w:val="00F56048"/>
    <w:rsid w:val="00F563F6"/>
    <w:rsid w:val="00F56A74"/>
    <w:rsid w:val="00F56CD8"/>
    <w:rsid w:val="00F56DA3"/>
    <w:rsid w:val="00F577DF"/>
    <w:rsid w:val="00F579B6"/>
    <w:rsid w:val="00F57CAE"/>
    <w:rsid w:val="00F61997"/>
    <w:rsid w:val="00F61A47"/>
    <w:rsid w:val="00F6293D"/>
    <w:rsid w:val="00F62AD1"/>
    <w:rsid w:val="00F62DAE"/>
    <w:rsid w:val="00F62E9E"/>
    <w:rsid w:val="00F63083"/>
    <w:rsid w:val="00F63310"/>
    <w:rsid w:val="00F63670"/>
    <w:rsid w:val="00F64192"/>
    <w:rsid w:val="00F64268"/>
    <w:rsid w:val="00F6458C"/>
    <w:rsid w:val="00F64983"/>
    <w:rsid w:val="00F6583E"/>
    <w:rsid w:val="00F665E1"/>
    <w:rsid w:val="00F66773"/>
    <w:rsid w:val="00F67164"/>
    <w:rsid w:val="00F67191"/>
    <w:rsid w:val="00F67B32"/>
    <w:rsid w:val="00F700BB"/>
    <w:rsid w:val="00F7037C"/>
    <w:rsid w:val="00F71625"/>
    <w:rsid w:val="00F71CD5"/>
    <w:rsid w:val="00F726A9"/>
    <w:rsid w:val="00F727A3"/>
    <w:rsid w:val="00F72B69"/>
    <w:rsid w:val="00F72ECD"/>
    <w:rsid w:val="00F73637"/>
    <w:rsid w:val="00F76FE5"/>
    <w:rsid w:val="00F77136"/>
    <w:rsid w:val="00F7726C"/>
    <w:rsid w:val="00F77849"/>
    <w:rsid w:val="00F80A95"/>
    <w:rsid w:val="00F80FF0"/>
    <w:rsid w:val="00F81038"/>
    <w:rsid w:val="00F81219"/>
    <w:rsid w:val="00F81578"/>
    <w:rsid w:val="00F81814"/>
    <w:rsid w:val="00F81851"/>
    <w:rsid w:val="00F81AF3"/>
    <w:rsid w:val="00F81D81"/>
    <w:rsid w:val="00F820F9"/>
    <w:rsid w:val="00F828BA"/>
    <w:rsid w:val="00F84148"/>
    <w:rsid w:val="00F84793"/>
    <w:rsid w:val="00F84A0C"/>
    <w:rsid w:val="00F84DCE"/>
    <w:rsid w:val="00F85D9C"/>
    <w:rsid w:val="00F861D9"/>
    <w:rsid w:val="00F86425"/>
    <w:rsid w:val="00F86AC8"/>
    <w:rsid w:val="00F87547"/>
    <w:rsid w:val="00F907B3"/>
    <w:rsid w:val="00F90F8F"/>
    <w:rsid w:val="00F91469"/>
    <w:rsid w:val="00F91D9A"/>
    <w:rsid w:val="00F923B0"/>
    <w:rsid w:val="00F93859"/>
    <w:rsid w:val="00F9490A"/>
    <w:rsid w:val="00F94CC3"/>
    <w:rsid w:val="00F94D6B"/>
    <w:rsid w:val="00F9504C"/>
    <w:rsid w:val="00F95138"/>
    <w:rsid w:val="00F95656"/>
    <w:rsid w:val="00F95A8B"/>
    <w:rsid w:val="00F95E52"/>
    <w:rsid w:val="00F9683B"/>
    <w:rsid w:val="00FA0130"/>
    <w:rsid w:val="00FA1090"/>
    <w:rsid w:val="00FA1ABF"/>
    <w:rsid w:val="00FA1C49"/>
    <w:rsid w:val="00FA2EF3"/>
    <w:rsid w:val="00FA32A0"/>
    <w:rsid w:val="00FA33B6"/>
    <w:rsid w:val="00FA3545"/>
    <w:rsid w:val="00FA4630"/>
    <w:rsid w:val="00FA5925"/>
    <w:rsid w:val="00FA5A9C"/>
    <w:rsid w:val="00FA607A"/>
    <w:rsid w:val="00FA64B6"/>
    <w:rsid w:val="00FA78FF"/>
    <w:rsid w:val="00FA7D8F"/>
    <w:rsid w:val="00FB0B96"/>
    <w:rsid w:val="00FB1F19"/>
    <w:rsid w:val="00FB2E54"/>
    <w:rsid w:val="00FB2ED3"/>
    <w:rsid w:val="00FB30A6"/>
    <w:rsid w:val="00FB3909"/>
    <w:rsid w:val="00FB3D1E"/>
    <w:rsid w:val="00FB42A8"/>
    <w:rsid w:val="00FB4358"/>
    <w:rsid w:val="00FB470C"/>
    <w:rsid w:val="00FB5201"/>
    <w:rsid w:val="00FB595B"/>
    <w:rsid w:val="00FB5F5E"/>
    <w:rsid w:val="00FB7594"/>
    <w:rsid w:val="00FB7A01"/>
    <w:rsid w:val="00FB7BAB"/>
    <w:rsid w:val="00FB7EA1"/>
    <w:rsid w:val="00FC0056"/>
    <w:rsid w:val="00FC016A"/>
    <w:rsid w:val="00FC03C3"/>
    <w:rsid w:val="00FC10D7"/>
    <w:rsid w:val="00FC2540"/>
    <w:rsid w:val="00FC277F"/>
    <w:rsid w:val="00FC28C3"/>
    <w:rsid w:val="00FC2E57"/>
    <w:rsid w:val="00FC2F31"/>
    <w:rsid w:val="00FC39E2"/>
    <w:rsid w:val="00FC3A93"/>
    <w:rsid w:val="00FC3EEA"/>
    <w:rsid w:val="00FC4103"/>
    <w:rsid w:val="00FC457C"/>
    <w:rsid w:val="00FC49E8"/>
    <w:rsid w:val="00FC4CC4"/>
    <w:rsid w:val="00FC5671"/>
    <w:rsid w:val="00FC5743"/>
    <w:rsid w:val="00FC5962"/>
    <w:rsid w:val="00FC5B0D"/>
    <w:rsid w:val="00FC5BBB"/>
    <w:rsid w:val="00FC6535"/>
    <w:rsid w:val="00FC70B8"/>
    <w:rsid w:val="00FC7B11"/>
    <w:rsid w:val="00FD01E4"/>
    <w:rsid w:val="00FD0273"/>
    <w:rsid w:val="00FD14E9"/>
    <w:rsid w:val="00FD1765"/>
    <w:rsid w:val="00FD1990"/>
    <w:rsid w:val="00FD22AB"/>
    <w:rsid w:val="00FD241C"/>
    <w:rsid w:val="00FD2A3B"/>
    <w:rsid w:val="00FD2E5E"/>
    <w:rsid w:val="00FD32C8"/>
    <w:rsid w:val="00FD3429"/>
    <w:rsid w:val="00FD3588"/>
    <w:rsid w:val="00FD38BB"/>
    <w:rsid w:val="00FD41DB"/>
    <w:rsid w:val="00FD46FB"/>
    <w:rsid w:val="00FD4C5A"/>
    <w:rsid w:val="00FD525B"/>
    <w:rsid w:val="00FD5441"/>
    <w:rsid w:val="00FD5D0E"/>
    <w:rsid w:val="00FD625C"/>
    <w:rsid w:val="00FD79EC"/>
    <w:rsid w:val="00FD7B33"/>
    <w:rsid w:val="00FD7EF9"/>
    <w:rsid w:val="00FE03DC"/>
    <w:rsid w:val="00FE0581"/>
    <w:rsid w:val="00FE087B"/>
    <w:rsid w:val="00FE0FDC"/>
    <w:rsid w:val="00FE16CB"/>
    <w:rsid w:val="00FE305A"/>
    <w:rsid w:val="00FE382B"/>
    <w:rsid w:val="00FE3BAC"/>
    <w:rsid w:val="00FE42EE"/>
    <w:rsid w:val="00FE445F"/>
    <w:rsid w:val="00FE4D75"/>
    <w:rsid w:val="00FE54A7"/>
    <w:rsid w:val="00FE560D"/>
    <w:rsid w:val="00FE579F"/>
    <w:rsid w:val="00FE57C8"/>
    <w:rsid w:val="00FE5BBA"/>
    <w:rsid w:val="00FE606D"/>
    <w:rsid w:val="00FE64A3"/>
    <w:rsid w:val="00FE662C"/>
    <w:rsid w:val="00FE69B6"/>
    <w:rsid w:val="00FE6AE9"/>
    <w:rsid w:val="00FF19AA"/>
    <w:rsid w:val="00FF2A0B"/>
    <w:rsid w:val="00FF3323"/>
    <w:rsid w:val="00FF3550"/>
    <w:rsid w:val="00FF3E51"/>
    <w:rsid w:val="00FF421A"/>
    <w:rsid w:val="00FF4361"/>
    <w:rsid w:val="00FF45E0"/>
    <w:rsid w:val="00FF46B8"/>
    <w:rsid w:val="00FF54F9"/>
    <w:rsid w:val="00FF59A3"/>
    <w:rsid w:val="00FF5E91"/>
    <w:rsid w:val="00FF6572"/>
    <w:rsid w:val="00FF6C29"/>
    <w:rsid w:val="00FF6C8E"/>
    <w:rsid w:val="00FF727A"/>
    <w:rsid w:val="00FF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4:docId w14:val="78D6AC38"/>
  <w15:docId w15:val="{25893DC6-AE3E-43D2-A71F-824DFEF5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A6343"/>
    <w:pPr>
      <w:spacing w:before="120" w:after="120"/>
    </w:pPr>
    <w:rPr>
      <w:rFonts w:ascii="Arial" w:hAnsi="Arial"/>
      <w:sz w:val="22"/>
      <w:lang w:val="en-US"/>
    </w:rPr>
  </w:style>
  <w:style w:type="paragraph" w:styleId="Heading1">
    <w:name w:val="heading 1"/>
    <w:basedOn w:val="Normal"/>
    <w:next w:val="Normal"/>
    <w:link w:val="Heading1Char"/>
    <w:autoRedefine/>
    <w:qFormat/>
    <w:rsid w:val="00DA6343"/>
    <w:pPr>
      <w:keepNext/>
      <w:spacing w:before="360"/>
      <w:jc w:val="center"/>
      <w:outlineLvl w:val="0"/>
    </w:pPr>
    <w:rPr>
      <w:rFonts w:ascii="Arial Bold" w:hAnsi="Arial Bold"/>
      <w:b/>
      <w:caps/>
      <w:sz w:val="24"/>
      <w:lang w:val="en-CA"/>
    </w:rPr>
  </w:style>
  <w:style w:type="paragraph" w:styleId="Heading2">
    <w:name w:val="heading 2"/>
    <w:basedOn w:val="Normal"/>
    <w:next w:val="Normal"/>
    <w:link w:val="Heading2Char"/>
    <w:autoRedefine/>
    <w:qFormat/>
    <w:rsid w:val="00AE6675"/>
    <w:pPr>
      <w:keepNext/>
      <w:spacing w:before="240"/>
      <w:outlineLvl w:val="1"/>
    </w:pPr>
    <w:rPr>
      <w:rFonts w:cs="Arial"/>
      <w:b/>
      <w:caps/>
      <w:sz w:val="24"/>
      <w:lang w:val="en-CA"/>
    </w:rPr>
  </w:style>
  <w:style w:type="paragraph" w:styleId="Heading3">
    <w:name w:val="heading 3"/>
    <w:basedOn w:val="Normal"/>
    <w:next w:val="Normal"/>
    <w:link w:val="Heading3Char"/>
    <w:autoRedefine/>
    <w:qFormat/>
    <w:rsid w:val="0025585E"/>
    <w:pPr>
      <w:keepNext/>
      <w:spacing w:before="240"/>
      <w:contextualSpacing/>
      <w:outlineLvl w:val="2"/>
    </w:pPr>
    <w:rPr>
      <w:b/>
      <w:bCs/>
      <w:iCs/>
      <w:color w:val="000000" w:themeColor="text1"/>
      <w:szCs w:val="22"/>
      <w:lang w:val="fr-CA"/>
    </w:rPr>
  </w:style>
  <w:style w:type="paragraph" w:styleId="Heading4">
    <w:name w:val="heading 4"/>
    <w:basedOn w:val="Normal"/>
    <w:next w:val="Normal"/>
    <w:link w:val="Heading4Char"/>
    <w:autoRedefine/>
    <w:qFormat/>
    <w:rsid w:val="00DA6343"/>
    <w:pPr>
      <w:keepNext/>
      <w:ind w:left="360"/>
      <w:outlineLvl w:val="3"/>
    </w:pPr>
    <w:rPr>
      <w:b/>
      <w:bCs/>
      <w:szCs w:val="28"/>
    </w:rPr>
  </w:style>
  <w:style w:type="paragraph" w:styleId="Heading5">
    <w:name w:val="heading 5"/>
    <w:basedOn w:val="Normal"/>
    <w:next w:val="Normal"/>
    <w:link w:val="Heading5Char"/>
    <w:qFormat/>
    <w:rsid w:val="00DA6343"/>
    <w:pPr>
      <w:keepNext/>
      <w:ind w:left="567"/>
      <w:outlineLvl w:val="4"/>
    </w:pPr>
    <w:rPr>
      <w:bCs/>
      <w:i/>
      <w:iCs/>
      <w:szCs w:val="26"/>
    </w:rPr>
  </w:style>
  <w:style w:type="character" w:default="1" w:styleId="DefaultParagraphFont">
    <w:name w:val="Default Paragraph Font"/>
    <w:uiPriority w:val="1"/>
    <w:semiHidden/>
    <w:unhideWhenUsed/>
    <w:rsid w:val="00DA634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6343"/>
  </w:style>
  <w:style w:type="character" w:customStyle="1" w:styleId="Heading2Char">
    <w:name w:val="Heading 2 Char"/>
    <w:basedOn w:val="DefaultParagraphFont"/>
    <w:link w:val="Heading2"/>
    <w:rsid w:val="00AE6675"/>
    <w:rPr>
      <w:rFonts w:ascii="Arial" w:hAnsi="Arial" w:cs="Arial"/>
      <w:b/>
      <w:caps/>
      <w:sz w:val="24"/>
      <w:lang w:val="en-CA"/>
    </w:rPr>
  </w:style>
  <w:style w:type="paragraph" w:styleId="Header">
    <w:name w:val="header"/>
    <w:basedOn w:val="Normal"/>
    <w:link w:val="HeaderChar"/>
    <w:uiPriority w:val="99"/>
    <w:unhideWhenUsed/>
    <w:rsid w:val="00DA6343"/>
    <w:pPr>
      <w:tabs>
        <w:tab w:val="center" w:pos="4680"/>
        <w:tab w:val="right" w:pos="9360"/>
      </w:tabs>
      <w:spacing w:before="0" w:after="0"/>
    </w:pPr>
  </w:style>
  <w:style w:type="character" w:customStyle="1" w:styleId="HeaderChar">
    <w:name w:val="Header Char"/>
    <w:basedOn w:val="DefaultParagraphFont"/>
    <w:link w:val="Header"/>
    <w:uiPriority w:val="99"/>
    <w:rsid w:val="00DA6343"/>
    <w:rPr>
      <w:rFonts w:ascii="Arial" w:hAnsi="Arial"/>
      <w:sz w:val="22"/>
      <w:lang w:val="en-US"/>
    </w:rPr>
  </w:style>
  <w:style w:type="paragraph" w:styleId="Footer">
    <w:name w:val="footer"/>
    <w:basedOn w:val="Normal"/>
    <w:link w:val="FooterChar"/>
    <w:uiPriority w:val="99"/>
    <w:rsid w:val="00DA6343"/>
    <w:pPr>
      <w:tabs>
        <w:tab w:val="center" w:pos="4320"/>
        <w:tab w:val="right" w:pos="8640"/>
      </w:tabs>
    </w:pPr>
  </w:style>
  <w:style w:type="character" w:customStyle="1" w:styleId="FooterChar">
    <w:name w:val="Footer Char"/>
    <w:basedOn w:val="DefaultParagraphFont"/>
    <w:link w:val="Footer"/>
    <w:uiPriority w:val="99"/>
    <w:rsid w:val="00DA6343"/>
    <w:rPr>
      <w:rFonts w:ascii="Arial" w:hAnsi="Arial"/>
      <w:sz w:val="22"/>
      <w:lang w:val="en-US"/>
    </w:rPr>
  </w:style>
  <w:style w:type="character" w:styleId="Hyperlink">
    <w:name w:val="Hyperlink"/>
    <w:uiPriority w:val="99"/>
    <w:rsid w:val="00DA6343"/>
    <w:rPr>
      <w:rFonts w:ascii="Arial" w:hAnsi="Arial"/>
      <w:color w:val="0000FF"/>
      <w:sz w:val="22"/>
      <w:u w:val="single"/>
    </w:rPr>
  </w:style>
  <w:style w:type="paragraph" w:styleId="BodyText">
    <w:name w:val="Body Text"/>
    <w:basedOn w:val="Normal"/>
    <w:link w:val="BodyTextChar"/>
    <w:qFormat/>
    <w:rsid w:val="00DA6343"/>
  </w:style>
  <w:style w:type="character" w:customStyle="1" w:styleId="BodyTextChar4">
    <w:name w:val="Body Text Char4"/>
    <w:aliases w:val="Body Text Char1 Char,Body Text Char Char Char,Body Text Char Char1,Body Text Char2 Char1"/>
    <w:rsid w:val="00DA6343"/>
    <w:rPr>
      <w:sz w:val="24"/>
      <w:szCs w:val="24"/>
      <w:lang w:val="en-US" w:eastAsia="en-US" w:bidi="ar-SA"/>
    </w:rPr>
  </w:style>
  <w:style w:type="paragraph" w:customStyle="1" w:styleId="Reference">
    <w:name w:val="Reference"/>
    <w:basedOn w:val="Normal"/>
    <w:rsid w:val="00DA6343"/>
    <w:pPr>
      <w:ind w:left="720" w:hanging="720"/>
    </w:pPr>
  </w:style>
  <w:style w:type="paragraph" w:customStyle="1" w:styleId="Cover">
    <w:name w:val="Cover"/>
    <w:basedOn w:val="Normal"/>
    <w:rsid w:val="00DA6343"/>
  </w:style>
  <w:style w:type="character" w:styleId="PageNumber">
    <w:name w:val="page number"/>
    <w:basedOn w:val="DefaultParagraphFont"/>
    <w:rsid w:val="00DA6343"/>
  </w:style>
  <w:style w:type="paragraph" w:styleId="Caption">
    <w:name w:val="caption"/>
    <w:basedOn w:val="Normal"/>
    <w:next w:val="Normal"/>
    <w:qFormat/>
    <w:rsid w:val="00DA6343"/>
    <w:rPr>
      <w:b/>
      <w:bCs/>
      <w:sz w:val="20"/>
    </w:rPr>
  </w:style>
  <w:style w:type="table" w:styleId="TableGrid">
    <w:name w:val="Table Grid"/>
    <w:basedOn w:val="TableNormal"/>
    <w:uiPriority w:val="59"/>
    <w:rsid w:val="00DA634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DA6343"/>
    <w:pPr>
      <w:spacing w:before="240" w:after="60"/>
      <w:jc w:val="center"/>
      <w:outlineLvl w:val="0"/>
    </w:pPr>
    <w:rPr>
      <w:rFonts w:cs="Arial"/>
      <w:b/>
      <w:bCs/>
      <w:kern w:val="28"/>
      <w:sz w:val="28"/>
      <w:szCs w:val="28"/>
    </w:rPr>
  </w:style>
  <w:style w:type="paragraph" w:styleId="BalloonText">
    <w:name w:val="Balloon Text"/>
    <w:basedOn w:val="Normal"/>
    <w:link w:val="BalloonTextChar"/>
    <w:uiPriority w:val="99"/>
    <w:semiHidden/>
    <w:unhideWhenUsed/>
    <w:rsid w:val="00DA634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343"/>
    <w:rPr>
      <w:rFonts w:ascii="Tahoma" w:hAnsi="Tahoma" w:cs="Tahoma"/>
      <w:sz w:val="16"/>
      <w:szCs w:val="16"/>
      <w:lang w:val="en-US"/>
    </w:rPr>
  </w:style>
  <w:style w:type="paragraph" w:customStyle="1" w:styleId="BodyTable">
    <w:name w:val="Body Table"/>
    <w:basedOn w:val="Normal"/>
    <w:rsid w:val="00DA6343"/>
    <w:rPr>
      <w:sz w:val="20"/>
    </w:rPr>
  </w:style>
  <w:style w:type="character" w:styleId="CommentReference">
    <w:name w:val="annotation reference"/>
    <w:uiPriority w:val="99"/>
    <w:semiHidden/>
    <w:rsid w:val="00DA6343"/>
    <w:rPr>
      <w:sz w:val="16"/>
      <w:szCs w:val="16"/>
    </w:rPr>
  </w:style>
  <w:style w:type="paragraph" w:styleId="CommentText">
    <w:name w:val="annotation text"/>
    <w:basedOn w:val="Normal"/>
    <w:link w:val="CommentTextChar"/>
    <w:uiPriority w:val="99"/>
    <w:rsid w:val="00DA6343"/>
    <w:rPr>
      <w:sz w:val="20"/>
    </w:rPr>
  </w:style>
  <w:style w:type="character" w:customStyle="1" w:styleId="CommentTextChar">
    <w:name w:val="Comment Text Char"/>
    <w:basedOn w:val="DefaultParagraphFont"/>
    <w:link w:val="CommentText"/>
    <w:uiPriority w:val="99"/>
    <w:rsid w:val="00DA6343"/>
    <w:rPr>
      <w:rFonts w:ascii="Arial" w:hAnsi="Arial"/>
      <w:lang w:val="en-US"/>
    </w:rPr>
  </w:style>
  <w:style w:type="paragraph" w:styleId="CommentSubject">
    <w:name w:val="annotation subject"/>
    <w:basedOn w:val="CommentText"/>
    <w:next w:val="CommentText"/>
    <w:semiHidden/>
    <w:rsid w:val="00DA6343"/>
    <w:rPr>
      <w:b/>
      <w:bCs/>
    </w:rPr>
  </w:style>
  <w:style w:type="character" w:customStyle="1" w:styleId="BodyTextChar3">
    <w:name w:val="Body Text Char3"/>
    <w:aliases w:val="Body Text Char2 Char,Body Text Char1 Char Char,Body Text Char Char Char Char,Body Text Char Char1 Char,Body Text Char1 Char1,Body Text Char Char Char1,Body Text Char Char2"/>
    <w:rsid w:val="00DA6343"/>
    <w:rPr>
      <w:sz w:val="24"/>
      <w:szCs w:val="24"/>
      <w:lang w:val="en-US" w:eastAsia="en-US" w:bidi="ar-SA"/>
    </w:rPr>
  </w:style>
  <w:style w:type="paragraph" w:styleId="FootnoteText">
    <w:name w:val="footnote text"/>
    <w:basedOn w:val="Normal"/>
    <w:link w:val="FootnoteTextChar"/>
    <w:uiPriority w:val="99"/>
    <w:semiHidden/>
    <w:unhideWhenUsed/>
    <w:rsid w:val="00DA6343"/>
    <w:rPr>
      <w:sz w:val="20"/>
    </w:rPr>
  </w:style>
  <w:style w:type="character" w:styleId="FootnoteReference">
    <w:name w:val="footnote reference"/>
    <w:uiPriority w:val="99"/>
    <w:semiHidden/>
    <w:unhideWhenUsed/>
    <w:rsid w:val="00DA6343"/>
    <w:rPr>
      <w:vertAlign w:val="superscript"/>
    </w:rPr>
  </w:style>
  <w:style w:type="paragraph" w:customStyle="1" w:styleId="Bullet">
    <w:name w:val="Bullet"/>
    <w:basedOn w:val="Normal"/>
    <w:rsid w:val="00DA6343"/>
    <w:pPr>
      <w:ind w:left="357" w:hanging="357"/>
      <w:jc w:val="both"/>
    </w:pPr>
    <w:rPr>
      <w:szCs w:val="24"/>
    </w:rPr>
  </w:style>
  <w:style w:type="paragraph" w:styleId="Revision">
    <w:name w:val="Revision"/>
    <w:hidden/>
    <w:uiPriority w:val="99"/>
    <w:semiHidden/>
    <w:rsid w:val="009B24E3"/>
    <w:rPr>
      <w:sz w:val="24"/>
    </w:rPr>
  </w:style>
  <w:style w:type="paragraph" w:customStyle="1" w:styleId="gbcod">
    <w:name w:val="gbcod"/>
    <w:basedOn w:val="Heading2"/>
    <w:link w:val="gbcodChar"/>
    <w:rsid w:val="00DA6343"/>
    <w:pPr>
      <w:keepLines/>
      <w:spacing w:before="200" w:after="0"/>
    </w:pPr>
    <w:rPr>
      <w:rFonts w:eastAsiaTheme="majorEastAsia"/>
      <w:b w:val="0"/>
      <w:bCs/>
      <w:i/>
      <w:color w:val="000000" w:themeColor="text1"/>
      <w:szCs w:val="24"/>
    </w:rPr>
  </w:style>
  <w:style w:type="character" w:customStyle="1" w:styleId="gbcodChar">
    <w:name w:val="gbcod Char"/>
    <w:basedOn w:val="Heading2Char"/>
    <w:link w:val="gbcod"/>
    <w:rsid w:val="00DA6343"/>
    <w:rPr>
      <w:rFonts w:ascii="Arial" w:eastAsiaTheme="majorEastAsia" w:hAnsi="Arial" w:cs="Arial"/>
      <w:b w:val="0"/>
      <w:bCs/>
      <w:i/>
      <w:caps/>
      <w:color w:val="000000" w:themeColor="text1"/>
      <w:sz w:val="24"/>
      <w:szCs w:val="24"/>
      <w:lang w:val="en-CA"/>
    </w:rPr>
  </w:style>
  <w:style w:type="paragraph" w:styleId="ListParagraph">
    <w:name w:val="List Paragraph"/>
    <w:basedOn w:val="Normal"/>
    <w:uiPriority w:val="1"/>
    <w:qFormat/>
    <w:rsid w:val="00DA6343"/>
    <w:pPr>
      <w:spacing w:after="200" w:line="276" w:lineRule="auto"/>
      <w:ind w:left="720"/>
    </w:pPr>
    <w:rPr>
      <w:rFonts w:ascii="Calibri" w:eastAsiaTheme="minorHAnsi" w:hAnsi="Calibri" w:cs="Calibri"/>
      <w:color w:val="000000"/>
      <w:szCs w:val="22"/>
      <w:lang w:val="en-CA" w:eastAsia="en-CA"/>
    </w:rPr>
  </w:style>
  <w:style w:type="character" w:customStyle="1" w:styleId="StyleArial10ptBoldSuperscript">
    <w:name w:val="Style Arial 10 pt Bold Superscript"/>
    <w:basedOn w:val="DefaultParagraphFont"/>
    <w:rsid w:val="00DA6343"/>
    <w:rPr>
      <w:rFonts w:ascii="Arial" w:hAnsi="Arial"/>
      <w:b w:val="0"/>
      <w:bCs/>
      <w:sz w:val="20"/>
      <w:vertAlign w:val="superscript"/>
    </w:rPr>
  </w:style>
  <w:style w:type="character" w:styleId="FollowedHyperlink">
    <w:name w:val="FollowedHyperlink"/>
    <w:rsid w:val="00DA6343"/>
    <w:rPr>
      <w:rFonts w:ascii="Arial" w:hAnsi="Arial"/>
      <w:color w:val="606420"/>
      <w:sz w:val="22"/>
      <w:u w:val="single"/>
    </w:rPr>
  </w:style>
  <w:style w:type="paragraph" w:customStyle="1" w:styleId="StyleHeading2Arial11ptNotBoldAfter6pt">
    <w:name w:val="Style Heading 2 + Arial 11 pt Not Bold After:  6 pt"/>
    <w:basedOn w:val="Heading2"/>
    <w:next w:val="Heading2"/>
    <w:rsid w:val="00DA6343"/>
    <w:rPr>
      <w:b w:val="0"/>
      <w:sz w:val="22"/>
    </w:rPr>
  </w:style>
  <w:style w:type="paragraph" w:customStyle="1" w:styleId="Blockquote">
    <w:name w:val="Blockquote"/>
    <w:basedOn w:val="Normal"/>
    <w:rsid w:val="00DA6343"/>
    <w:pPr>
      <w:ind w:left="720"/>
    </w:pPr>
  </w:style>
  <w:style w:type="character" w:customStyle="1" w:styleId="BodyTextChar">
    <w:name w:val="Body Text Char"/>
    <w:basedOn w:val="DefaultParagraphFont"/>
    <w:link w:val="BodyText"/>
    <w:rsid w:val="00DA6343"/>
    <w:rPr>
      <w:rFonts w:ascii="Arial" w:hAnsi="Arial"/>
      <w:sz w:val="22"/>
      <w:lang w:val="en-US"/>
    </w:rPr>
  </w:style>
  <w:style w:type="paragraph" w:customStyle="1" w:styleId="BodyTextBold">
    <w:name w:val="Body Text + Bold"/>
    <w:basedOn w:val="BodyText"/>
    <w:rsid w:val="00DA6343"/>
    <w:rPr>
      <w:b/>
    </w:rPr>
  </w:style>
  <w:style w:type="paragraph" w:customStyle="1" w:styleId="BodyTextBoldItallics">
    <w:name w:val="Body Text + Bold + Itallics"/>
    <w:basedOn w:val="BodyText"/>
    <w:rsid w:val="00DA6343"/>
    <w:rPr>
      <w:b/>
      <w:i/>
    </w:rPr>
  </w:style>
  <w:style w:type="paragraph" w:customStyle="1" w:styleId="BodyTextCentered">
    <w:name w:val="Body Text + Centered"/>
    <w:basedOn w:val="BodyText"/>
    <w:link w:val="BodyTextCenteredChar"/>
    <w:rsid w:val="00DA6343"/>
    <w:pPr>
      <w:jc w:val="center"/>
    </w:pPr>
    <w:rPr>
      <w:lang w:val="en-CA"/>
    </w:rPr>
  </w:style>
  <w:style w:type="character" w:customStyle="1" w:styleId="BodyTextCenteredChar">
    <w:name w:val="Body Text + Centered Char"/>
    <w:basedOn w:val="BodyTextChar"/>
    <w:link w:val="BodyTextCentered"/>
    <w:rsid w:val="00DA6343"/>
    <w:rPr>
      <w:rFonts w:ascii="Arial" w:hAnsi="Arial"/>
      <w:sz w:val="22"/>
      <w:lang w:val="en-CA"/>
    </w:rPr>
  </w:style>
  <w:style w:type="paragraph" w:customStyle="1" w:styleId="Caption-Figure">
    <w:name w:val="Caption - Figure"/>
    <w:basedOn w:val="Normal"/>
    <w:qFormat/>
    <w:rsid w:val="00DA6343"/>
    <w:pPr>
      <w:keepLines/>
      <w:spacing w:after="240"/>
    </w:pPr>
    <w:rPr>
      <w:i/>
      <w:sz w:val="20"/>
    </w:rPr>
  </w:style>
  <w:style w:type="paragraph" w:customStyle="1" w:styleId="Caption-Table">
    <w:name w:val="Caption - Table"/>
    <w:basedOn w:val="Normal"/>
    <w:qFormat/>
    <w:rsid w:val="00DA6343"/>
    <w:pPr>
      <w:keepNext/>
      <w:keepLines/>
      <w:spacing w:before="240"/>
    </w:pPr>
    <w:rPr>
      <w:i/>
      <w:sz w:val="20"/>
      <w:lang w:val="en-CA"/>
    </w:rPr>
  </w:style>
  <w:style w:type="paragraph" w:customStyle="1" w:styleId="citation">
    <w:name w:val="citation"/>
    <w:basedOn w:val="Normal"/>
    <w:qFormat/>
    <w:rsid w:val="00DA6343"/>
    <w:pPr>
      <w:keepLines/>
      <w:ind w:left="360" w:hanging="360"/>
    </w:pPr>
    <w:rPr>
      <w:szCs w:val="22"/>
      <w:lang w:val="en-CA"/>
    </w:rPr>
  </w:style>
  <w:style w:type="paragraph" w:customStyle="1" w:styleId="citation-translated">
    <w:name w:val="citation - translated"/>
    <w:basedOn w:val="citation"/>
    <w:qFormat/>
    <w:rsid w:val="00DA6343"/>
    <w:rPr>
      <w:i/>
    </w:rPr>
  </w:style>
  <w:style w:type="paragraph" w:customStyle="1" w:styleId="CoverPageHeaderCSAS">
    <w:name w:val="Cover Page: Header (CSAS)"/>
    <w:basedOn w:val="Normal"/>
    <w:rsid w:val="00DA6343"/>
    <w:pPr>
      <w:pBdr>
        <w:bottom w:val="single" w:sz="4" w:space="1" w:color="auto"/>
      </w:pBdr>
    </w:pPr>
    <w:rPr>
      <w:b/>
      <w:szCs w:val="24"/>
    </w:rPr>
  </w:style>
  <w:style w:type="paragraph" w:customStyle="1" w:styleId="CoverPageHeaderseries">
    <w:name w:val="Cover Page: Header (series"/>
    <w:aliases w:val="number,region)"/>
    <w:basedOn w:val="Normal"/>
    <w:rsid w:val="00DA6343"/>
    <w:rPr>
      <w:b/>
      <w:szCs w:val="24"/>
    </w:rPr>
  </w:style>
  <w:style w:type="paragraph" w:customStyle="1" w:styleId="CoverAddress">
    <w:name w:val="Cover: Address"/>
    <w:basedOn w:val="Normal"/>
    <w:link w:val="CoverAddressChar"/>
    <w:qFormat/>
    <w:rsid w:val="00DA6343"/>
    <w:pPr>
      <w:jc w:val="center"/>
    </w:pPr>
  </w:style>
  <w:style w:type="character" w:customStyle="1" w:styleId="CoverAddressChar">
    <w:name w:val="Cover: Address Char"/>
    <w:link w:val="CoverAddress"/>
    <w:rsid w:val="00DA6343"/>
    <w:rPr>
      <w:rFonts w:ascii="Arial" w:hAnsi="Arial"/>
      <w:sz w:val="22"/>
      <w:lang w:val="en-US"/>
    </w:rPr>
  </w:style>
  <w:style w:type="paragraph" w:customStyle="1" w:styleId="CoverAuthor">
    <w:name w:val="Cover: Author"/>
    <w:basedOn w:val="Normal"/>
    <w:link w:val="CoverAuthorChar"/>
    <w:qFormat/>
    <w:rsid w:val="00DA6343"/>
    <w:pPr>
      <w:spacing w:before="480" w:after="480"/>
      <w:jc w:val="center"/>
    </w:pPr>
  </w:style>
  <w:style w:type="character" w:customStyle="1" w:styleId="CoverAuthorChar">
    <w:name w:val="Cover: Author Char"/>
    <w:link w:val="CoverAuthor"/>
    <w:rsid w:val="00DA6343"/>
    <w:rPr>
      <w:rFonts w:ascii="Arial" w:hAnsi="Arial"/>
      <w:sz w:val="22"/>
      <w:lang w:val="en-US"/>
    </w:rPr>
  </w:style>
  <w:style w:type="paragraph" w:customStyle="1" w:styleId="CoverDocumenttitle">
    <w:name w:val="Cover: Document title"/>
    <w:basedOn w:val="Normal"/>
    <w:qFormat/>
    <w:rsid w:val="00DA6343"/>
    <w:pPr>
      <w:spacing w:before="0" w:after="480"/>
      <w:jc w:val="center"/>
    </w:pPr>
    <w:rPr>
      <w:b/>
      <w:sz w:val="24"/>
      <w:szCs w:val="24"/>
    </w:rPr>
  </w:style>
  <w:style w:type="character" w:customStyle="1" w:styleId="FootnoteTextChar">
    <w:name w:val="Footnote Text Char"/>
    <w:link w:val="FootnoteText"/>
    <w:uiPriority w:val="99"/>
    <w:semiHidden/>
    <w:rsid w:val="00DA6343"/>
    <w:rPr>
      <w:rFonts w:ascii="Arial" w:hAnsi="Arial"/>
      <w:lang w:val="en-US"/>
    </w:rPr>
  </w:style>
  <w:style w:type="paragraph" w:customStyle="1" w:styleId="ForewordPublishedby2ndpage">
    <w:name w:val="Foreword &amp; Published by (2nd page)"/>
    <w:basedOn w:val="Normal"/>
    <w:rsid w:val="00DA6343"/>
    <w:pPr>
      <w:spacing w:before="360"/>
      <w:jc w:val="center"/>
    </w:pPr>
    <w:rPr>
      <w:rFonts w:ascii="Arial Bold" w:hAnsi="Arial Bold"/>
      <w:b/>
      <w:bCs/>
      <w:szCs w:val="22"/>
    </w:rPr>
  </w:style>
  <w:style w:type="character" w:customStyle="1" w:styleId="Heading1Char">
    <w:name w:val="Heading 1 Char"/>
    <w:basedOn w:val="DefaultParagraphFont"/>
    <w:link w:val="Heading1"/>
    <w:rsid w:val="00DA6343"/>
    <w:rPr>
      <w:rFonts w:ascii="Arial Bold" w:hAnsi="Arial Bold"/>
      <w:b/>
      <w:caps/>
      <w:sz w:val="24"/>
      <w:lang w:val="en-CA"/>
    </w:rPr>
  </w:style>
  <w:style w:type="character" w:customStyle="1" w:styleId="Heading3Char">
    <w:name w:val="Heading 3 Char"/>
    <w:basedOn w:val="DefaultParagraphFont"/>
    <w:link w:val="Heading3"/>
    <w:rsid w:val="0025585E"/>
    <w:rPr>
      <w:rFonts w:ascii="Arial" w:hAnsi="Arial"/>
      <w:b/>
      <w:bCs/>
      <w:iCs/>
      <w:color w:val="000000" w:themeColor="text1"/>
      <w:sz w:val="22"/>
      <w:szCs w:val="22"/>
    </w:rPr>
  </w:style>
  <w:style w:type="character" w:customStyle="1" w:styleId="Heading4Char">
    <w:name w:val="Heading 4 Char"/>
    <w:basedOn w:val="DefaultParagraphFont"/>
    <w:link w:val="Heading4"/>
    <w:rsid w:val="00DA6343"/>
    <w:rPr>
      <w:rFonts w:ascii="Arial" w:hAnsi="Arial"/>
      <w:b/>
      <w:bCs/>
      <w:sz w:val="22"/>
      <w:szCs w:val="28"/>
      <w:lang w:val="en-US"/>
    </w:rPr>
  </w:style>
  <w:style w:type="character" w:customStyle="1" w:styleId="Heading5Char">
    <w:name w:val="Heading 5 Char"/>
    <w:basedOn w:val="DefaultParagraphFont"/>
    <w:link w:val="Heading5"/>
    <w:rsid w:val="00DA6343"/>
    <w:rPr>
      <w:rFonts w:ascii="Arial" w:hAnsi="Arial"/>
      <w:bCs/>
      <w:i/>
      <w:iCs/>
      <w:sz w:val="22"/>
      <w:szCs w:val="26"/>
      <w:lang w:val="en-US"/>
    </w:rPr>
  </w:style>
  <w:style w:type="paragraph" w:styleId="ListBullet">
    <w:name w:val="List Bullet"/>
    <w:basedOn w:val="Normal"/>
    <w:rsid w:val="00DA6343"/>
    <w:pPr>
      <w:numPr>
        <w:numId w:val="34"/>
      </w:numPr>
      <w:spacing w:before="0"/>
    </w:pPr>
  </w:style>
  <w:style w:type="paragraph" w:styleId="ListBullet2">
    <w:name w:val="List Bullet 2"/>
    <w:basedOn w:val="Normal"/>
    <w:unhideWhenUsed/>
    <w:rsid w:val="00DA6343"/>
    <w:pPr>
      <w:tabs>
        <w:tab w:val="left" w:pos="720"/>
      </w:tabs>
      <w:spacing w:before="0"/>
      <w:contextualSpacing/>
    </w:pPr>
  </w:style>
  <w:style w:type="paragraph" w:styleId="ListNumber">
    <w:name w:val="List Number"/>
    <w:basedOn w:val="Normal"/>
    <w:unhideWhenUsed/>
    <w:rsid w:val="00DA6343"/>
    <w:pPr>
      <w:spacing w:before="0"/>
    </w:pPr>
  </w:style>
  <w:style w:type="paragraph" w:styleId="ListNumber2">
    <w:name w:val="List Number 2"/>
    <w:basedOn w:val="Normal"/>
    <w:unhideWhenUsed/>
    <w:rsid w:val="00DA6343"/>
    <w:pPr>
      <w:spacing w:before="0"/>
    </w:pPr>
  </w:style>
  <w:style w:type="paragraph" w:customStyle="1" w:styleId="TABLEOFCONTENTS">
    <w:name w:val="TABLE OF CONTENTS"/>
    <w:basedOn w:val="ForewordPublishedby2ndpage"/>
    <w:rsid w:val="00DA6343"/>
    <w:rPr>
      <w:rFonts w:ascii="Arial" w:hAnsi="Arial"/>
      <w:caps/>
      <w:sz w:val="24"/>
      <w:lang w:val="en-CA"/>
    </w:rPr>
  </w:style>
  <w:style w:type="paragraph" w:styleId="TOC1">
    <w:name w:val="toc 1"/>
    <w:basedOn w:val="Normal"/>
    <w:next w:val="Normal"/>
    <w:autoRedefine/>
    <w:uiPriority w:val="39"/>
    <w:rsid w:val="00DA6343"/>
    <w:pPr>
      <w:tabs>
        <w:tab w:val="right" w:leader="dot" w:pos="9356"/>
      </w:tabs>
      <w:spacing w:after="60"/>
    </w:pPr>
    <w:rPr>
      <w:caps/>
    </w:rPr>
  </w:style>
  <w:style w:type="paragraph" w:styleId="TOC2">
    <w:name w:val="toc 2"/>
    <w:basedOn w:val="Normal"/>
    <w:next w:val="Normal"/>
    <w:autoRedefine/>
    <w:uiPriority w:val="39"/>
    <w:rsid w:val="00DA6343"/>
    <w:pPr>
      <w:tabs>
        <w:tab w:val="right" w:leader="dot" w:pos="9350"/>
      </w:tabs>
      <w:spacing w:before="60" w:after="60"/>
      <w:ind w:left="240"/>
    </w:pPr>
    <w:rPr>
      <w:caps/>
    </w:rPr>
  </w:style>
  <w:style w:type="paragraph" w:styleId="TOC3">
    <w:name w:val="toc 3"/>
    <w:basedOn w:val="Normal"/>
    <w:next w:val="Normal"/>
    <w:autoRedefine/>
    <w:uiPriority w:val="39"/>
    <w:rsid w:val="00DA6343"/>
    <w:pPr>
      <w:spacing w:before="60" w:after="60"/>
      <w:ind w:left="480"/>
    </w:pPr>
    <w:rPr>
      <w:szCs w:val="22"/>
    </w:rPr>
  </w:style>
  <w:style w:type="paragraph" w:styleId="TOCHeading">
    <w:name w:val="TOC Heading"/>
    <w:basedOn w:val="Heading1"/>
    <w:next w:val="Normal"/>
    <w:uiPriority w:val="39"/>
    <w:unhideWhenUsed/>
    <w:qFormat/>
    <w:rsid w:val="00DA6343"/>
    <w:pPr>
      <w:keepLines/>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lang w:val="en-US"/>
    </w:rPr>
  </w:style>
  <w:style w:type="paragraph" w:customStyle="1" w:styleId="TranslatedTitle">
    <w:name w:val="Translated Title"/>
    <w:basedOn w:val="Normal"/>
    <w:qFormat/>
    <w:rsid w:val="00DA6343"/>
    <w:pPr>
      <w:spacing w:before="240"/>
      <w:jc w:val="center"/>
    </w:pPr>
    <w:rPr>
      <w:b/>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903">
      <w:bodyDiv w:val="1"/>
      <w:marLeft w:val="0"/>
      <w:marRight w:val="0"/>
      <w:marTop w:val="0"/>
      <w:marBottom w:val="0"/>
      <w:divBdr>
        <w:top w:val="none" w:sz="0" w:space="0" w:color="auto"/>
        <w:left w:val="none" w:sz="0" w:space="0" w:color="auto"/>
        <w:bottom w:val="none" w:sz="0" w:space="0" w:color="auto"/>
        <w:right w:val="none" w:sz="0" w:space="0" w:color="auto"/>
      </w:divBdr>
      <w:divsChild>
        <w:div w:id="1188984350">
          <w:marLeft w:val="0"/>
          <w:marRight w:val="0"/>
          <w:marTop w:val="0"/>
          <w:marBottom w:val="0"/>
          <w:divBdr>
            <w:top w:val="none" w:sz="0" w:space="0" w:color="auto"/>
            <w:left w:val="none" w:sz="0" w:space="0" w:color="auto"/>
            <w:bottom w:val="none" w:sz="0" w:space="0" w:color="auto"/>
            <w:right w:val="none" w:sz="0" w:space="0" w:color="auto"/>
          </w:divBdr>
        </w:div>
      </w:divsChild>
    </w:div>
    <w:div w:id="85925906">
      <w:bodyDiv w:val="1"/>
      <w:marLeft w:val="0"/>
      <w:marRight w:val="0"/>
      <w:marTop w:val="0"/>
      <w:marBottom w:val="0"/>
      <w:divBdr>
        <w:top w:val="none" w:sz="0" w:space="0" w:color="auto"/>
        <w:left w:val="none" w:sz="0" w:space="0" w:color="auto"/>
        <w:bottom w:val="none" w:sz="0" w:space="0" w:color="auto"/>
        <w:right w:val="none" w:sz="0" w:space="0" w:color="auto"/>
      </w:divBdr>
    </w:div>
    <w:div w:id="96950510">
      <w:bodyDiv w:val="1"/>
      <w:marLeft w:val="0"/>
      <w:marRight w:val="0"/>
      <w:marTop w:val="0"/>
      <w:marBottom w:val="0"/>
      <w:divBdr>
        <w:top w:val="none" w:sz="0" w:space="0" w:color="auto"/>
        <w:left w:val="none" w:sz="0" w:space="0" w:color="auto"/>
        <w:bottom w:val="none" w:sz="0" w:space="0" w:color="auto"/>
        <w:right w:val="none" w:sz="0" w:space="0" w:color="auto"/>
      </w:divBdr>
    </w:div>
    <w:div w:id="100808846">
      <w:bodyDiv w:val="1"/>
      <w:marLeft w:val="0"/>
      <w:marRight w:val="0"/>
      <w:marTop w:val="0"/>
      <w:marBottom w:val="0"/>
      <w:divBdr>
        <w:top w:val="none" w:sz="0" w:space="0" w:color="auto"/>
        <w:left w:val="none" w:sz="0" w:space="0" w:color="auto"/>
        <w:bottom w:val="none" w:sz="0" w:space="0" w:color="auto"/>
        <w:right w:val="none" w:sz="0" w:space="0" w:color="auto"/>
      </w:divBdr>
    </w:div>
    <w:div w:id="103958947">
      <w:bodyDiv w:val="1"/>
      <w:marLeft w:val="0"/>
      <w:marRight w:val="0"/>
      <w:marTop w:val="0"/>
      <w:marBottom w:val="0"/>
      <w:divBdr>
        <w:top w:val="none" w:sz="0" w:space="0" w:color="auto"/>
        <w:left w:val="none" w:sz="0" w:space="0" w:color="auto"/>
        <w:bottom w:val="none" w:sz="0" w:space="0" w:color="auto"/>
        <w:right w:val="none" w:sz="0" w:space="0" w:color="auto"/>
      </w:divBdr>
    </w:div>
    <w:div w:id="147750843">
      <w:bodyDiv w:val="1"/>
      <w:marLeft w:val="0"/>
      <w:marRight w:val="0"/>
      <w:marTop w:val="0"/>
      <w:marBottom w:val="0"/>
      <w:divBdr>
        <w:top w:val="none" w:sz="0" w:space="0" w:color="auto"/>
        <w:left w:val="none" w:sz="0" w:space="0" w:color="auto"/>
        <w:bottom w:val="none" w:sz="0" w:space="0" w:color="auto"/>
        <w:right w:val="none" w:sz="0" w:space="0" w:color="auto"/>
      </w:divBdr>
    </w:div>
    <w:div w:id="161942949">
      <w:bodyDiv w:val="1"/>
      <w:marLeft w:val="0"/>
      <w:marRight w:val="0"/>
      <w:marTop w:val="0"/>
      <w:marBottom w:val="0"/>
      <w:divBdr>
        <w:top w:val="none" w:sz="0" w:space="0" w:color="auto"/>
        <w:left w:val="none" w:sz="0" w:space="0" w:color="auto"/>
        <w:bottom w:val="none" w:sz="0" w:space="0" w:color="auto"/>
        <w:right w:val="none" w:sz="0" w:space="0" w:color="auto"/>
      </w:divBdr>
    </w:div>
    <w:div w:id="187761665">
      <w:bodyDiv w:val="1"/>
      <w:marLeft w:val="0"/>
      <w:marRight w:val="0"/>
      <w:marTop w:val="0"/>
      <w:marBottom w:val="0"/>
      <w:divBdr>
        <w:top w:val="none" w:sz="0" w:space="0" w:color="auto"/>
        <w:left w:val="none" w:sz="0" w:space="0" w:color="auto"/>
        <w:bottom w:val="none" w:sz="0" w:space="0" w:color="auto"/>
        <w:right w:val="none" w:sz="0" w:space="0" w:color="auto"/>
      </w:divBdr>
    </w:div>
    <w:div w:id="194779945">
      <w:bodyDiv w:val="1"/>
      <w:marLeft w:val="0"/>
      <w:marRight w:val="0"/>
      <w:marTop w:val="0"/>
      <w:marBottom w:val="0"/>
      <w:divBdr>
        <w:top w:val="none" w:sz="0" w:space="0" w:color="auto"/>
        <w:left w:val="none" w:sz="0" w:space="0" w:color="auto"/>
        <w:bottom w:val="none" w:sz="0" w:space="0" w:color="auto"/>
        <w:right w:val="none" w:sz="0" w:space="0" w:color="auto"/>
      </w:divBdr>
    </w:div>
    <w:div w:id="195123701">
      <w:bodyDiv w:val="1"/>
      <w:marLeft w:val="0"/>
      <w:marRight w:val="0"/>
      <w:marTop w:val="0"/>
      <w:marBottom w:val="0"/>
      <w:divBdr>
        <w:top w:val="none" w:sz="0" w:space="0" w:color="auto"/>
        <w:left w:val="none" w:sz="0" w:space="0" w:color="auto"/>
        <w:bottom w:val="none" w:sz="0" w:space="0" w:color="auto"/>
        <w:right w:val="none" w:sz="0" w:space="0" w:color="auto"/>
      </w:divBdr>
    </w:div>
    <w:div w:id="218244615">
      <w:bodyDiv w:val="1"/>
      <w:marLeft w:val="0"/>
      <w:marRight w:val="0"/>
      <w:marTop w:val="0"/>
      <w:marBottom w:val="0"/>
      <w:divBdr>
        <w:top w:val="none" w:sz="0" w:space="0" w:color="auto"/>
        <w:left w:val="none" w:sz="0" w:space="0" w:color="auto"/>
        <w:bottom w:val="none" w:sz="0" w:space="0" w:color="auto"/>
        <w:right w:val="none" w:sz="0" w:space="0" w:color="auto"/>
      </w:divBdr>
    </w:div>
    <w:div w:id="222563597">
      <w:bodyDiv w:val="1"/>
      <w:marLeft w:val="0"/>
      <w:marRight w:val="0"/>
      <w:marTop w:val="0"/>
      <w:marBottom w:val="0"/>
      <w:divBdr>
        <w:top w:val="none" w:sz="0" w:space="0" w:color="auto"/>
        <w:left w:val="none" w:sz="0" w:space="0" w:color="auto"/>
        <w:bottom w:val="none" w:sz="0" w:space="0" w:color="auto"/>
        <w:right w:val="none" w:sz="0" w:space="0" w:color="auto"/>
      </w:divBdr>
    </w:div>
    <w:div w:id="325598346">
      <w:bodyDiv w:val="1"/>
      <w:marLeft w:val="0"/>
      <w:marRight w:val="0"/>
      <w:marTop w:val="0"/>
      <w:marBottom w:val="0"/>
      <w:divBdr>
        <w:top w:val="none" w:sz="0" w:space="0" w:color="auto"/>
        <w:left w:val="none" w:sz="0" w:space="0" w:color="auto"/>
        <w:bottom w:val="none" w:sz="0" w:space="0" w:color="auto"/>
        <w:right w:val="none" w:sz="0" w:space="0" w:color="auto"/>
      </w:divBdr>
    </w:div>
    <w:div w:id="332924208">
      <w:bodyDiv w:val="1"/>
      <w:marLeft w:val="0"/>
      <w:marRight w:val="0"/>
      <w:marTop w:val="0"/>
      <w:marBottom w:val="0"/>
      <w:divBdr>
        <w:top w:val="none" w:sz="0" w:space="0" w:color="auto"/>
        <w:left w:val="none" w:sz="0" w:space="0" w:color="auto"/>
        <w:bottom w:val="none" w:sz="0" w:space="0" w:color="auto"/>
        <w:right w:val="none" w:sz="0" w:space="0" w:color="auto"/>
      </w:divBdr>
    </w:div>
    <w:div w:id="346251676">
      <w:bodyDiv w:val="1"/>
      <w:marLeft w:val="0"/>
      <w:marRight w:val="0"/>
      <w:marTop w:val="0"/>
      <w:marBottom w:val="0"/>
      <w:divBdr>
        <w:top w:val="none" w:sz="0" w:space="0" w:color="auto"/>
        <w:left w:val="none" w:sz="0" w:space="0" w:color="auto"/>
        <w:bottom w:val="none" w:sz="0" w:space="0" w:color="auto"/>
        <w:right w:val="none" w:sz="0" w:space="0" w:color="auto"/>
      </w:divBdr>
    </w:div>
    <w:div w:id="360203634">
      <w:bodyDiv w:val="1"/>
      <w:marLeft w:val="0"/>
      <w:marRight w:val="0"/>
      <w:marTop w:val="0"/>
      <w:marBottom w:val="0"/>
      <w:divBdr>
        <w:top w:val="none" w:sz="0" w:space="0" w:color="auto"/>
        <w:left w:val="none" w:sz="0" w:space="0" w:color="auto"/>
        <w:bottom w:val="none" w:sz="0" w:space="0" w:color="auto"/>
        <w:right w:val="none" w:sz="0" w:space="0" w:color="auto"/>
      </w:divBdr>
      <w:divsChild>
        <w:div w:id="90319706">
          <w:marLeft w:val="0"/>
          <w:marRight w:val="0"/>
          <w:marTop w:val="0"/>
          <w:marBottom w:val="0"/>
          <w:divBdr>
            <w:top w:val="none" w:sz="0" w:space="0" w:color="auto"/>
            <w:left w:val="none" w:sz="0" w:space="0" w:color="auto"/>
            <w:bottom w:val="none" w:sz="0" w:space="0" w:color="auto"/>
            <w:right w:val="none" w:sz="0" w:space="0" w:color="auto"/>
          </w:divBdr>
        </w:div>
        <w:div w:id="230581185">
          <w:marLeft w:val="0"/>
          <w:marRight w:val="0"/>
          <w:marTop w:val="0"/>
          <w:marBottom w:val="0"/>
          <w:divBdr>
            <w:top w:val="none" w:sz="0" w:space="0" w:color="auto"/>
            <w:left w:val="none" w:sz="0" w:space="0" w:color="auto"/>
            <w:bottom w:val="none" w:sz="0" w:space="0" w:color="auto"/>
            <w:right w:val="none" w:sz="0" w:space="0" w:color="auto"/>
          </w:divBdr>
        </w:div>
        <w:div w:id="586235328">
          <w:marLeft w:val="0"/>
          <w:marRight w:val="0"/>
          <w:marTop w:val="0"/>
          <w:marBottom w:val="0"/>
          <w:divBdr>
            <w:top w:val="none" w:sz="0" w:space="0" w:color="auto"/>
            <w:left w:val="none" w:sz="0" w:space="0" w:color="auto"/>
            <w:bottom w:val="none" w:sz="0" w:space="0" w:color="auto"/>
            <w:right w:val="none" w:sz="0" w:space="0" w:color="auto"/>
          </w:divBdr>
        </w:div>
        <w:div w:id="589850453">
          <w:marLeft w:val="0"/>
          <w:marRight w:val="0"/>
          <w:marTop w:val="0"/>
          <w:marBottom w:val="0"/>
          <w:divBdr>
            <w:top w:val="none" w:sz="0" w:space="0" w:color="auto"/>
            <w:left w:val="none" w:sz="0" w:space="0" w:color="auto"/>
            <w:bottom w:val="none" w:sz="0" w:space="0" w:color="auto"/>
            <w:right w:val="none" w:sz="0" w:space="0" w:color="auto"/>
          </w:divBdr>
        </w:div>
        <w:div w:id="812478709">
          <w:marLeft w:val="0"/>
          <w:marRight w:val="0"/>
          <w:marTop w:val="0"/>
          <w:marBottom w:val="0"/>
          <w:divBdr>
            <w:top w:val="none" w:sz="0" w:space="0" w:color="auto"/>
            <w:left w:val="none" w:sz="0" w:space="0" w:color="auto"/>
            <w:bottom w:val="none" w:sz="0" w:space="0" w:color="auto"/>
            <w:right w:val="none" w:sz="0" w:space="0" w:color="auto"/>
          </w:divBdr>
        </w:div>
        <w:div w:id="1009984077">
          <w:marLeft w:val="0"/>
          <w:marRight w:val="0"/>
          <w:marTop w:val="0"/>
          <w:marBottom w:val="0"/>
          <w:divBdr>
            <w:top w:val="none" w:sz="0" w:space="0" w:color="auto"/>
            <w:left w:val="none" w:sz="0" w:space="0" w:color="auto"/>
            <w:bottom w:val="none" w:sz="0" w:space="0" w:color="auto"/>
            <w:right w:val="none" w:sz="0" w:space="0" w:color="auto"/>
          </w:divBdr>
        </w:div>
        <w:div w:id="1528640903">
          <w:marLeft w:val="0"/>
          <w:marRight w:val="0"/>
          <w:marTop w:val="0"/>
          <w:marBottom w:val="0"/>
          <w:divBdr>
            <w:top w:val="none" w:sz="0" w:space="0" w:color="auto"/>
            <w:left w:val="none" w:sz="0" w:space="0" w:color="auto"/>
            <w:bottom w:val="none" w:sz="0" w:space="0" w:color="auto"/>
            <w:right w:val="none" w:sz="0" w:space="0" w:color="auto"/>
          </w:divBdr>
        </w:div>
        <w:div w:id="1923903901">
          <w:marLeft w:val="0"/>
          <w:marRight w:val="0"/>
          <w:marTop w:val="0"/>
          <w:marBottom w:val="0"/>
          <w:divBdr>
            <w:top w:val="none" w:sz="0" w:space="0" w:color="auto"/>
            <w:left w:val="none" w:sz="0" w:space="0" w:color="auto"/>
            <w:bottom w:val="none" w:sz="0" w:space="0" w:color="auto"/>
            <w:right w:val="none" w:sz="0" w:space="0" w:color="auto"/>
          </w:divBdr>
        </w:div>
        <w:div w:id="1954751144">
          <w:marLeft w:val="0"/>
          <w:marRight w:val="0"/>
          <w:marTop w:val="0"/>
          <w:marBottom w:val="0"/>
          <w:divBdr>
            <w:top w:val="none" w:sz="0" w:space="0" w:color="auto"/>
            <w:left w:val="none" w:sz="0" w:space="0" w:color="auto"/>
            <w:bottom w:val="none" w:sz="0" w:space="0" w:color="auto"/>
            <w:right w:val="none" w:sz="0" w:space="0" w:color="auto"/>
          </w:divBdr>
        </w:div>
      </w:divsChild>
    </w:div>
    <w:div w:id="362362517">
      <w:bodyDiv w:val="1"/>
      <w:marLeft w:val="0"/>
      <w:marRight w:val="0"/>
      <w:marTop w:val="0"/>
      <w:marBottom w:val="0"/>
      <w:divBdr>
        <w:top w:val="none" w:sz="0" w:space="0" w:color="auto"/>
        <w:left w:val="none" w:sz="0" w:space="0" w:color="auto"/>
        <w:bottom w:val="none" w:sz="0" w:space="0" w:color="auto"/>
        <w:right w:val="none" w:sz="0" w:space="0" w:color="auto"/>
      </w:divBdr>
    </w:div>
    <w:div w:id="362946528">
      <w:bodyDiv w:val="1"/>
      <w:marLeft w:val="0"/>
      <w:marRight w:val="0"/>
      <w:marTop w:val="0"/>
      <w:marBottom w:val="0"/>
      <w:divBdr>
        <w:top w:val="none" w:sz="0" w:space="0" w:color="auto"/>
        <w:left w:val="none" w:sz="0" w:space="0" w:color="auto"/>
        <w:bottom w:val="none" w:sz="0" w:space="0" w:color="auto"/>
        <w:right w:val="none" w:sz="0" w:space="0" w:color="auto"/>
      </w:divBdr>
    </w:div>
    <w:div w:id="365642843">
      <w:bodyDiv w:val="1"/>
      <w:marLeft w:val="0"/>
      <w:marRight w:val="0"/>
      <w:marTop w:val="0"/>
      <w:marBottom w:val="0"/>
      <w:divBdr>
        <w:top w:val="none" w:sz="0" w:space="0" w:color="auto"/>
        <w:left w:val="none" w:sz="0" w:space="0" w:color="auto"/>
        <w:bottom w:val="none" w:sz="0" w:space="0" w:color="auto"/>
        <w:right w:val="none" w:sz="0" w:space="0" w:color="auto"/>
      </w:divBdr>
    </w:div>
    <w:div w:id="375816171">
      <w:bodyDiv w:val="1"/>
      <w:marLeft w:val="0"/>
      <w:marRight w:val="0"/>
      <w:marTop w:val="0"/>
      <w:marBottom w:val="0"/>
      <w:divBdr>
        <w:top w:val="none" w:sz="0" w:space="0" w:color="auto"/>
        <w:left w:val="none" w:sz="0" w:space="0" w:color="auto"/>
        <w:bottom w:val="none" w:sz="0" w:space="0" w:color="auto"/>
        <w:right w:val="none" w:sz="0" w:space="0" w:color="auto"/>
      </w:divBdr>
    </w:div>
    <w:div w:id="384988534">
      <w:bodyDiv w:val="1"/>
      <w:marLeft w:val="0"/>
      <w:marRight w:val="0"/>
      <w:marTop w:val="0"/>
      <w:marBottom w:val="0"/>
      <w:divBdr>
        <w:top w:val="none" w:sz="0" w:space="0" w:color="auto"/>
        <w:left w:val="none" w:sz="0" w:space="0" w:color="auto"/>
        <w:bottom w:val="none" w:sz="0" w:space="0" w:color="auto"/>
        <w:right w:val="none" w:sz="0" w:space="0" w:color="auto"/>
      </w:divBdr>
    </w:div>
    <w:div w:id="385375515">
      <w:bodyDiv w:val="1"/>
      <w:marLeft w:val="0"/>
      <w:marRight w:val="0"/>
      <w:marTop w:val="0"/>
      <w:marBottom w:val="0"/>
      <w:divBdr>
        <w:top w:val="none" w:sz="0" w:space="0" w:color="auto"/>
        <w:left w:val="none" w:sz="0" w:space="0" w:color="auto"/>
        <w:bottom w:val="none" w:sz="0" w:space="0" w:color="auto"/>
        <w:right w:val="none" w:sz="0" w:space="0" w:color="auto"/>
      </w:divBdr>
    </w:div>
    <w:div w:id="388263208">
      <w:bodyDiv w:val="1"/>
      <w:marLeft w:val="0"/>
      <w:marRight w:val="0"/>
      <w:marTop w:val="0"/>
      <w:marBottom w:val="0"/>
      <w:divBdr>
        <w:top w:val="none" w:sz="0" w:space="0" w:color="auto"/>
        <w:left w:val="none" w:sz="0" w:space="0" w:color="auto"/>
        <w:bottom w:val="none" w:sz="0" w:space="0" w:color="auto"/>
        <w:right w:val="none" w:sz="0" w:space="0" w:color="auto"/>
      </w:divBdr>
    </w:div>
    <w:div w:id="398208726">
      <w:bodyDiv w:val="1"/>
      <w:marLeft w:val="0"/>
      <w:marRight w:val="0"/>
      <w:marTop w:val="0"/>
      <w:marBottom w:val="0"/>
      <w:divBdr>
        <w:top w:val="none" w:sz="0" w:space="0" w:color="auto"/>
        <w:left w:val="none" w:sz="0" w:space="0" w:color="auto"/>
        <w:bottom w:val="none" w:sz="0" w:space="0" w:color="auto"/>
        <w:right w:val="none" w:sz="0" w:space="0" w:color="auto"/>
      </w:divBdr>
    </w:div>
    <w:div w:id="400182836">
      <w:bodyDiv w:val="1"/>
      <w:marLeft w:val="0"/>
      <w:marRight w:val="0"/>
      <w:marTop w:val="0"/>
      <w:marBottom w:val="0"/>
      <w:divBdr>
        <w:top w:val="none" w:sz="0" w:space="0" w:color="auto"/>
        <w:left w:val="none" w:sz="0" w:space="0" w:color="auto"/>
        <w:bottom w:val="none" w:sz="0" w:space="0" w:color="auto"/>
        <w:right w:val="none" w:sz="0" w:space="0" w:color="auto"/>
      </w:divBdr>
    </w:div>
    <w:div w:id="407850604">
      <w:bodyDiv w:val="1"/>
      <w:marLeft w:val="0"/>
      <w:marRight w:val="0"/>
      <w:marTop w:val="0"/>
      <w:marBottom w:val="0"/>
      <w:divBdr>
        <w:top w:val="none" w:sz="0" w:space="0" w:color="auto"/>
        <w:left w:val="none" w:sz="0" w:space="0" w:color="auto"/>
        <w:bottom w:val="none" w:sz="0" w:space="0" w:color="auto"/>
        <w:right w:val="none" w:sz="0" w:space="0" w:color="auto"/>
      </w:divBdr>
    </w:div>
    <w:div w:id="414401651">
      <w:bodyDiv w:val="1"/>
      <w:marLeft w:val="0"/>
      <w:marRight w:val="0"/>
      <w:marTop w:val="0"/>
      <w:marBottom w:val="0"/>
      <w:divBdr>
        <w:top w:val="none" w:sz="0" w:space="0" w:color="auto"/>
        <w:left w:val="none" w:sz="0" w:space="0" w:color="auto"/>
        <w:bottom w:val="none" w:sz="0" w:space="0" w:color="auto"/>
        <w:right w:val="none" w:sz="0" w:space="0" w:color="auto"/>
      </w:divBdr>
    </w:div>
    <w:div w:id="433013992">
      <w:bodyDiv w:val="1"/>
      <w:marLeft w:val="0"/>
      <w:marRight w:val="0"/>
      <w:marTop w:val="0"/>
      <w:marBottom w:val="0"/>
      <w:divBdr>
        <w:top w:val="none" w:sz="0" w:space="0" w:color="auto"/>
        <w:left w:val="none" w:sz="0" w:space="0" w:color="auto"/>
        <w:bottom w:val="none" w:sz="0" w:space="0" w:color="auto"/>
        <w:right w:val="none" w:sz="0" w:space="0" w:color="auto"/>
      </w:divBdr>
    </w:div>
    <w:div w:id="448476236">
      <w:bodyDiv w:val="1"/>
      <w:marLeft w:val="0"/>
      <w:marRight w:val="0"/>
      <w:marTop w:val="0"/>
      <w:marBottom w:val="0"/>
      <w:divBdr>
        <w:top w:val="none" w:sz="0" w:space="0" w:color="auto"/>
        <w:left w:val="none" w:sz="0" w:space="0" w:color="auto"/>
        <w:bottom w:val="none" w:sz="0" w:space="0" w:color="auto"/>
        <w:right w:val="none" w:sz="0" w:space="0" w:color="auto"/>
      </w:divBdr>
    </w:div>
    <w:div w:id="460467057">
      <w:bodyDiv w:val="1"/>
      <w:marLeft w:val="0"/>
      <w:marRight w:val="0"/>
      <w:marTop w:val="0"/>
      <w:marBottom w:val="0"/>
      <w:divBdr>
        <w:top w:val="none" w:sz="0" w:space="0" w:color="auto"/>
        <w:left w:val="none" w:sz="0" w:space="0" w:color="auto"/>
        <w:bottom w:val="none" w:sz="0" w:space="0" w:color="auto"/>
        <w:right w:val="none" w:sz="0" w:space="0" w:color="auto"/>
      </w:divBdr>
    </w:div>
    <w:div w:id="465514706">
      <w:bodyDiv w:val="1"/>
      <w:marLeft w:val="0"/>
      <w:marRight w:val="0"/>
      <w:marTop w:val="0"/>
      <w:marBottom w:val="0"/>
      <w:divBdr>
        <w:top w:val="none" w:sz="0" w:space="0" w:color="auto"/>
        <w:left w:val="none" w:sz="0" w:space="0" w:color="auto"/>
        <w:bottom w:val="none" w:sz="0" w:space="0" w:color="auto"/>
        <w:right w:val="none" w:sz="0" w:space="0" w:color="auto"/>
      </w:divBdr>
    </w:div>
    <w:div w:id="466095834">
      <w:bodyDiv w:val="1"/>
      <w:marLeft w:val="0"/>
      <w:marRight w:val="0"/>
      <w:marTop w:val="0"/>
      <w:marBottom w:val="0"/>
      <w:divBdr>
        <w:top w:val="none" w:sz="0" w:space="0" w:color="auto"/>
        <w:left w:val="none" w:sz="0" w:space="0" w:color="auto"/>
        <w:bottom w:val="none" w:sz="0" w:space="0" w:color="auto"/>
        <w:right w:val="none" w:sz="0" w:space="0" w:color="auto"/>
      </w:divBdr>
    </w:div>
    <w:div w:id="469903525">
      <w:bodyDiv w:val="1"/>
      <w:marLeft w:val="0"/>
      <w:marRight w:val="0"/>
      <w:marTop w:val="0"/>
      <w:marBottom w:val="0"/>
      <w:divBdr>
        <w:top w:val="none" w:sz="0" w:space="0" w:color="auto"/>
        <w:left w:val="none" w:sz="0" w:space="0" w:color="auto"/>
        <w:bottom w:val="none" w:sz="0" w:space="0" w:color="auto"/>
        <w:right w:val="none" w:sz="0" w:space="0" w:color="auto"/>
      </w:divBdr>
    </w:div>
    <w:div w:id="481700377">
      <w:bodyDiv w:val="1"/>
      <w:marLeft w:val="0"/>
      <w:marRight w:val="0"/>
      <w:marTop w:val="0"/>
      <w:marBottom w:val="0"/>
      <w:divBdr>
        <w:top w:val="none" w:sz="0" w:space="0" w:color="auto"/>
        <w:left w:val="none" w:sz="0" w:space="0" w:color="auto"/>
        <w:bottom w:val="none" w:sz="0" w:space="0" w:color="auto"/>
        <w:right w:val="none" w:sz="0" w:space="0" w:color="auto"/>
      </w:divBdr>
    </w:div>
    <w:div w:id="601760274">
      <w:bodyDiv w:val="1"/>
      <w:marLeft w:val="0"/>
      <w:marRight w:val="0"/>
      <w:marTop w:val="0"/>
      <w:marBottom w:val="0"/>
      <w:divBdr>
        <w:top w:val="none" w:sz="0" w:space="0" w:color="auto"/>
        <w:left w:val="none" w:sz="0" w:space="0" w:color="auto"/>
        <w:bottom w:val="none" w:sz="0" w:space="0" w:color="auto"/>
        <w:right w:val="none" w:sz="0" w:space="0" w:color="auto"/>
      </w:divBdr>
    </w:div>
    <w:div w:id="607856995">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41808536">
      <w:bodyDiv w:val="1"/>
      <w:marLeft w:val="0"/>
      <w:marRight w:val="0"/>
      <w:marTop w:val="0"/>
      <w:marBottom w:val="0"/>
      <w:divBdr>
        <w:top w:val="none" w:sz="0" w:space="0" w:color="auto"/>
        <w:left w:val="none" w:sz="0" w:space="0" w:color="auto"/>
        <w:bottom w:val="none" w:sz="0" w:space="0" w:color="auto"/>
        <w:right w:val="none" w:sz="0" w:space="0" w:color="auto"/>
      </w:divBdr>
    </w:div>
    <w:div w:id="648703949">
      <w:bodyDiv w:val="1"/>
      <w:marLeft w:val="0"/>
      <w:marRight w:val="0"/>
      <w:marTop w:val="0"/>
      <w:marBottom w:val="0"/>
      <w:divBdr>
        <w:top w:val="none" w:sz="0" w:space="0" w:color="auto"/>
        <w:left w:val="none" w:sz="0" w:space="0" w:color="auto"/>
        <w:bottom w:val="none" w:sz="0" w:space="0" w:color="auto"/>
        <w:right w:val="none" w:sz="0" w:space="0" w:color="auto"/>
      </w:divBdr>
    </w:div>
    <w:div w:id="662242605">
      <w:bodyDiv w:val="1"/>
      <w:marLeft w:val="0"/>
      <w:marRight w:val="0"/>
      <w:marTop w:val="0"/>
      <w:marBottom w:val="0"/>
      <w:divBdr>
        <w:top w:val="none" w:sz="0" w:space="0" w:color="auto"/>
        <w:left w:val="none" w:sz="0" w:space="0" w:color="auto"/>
        <w:bottom w:val="none" w:sz="0" w:space="0" w:color="auto"/>
        <w:right w:val="none" w:sz="0" w:space="0" w:color="auto"/>
      </w:divBdr>
    </w:div>
    <w:div w:id="666858082">
      <w:bodyDiv w:val="1"/>
      <w:marLeft w:val="0"/>
      <w:marRight w:val="0"/>
      <w:marTop w:val="0"/>
      <w:marBottom w:val="0"/>
      <w:divBdr>
        <w:top w:val="none" w:sz="0" w:space="0" w:color="auto"/>
        <w:left w:val="none" w:sz="0" w:space="0" w:color="auto"/>
        <w:bottom w:val="none" w:sz="0" w:space="0" w:color="auto"/>
        <w:right w:val="none" w:sz="0" w:space="0" w:color="auto"/>
      </w:divBdr>
    </w:div>
    <w:div w:id="678239799">
      <w:bodyDiv w:val="1"/>
      <w:marLeft w:val="0"/>
      <w:marRight w:val="0"/>
      <w:marTop w:val="0"/>
      <w:marBottom w:val="0"/>
      <w:divBdr>
        <w:top w:val="none" w:sz="0" w:space="0" w:color="auto"/>
        <w:left w:val="none" w:sz="0" w:space="0" w:color="auto"/>
        <w:bottom w:val="none" w:sz="0" w:space="0" w:color="auto"/>
        <w:right w:val="none" w:sz="0" w:space="0" w:color="auto"/>
      </w:divBdr>
    </w:div>
    <w:div w:id="705714947">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14278321">
      <w:bodyDiv w:val="1"/>
      <w:marLeft w:val="0"/>
      <w:marRight w:val="0"/>
      <w:marTop w:val="0"/>
      <w:marBottom w:val="0"/>
      <w:divBdr>
        <w:top w:val="none" w:sz="0" w:space="0" w:color="auto"/>
        <w:left w:val="none" w:sz="0" w:space="0" w:color="auto"/>
        <w:bottom w:val="none" w:sz="0" w:space="0" w:color="auto"/>
        <w:right w:val="none" w:sz="0" w:space="0" w:color="auto"/>
      </w:divBdr>
    </w:div>
    <w:div w:id="722680822">
      <w:bodyDiv w:val="1"/>
      <w:marLeft w:val="0"/>
      <w:marRight w:val="0"/>
      <w:marTop w:val="0"/>
      <w:marBottom w:val="0"/>
      <w:divBdr>
        <w:top w:val="none" w:sz="0" w:space="0" w:color="auto"/>
        <w:left w:val="none" w:sz="0" w:space="0" w:color="auto"/>
        <w:bottom w:val="none" w:sz="0" w:space="0" w:color="auto"/>
        <w:right w:val="none" w:sz="0" w:space="0" w:color="auto"/>
      </w:divBdr>
    </w:div>
    <w:div w:id="722873285">
      <w:bodyDiv w:val="1"/>
      <w:marLeft w:val="0"/>
      <w:marRight w:val="0"/>
      <w:marTop w:val="0"/>
      <w:marBottom w:val="0"/>
      <w:divBdr>
        <w:top w:val="none" w:sz="0" w:space="0" w:color="auto"/>
        <w:left w:val="none" w:sz="0" w:space="0" w:color="auto"/>
        <w:bottom w:val="none" w:sz="0" w:space="0" w:color="auto"/>
        <w:right w:val="none" w:sz="0" w:space="0" w:color="auto"/>
      </w:divBdr>
    </w:div>
    <w:div w:id="733046242">
      <w:bodyDiv w:val="1"/>
      <w:marLeft w:val="0"/>
      <w:marRight w:val="0"/>
      <w:marTop w:val="0"/>
      <w:marBottom w:val="0"/>
      <w:divBdr>
        <w:top w:val="none" w:sz="0" w:space="0" w:color="auto"/>
        <w:left w:val="none" w:sz="0" w:space="0" w:color="auto"/>
        <w:bottom w:val="none" w:sz="0" w:space="0" w:color="auto"/>
        <w:right w:val="none" w:sz="0" w:space="0" w:color="auto"/>
      </w:divBdr>
    </w:div>
    <w:div w:id="736394638">
      <w:bodyDiv w:val="1"/>
      <w:marLeft w:val="0"/>
      <w:marRight w:val="0"/>
      <w:marTop w:val="0"/>
      <w:marBottom w:val="0"/>
      <w:divBdr>
        <w:top w:val="none" w:sz="0" w:space="0" w:color="auto"/>
        <w:left w:val="none" w:sz="0" w:space="0" w:color="auto"/>
        <w:bottom w:val="none" w:sz="0" w:space="0" w:color="auto"/>
        <w:right w:val="none" w:sz="0" w:space="0" w:color="auto"/>
      </w:divBdr>
    </w:div>
    <w:div w:id="744887130">
      <w:bodyDiv w:val="1"/>
      <w:marLeft w:val="0"/>
      <w:marRight w:val="0"/>
      <w:marTop w:val="0"/>
      <w:marBottom w:val="0"/>
      <w:divBdr>
        <w:top w:val="none" w:sz="0" w:space="0" w:color="auto"/>
        <w:left w:val="none" w:sz="0" w:space="0" w:color="auto"/>
        <w:bottom w:val="none" w:sz="0" w:space="0" w:color="auto"/>
        <w:right w:val="none" w:sz="0" w:space="0" w:color="auto"/>
      </w:divBdr>
    </w:div>
    <w:div w:id="770782993">
      <w:bodyDiv w:val="1"/>
      <w:marLeft w:val="0"/>
      <w:marRight w:val="0"/>
      <w:marTop w:val="0"/>
      <w:marBottom w:val="0"/>
      <w:divBdr>
        <w:top w:val="none" w:sz="0" w:space="0" w:color="auto"/>
        <w:left w:val="none" w:sz="0" w:space="0" w:color="auto"/>
        <w:bottom w:val="none" w:sz="0" w:space="0" w:color="auto"/>
        <w:right w:val="none" w:sz="0" w:space="0" w:color="auto"/>
      </w:divBdr>
    </w:div>
    <w:div w:id="788355389">
      <w:bodyDiv w:val="1"/>
      <w:marLeft w:val="0"/>
      <w:marRight w:val="0"/>
      <w:marTop w:val="0"/>
      <w:marBottom w:val="0"/>
      <w:divBdr>
        <w:top w:val="none" w:sz="0" w:space="0" w:color="auto"/>
        <w:left w:val="none" w:sz="0" w:space="0" w:color="auto"/>
        <w:bottom w:val="none" w:sz="0" w:space="0" w:color="auto"/>
        <w:right w:val="none" w:sz="0" w:space="0" w:color="auto"/>
      </w:divBdr>
    </w:div>
    <w:div w:id="790174964">
      <w:bodyDiv w:val="1"/>
      <w:marLeft w:val="0"/>
      <w:marRight w:val="0"/>
      <w:marTop w:val="0"/>
      <w:marBottom w:val="0"/>
      <w:divBdr>
        <w:top w:val="none" w:sz="0" w:space="0" w:color="auto"/>
        <w:left w:val="none" w:sz="0" w:space="0" w:color="auto"/>
        <w:bottom w:val="none" w:sz="0" w:space="0" w:color="auto"/>
        <w:right w:val="none" w:sz="0" w:space="0" w:color="auto"/>
      </w:divBdr>
    </w:div>
    <w:div w:id="796097761">
      <w:bodyDiv w:val="1"/>
      <w:marLeft w:val="0"/>
      <w:marRight w:val="0"/>
      <w:marTop w:val="0"/>
      <w:marBottom w:val="0"/>
      <w:divBdr>
        <w:top w:val="none" w:sz="0" w:space="0" w:color="auto"/>
        <w:left w:val="none" w:sz="0" w:space="0" w:color="auto"/>
        <w:bottom w:val="none" w:sz="0" w:space="0" w:color="auto"/>
        <w:right w:val="none" w:sz="0" w:space="0" w:color="auto"/>
      </w:divBdr>
    </w:div>
    <w:div w:id="815730604">
      <w:bodyDiv w:val="1"/>
      <w:marLeft w:val="0"/>
      <w:marRight w:val="0"/>
      <w:marTop w:val="0"/>
      <w:marBottom w:val="0"/>
      <w:divBdr>
        <w:top w:val="none" w:sz="0" w:space="0" w:color="auto"/>
        <w:left w:val="none" w:sz="0" w:space="0" w:color="auto"/>
        <w:bottom w:val="none" w:sz="0" w:space="0" w:color="auto"/>
        <w:right w:val="none" w:sz="0" w:space="0" w:color="auto"/>
      </w:divBdr>
    </w:div>
    <w:div w:id="840894441">
      <w:bodyDiv w:val="1"/>
      <w:marLeft w:val="0"/>
      <w:marRight w:val="0"/>
      <w:marTop w:val="0"/>
      <w:marBottom w:val="0"/>
      <w:divBdr>
        <w:top w:val="none" w:sz="0" w:space="0" w:color="auto"/>
        <w:left w:val="none" w:sz="0" w:space="0" w:color="auto"/>
        <w:bottom w:val="none" w:sz="0" w:space="0" w:color="auto"/>
        <w:right w:val="none" w:sz="0" w:space="0" w:color="auto"/>
      </w:divBdr>
    </w:div>
    <w:div w:id="846870164">
      <w:bodyDiv w:val="1"/>
      <w:marLeft w:val="0"/>
      <w:marRight w:val="0"/>
      <w:marTop w:val="0"/>
      <w:marBottom w:val="0"/>
      <w:divBdr>
        <w:top w:val="none" w:sz="0" w:space="0" w:color="auto"/>
        <w:left w:val="none" w:sz="0" w:space="0" w:color="auto"/>
        <w:bottom w:val="none" w:sz="0" w:space="0" w:color="auto"/>
        <w:right w:val="none" w:sz="0" w:space="0" w:color="auto"/>
      </w:divBdr>
    </w:div>
    <w:div w:id="858616453">
      <w:bodyDiv w:val="1"/>
      <w:marLeft w:val="0"/>
      <w:marRight w:val="0"/>
      <w:marTop w:val="0"/>
      <w:marBottom w:val="0"/>
      <w:divBdr>
        <w:top w:val="none" w:sz="0" w:space="0" w:color="auto"/>
        <w:left w:val="none" w:sz="0" w:space="0" w:color="auto"/>
        <w:bottom w:val="none" w:sz="0" w:space="0" w:color="auto"/>
        <w:right w:val="none" w:sz="0" w:space="0" w:color="auto"/>
      </w:divBdr>
    </w:div>
    <w:div w:id="867374215">
      <w:bodyDiv w:val="1"/>
      <w:marLeft w:val="0"/>
      <w:marRight w:val="0"/>
      <w:marTop w:val="0"/>
      <w:marBottom w:val="0"/>
      <w:divBdr>
        <w:top w:val="none" w:sz="0" w:space="0" w:color="auto"/>
        <w:left w:val="none" w:sz="0" w:space="0" w:color="auto"/>
        <w:bottom w:val="none" w:sz="0" w:space="0" w:color="auto"/>
        <w:right w:val="none" w:sz="0" w:space="0" w:color="auto"/>
      </w:divBdr>
    </w:div>
    <w:div w:id="900403438">
      <w:bodyDiv w:val="1"/>
      <w:marLeft w:val="0"/>
      <w:marRight w:val="0"/>
      <w:marTop w:val="0"/>
      <w:marBottom w:val="0"/>
      <w:divBdr>
        <w:top w:val="none" w:sz="0" w:space="0" w:color="auto"/>
        <w:left w:val="none" w:sz="0" w:space="0" w:color="auto"/>
        <w:bottom w:val="none" w:sz="0" w:space="0" w:color="auto"/>
        <w:right w:val="none" w:sz="0" w:space="0" w:color="auto"/>
      </w:divBdr>
    </w:div>
    <w:div w:id="952133068">
      <w:bodyDiv w:val="1"/>
      <w:marLeft w:val="0"/>
      <w:marRight w:val="0"/>
      <w:marTop w:val="0"/>
      <w:marBottom w:val="0"/>
      <w:divBdr>
        <w:top w:val="none" w:sz="0" w:space="0" w:color="auto"/>
        <w:left w:val="none" w:sz="0" w:space="0" w:color="auto"/>
        <w:bottom w:val="none" w:sz="0" w:space="0" w:color="auto"/>
        <w:right w:val="none" w:sz="0" w:space="0" w:color="auto"/>
      </w:divBdr>
    </w:div>
    <w:div w:id="974263520">
      <w:bodyDiv w:val="1"/>
      <w:marLeft w:val="0"/>
      <w:marRight w:val="0"/>
      <w:marTop w:val="0"/>
      <w:marBottom w:val="0"/>
      <w:divBdr>
        <w:top w:val="none" w:sz="0" w:space="0" w:color="auto"/>
        <w:left w:val="none" w:sz="0" w:space="0" w:color="auto"/>
        <w:bottom w:val="none" w:sz="0" w:space="0" w:color="auto"/>
        <w:right w:val="none" w:sz="0" w:space="0" w:color="auto"/>
      </w:divBdr>
    </w:div>
    <w:div w:id="1003816960">
      <w:bodyDiv w:val="1"/>
      <w:marLeft w:val="0"/>
      <w:marRight w:val="0"/>
      <w:marTop w:val="0"/>
      <w:marBottom w:val="0"/>
      <w:divBdr>
        <w:top w:val="none" w:sz="0" w:space="0" w:color="auto"/>
        <w:left w:val="none" w:sz="0" w:space="0" w:color="auto"/>
        <w:bottom w:val="none" w:sz="0" w:space="0" w:color="auto"/>
        <w:right w:val="none" w:sz="0" w:space="0" w:color="auto"/>
      </w:divBdr>
    </w:div>
    <w:div w:id="1047416391">
      <w:bodyDiv w:val="1"/>
      <w:marLeft w:val="0"/>
      <w:marRight w:val="0"/>
      <w:marTop w:val="0"/>
      <w:marBottom w:val="0"/>
      <w:divBdr>
        <w:top w:val="none" w:sz="0" w:space="0" w:color="auto"/>
        <w:left w:val="none" w:sz="0" w:space="0" w:color="auto"/>
        <w:bottom w:val="none" w:sz="0" w:space="0" w:color="auto"/>
        <w:right w:val="none" w:sz="0" w:space="0" w:color="auto"/>
      </w:divBdr>
    </w:div>
    <w:div w:id="1068263069">
      <w:bodyDiv w:val="1"/>
      <w:marLeft w:val="0"/>
      <w:marRight w:val="0"/>
      <w:marTop w:val="0"/>
      <w:marBottom w:val="0"/>
      <w:divBdr>
        <w:top w:val="none" w:sz="0" w:space="0" w:color="auto"/>
        <w:left w:val="none" w:sz="0" w:space="0" w:color="auto"/>
        <w:bottom w:val="none" w:sz="0" w:space="0" w:color="auto"/>
        <w:right w:val="none" w:sz="0" w:space="0" w:color="auto"/>
      </w:divBdr>
    </w:div>
    <w:div w:id="1080054442">
      <w:bodyDiv w:val="1"/>
      <w:marLeft w:val="0"/>
      <w:marRight w:val="0"/>
      <w:marTop w:val="0"/>
      <w:marBottom w:val="0"/>
      <w:divBdr>
        <w:top w:val="none" w:sz="0" w:space="0" w:color="auto"/>
        <w:left w:val="none" w:sz="0" w:space="0" w:color="auto"/>
        <w:bottom w:val="none" w:sz="0" w:space="0" w:color="auto"/>
        <w:right w:val="none" w:sz="0" w:space="0" w:color="auto"/>
      </w:divBdr>
    </w:div>
    <w:div w:id="1085760006">
      <w:bodyDiv w:val="1"/>
      <w:marLeft w:val="0"/>
      <w:marRight w:val="0"/>
      <w:marTop w:val="0"/>
      <w:marBottom w:val="0"/>
      <w:divBdr>
        <w:top w:val="none" w:sz="0" w:space="0" w:color="auto"/>
        <w:left w:val="none" w:sz="0" w:space="0" w:color="auto"/>
        <w:bottom w:val="none" w:sz="0" w:space="0" w:color="auto"/>
        <w:right w:val="none" w:sz="0" w:space="0" w:color="auto"/>
      </w:divBdr>
    </w:div>
    <w:div w:id="1101612215">
      <w:bodyDiv w:val="1"/>
      <w:marLeft w:val="0"/>
      <w:marRight w:val="0"/>
      <w:marTop w:val="0"/>
      <w:marBottom w:val="0"/>
      <w:divBdr>
        <w:top w:val="none" w:sz="0" w:space="0" w:color="auto"/>
        <w:left w:val="none" w:sz="0" w:space="0" w:color="auto"/>
        <w:bottom w:val="none" w:sz="0" w:space="0" w:color="auto"/>
        <w:right w:val="none" w:sz="0" w:space="0" w:color="auto"/>
      </w:divBdr>
    </w:div>
    <w:div w:id="1111051468">
      <w:bodyDiv w:val="1"/>
      <w:marLeft w:val="0"/>
      <w:marRight w:val="0"/>
      <w:marTop w:val="0"/>
      <w:marBottom w:val="0"/>
      <w:divBdr>
        <w:top w:val="none" w:sz="0" w:space="0" w:color="auto"/>
        <w:left w:val="none" w:sz="0" w:space="0" w:color="auto"/>
        <w:bottom w:val="none" w:sz="0" w:space="0" w:color="auto"/>
        <w:right w:val="none" w:sz="0" w:space="0" w:color="auto"/>
      </w:divBdr>
    </w:div>
    <w:div w:id="1129981110">
      <w:bodyDiv w:val="1"/>
      <w:marLeft w:val="0"/>
      <w:marRight w:val="0"/>
      <w:marTop w:val="0"/>
      <w:marBottom w:val="0"/>
      <w:divBdr>
        <w:top w:val="none" w:sz="0" w:space="0" w:color="auto"/>
        <w:left w:val="none" w:sz="0" w:space="0" w:color="auto"/>
        <w:bottom w:val="none" w:sz="0" w:space="0" w:color="auto"/>
        <w:right w:val="none" w:sz="0" w:space="0" w:color="auto"/>
      </w:divBdr>
    </w:div>
    <w:div w:id="1153761769">
      <w:bodyDiv w:val="1"/>
      <w:marLeft w:val="0"/>
      <w:marRight w:val="0"/>
      <w:marTop w:val="0"/>
      <w:marBottom w:val="0"/>
      <w:divBdr>
        <w:top w:val="none" w:sz="0" w:space="0" w:color="auto"/>
        <w:left w:val="none" w:sz="0" w:space="0" w:color="auto"/>
        <w:bottom w:val="none" w:sz="0" w:space="0" w:color="auto"/>
        <w:right w:val="none" w:sz="0" w:space="0" w:color="auto"/>
      </w:divBdr>
    </w:div>
    <w:div w:id="1171529329">
      <w:bodyDiv w:val="1"/>
      <w:marLeft w:val="0"/>
      <w:marRight w:val="0"/>
      <w:marTop w:val="0"/>
      <w:marBottom w:val="0"/>
      <w:divBdr>
        <w:top w:val="none" w:sz="0" w:space="0" w:color="auto"/>
        <w:left w:val="none" w:sz="0" w:space="0" w:color="auto"/>
        <w:bottom w:val="none" w:sz="0" w:space="0" w:color="auto"/>
        <w:right w:val="none" w:sz="0" w:space="0" w:color="auto"/>
      </w:divBdr>
    </w:div>
    <w:div w:id="1171722072">
      <w:bodyDiv w:val="1"/>
      <w:marLeft w:val="0"/>
      <w:marRight w:val="0"/>
      <w:marTop w:val="0"/>
      <w:marBottom w:val="0"/>
      <w:divBdr>
        <w:top w:val="none" w:sz="0" w:space="0" w:color="auto"/>
        <w:left w:val="none" w:sz="0" w:space="0" w:color="auto"/>
        <w:bottom w:val="none" w:sz="0" w:space="0" w:color="auto"/>
        <w:right w:val="none" w:sz="0" w:space="0" w:color="auto"/>
      </w:divBdr>
    </w:div>
    <w:div w:id="1192645704">
      <w:bodyDiv w:val="1"/>
      <w:marLeft w:val="0"/>
      <w:marRight w:val="0"/>
      <w:marTop w:val="0"/>
      <w:marBottom w:val="0"/>
      <w:divBdr>
        <w:top w:val="none" w:sz="0" w:space="0" w:color="auto"/>
        <w:left w:val="none" w:sz="0" w:space="0" w:color="auto"/>
        <w:bottom w:val="none" w:sz="0" w:space="0" w:color="auto"/>
        <w:right w:val="none" w:sz="0" w:space="0" w:color="auto"/>
      </w:divBdr>
    </w:div>
    <w:div w:id="1195311234">
      <w:bodyDiv w:val="1"/>
      <w:marLeft w:val="0"/>
      <w:marRight w:val="0"/>
      <w:marTop w:val="0"/>
      <w:marBottom w:val="0"/>
      <w:divBdr>
        <w:top w:val="none" w:sz="0" w:space="0" w:color="auto"/>
        <w:left w:val="none" w:sz="0" w:space="0" w:color="auto"/>
        <w:bottom w:val="none" w:sz="0" w:space="0" w:color="auto"/>
        <w:right w:val="none" w:sz="0" w:space="0" w:color="auto"/>
      </w:divBdr>
    </w:div>
    <w:div w:id="1197348460">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36670772">
      <w:bodyDiv w:val="1"/>
      <w:marLeft w:val="0"/>
      <w:marRight w:val="0"/>
      <w:marTop w:val="0"/>
      <w:marBottom w:val="0"/>
      <w:divBdr>
        <w:top w:val="none" w:sz="0" w:space="0" w:color="auto"/>
        <w:left w:val="none" w:sz="0" w:space="0" w:color="auto"/>
        <w:bottom w:val="none" w:sz="0" w:space="0" w:color="auto"/>
        <w:right w:val="none" w:sz="0" w:space="0" w:color="auto"/>
      </w:divBdr>
    </w:div>
    <w:div w:id="1243951907">
      <w:bodyDiv w:val="1"/>
      <w:marLeft w:val="0"/>
      <w:marRight w:val="0"/>
      <w:marTop w:val="0"/>
      <w:marBottom w:val="0"/>
      <w:divBdr>
        <w:top w:val="none" w:sz="0" w:space="0" w:color="auto"/>
        <w:left w:val="none" w:sz="0" w:space="0" w:color="auto"/>
        <w:bottom w:val="none" w:sz="0" w:space="0" w:color="auto"/>
        <w:right w:val="none" w:sz="0" w:space="0" w:color="auto"/>
      </w:divBdr>
    </w:div>
    <w:div w:id="1250194282">
      <w:bodyDiv w:val="1"/>
      <w:marLeft w:val="0"/>
      <w:marRight w:val="0"/>
      <w:marTop w:val="0"/>
      <w:marBottom w:val="0"/>
      <w:divBdr>
        <w:top w:val="none" w:sz="0" w:space="0" w:color="auto"/>
        <w:left w:val="none" w:sz="0" w:space="0" w:color="auto"/>
        <w:bottom w:val="none" w:sz="0" w:space="0" w:color="auto"/>
        <w:right w:val="none" w:sz="0" w:space="0" w:color="auto"/>
      </w:divBdr>
      <w:divsChild>
        <w:div w:id="1202746231">
          <w:marLeft w:val="0"/>
          <w:marRight w:val="0"/>
          <w:marTop w:val="0"/>
          <w:marBottom w:val="0"/>
          <w:divBdr>
            <w:top w:val="none" w:sz="0" w:space="0" w:color="auto"/>
            <w:left w:val="none" w:sz="0" w:space="0" w:color="auto"/>
            <w:bottom w:val="none" w:sz="0" w:space="0" w:color="auto"/>
            <w:right w:val="none" w:sz="0" w:space="0" w:color="auto"/>
          </w:divBdr>
        </w:div>
      </w:divsChild>
    </w:div>
    <w:div w:id="1254630220">
      <w:bodyDiv w:val="1"/>
      <w:marLeft w:val="0"/>
      <w:marRight w:val="0"/>
      <w:marTop w:val="0"/>
      <w:marBottom w:val="0"/>
      <w:divBdr>
        <w:top w:val="none" w:sz="0" w:space="0" w:color="auto"/>
        <w:left w:val="none" w:sz="0" w:space="0" w:color="auto"/>
        <w:bottom w:val="none" w:sz="0" w:space="0" w:color="auto"/>
        <w:right w:val="none" w:sz="0" w:space="0" w:color="auto"/>
      </w:divBdr>
    </w:div>
    <w:div w:id="1261790625">
      <w:bodyDiv w:val="1"/>
      <w:marLeft w:val="0"/>
      <w:marRight w:val="0"/>
      <w:marTop w:val="0"/>
      <w:marBottom w:val="0"/>
      <w:divBdr>
        <w:top w:val="none" w:sz="0" w:space="0" w:color="auto"/>
        <w:left w:val="none" w:sz="0" w:space="0" w:color="auto"/>
        <w:bottom w:val="none" w:sz="0" w:space="0" w:color="auto"/>
        <w:right w:val="none" w:sz="0" w:space="0" w:color="auto"/>
      </w:divBdr>
    </w:div>
    <w:div w:id="1276982197">
      <w:bodyDiv w:val="1"/>
      <w:marLeft w:val="0"/>
      <w:marRight w:val="0"/>
      <w:marTop w:val="0"/>
      <w:marBottom w:val="0"/>
      <w:divBdr>
        <w:top w:val="none" w:sz="0" w:space="0" w:color="auto"/>
        <w:left w:val="none" w:sz="0" w:space="0" w:color="auto"/>
        <w:bottom w:val="none" w:sz="0" w:space="0" w:color="auto"/>
        <w:right w:val="none" w:sz="0" w:space="0" w:color="auto"/>
      </w:divBdr>
    </w:div>
    <w:div w:id="1293250327">
      <w:bodyDiv w:val="1"/>
      <w:marLeft w:val="0"/>
      <w:marRight w:val="0"/>
      <w:marTop w:val="0"/>
      <w:marBottom w:val="0"/>
      <w:divBdr>
        <w:top w:val="none" w:sz="0" w:space="0" w:color="auto"/>
        <w:left w:val="none" w:sz="0" w:space="0" w:color="auto"/>
        <w:bottom w:val="none" w:sz="0" w:space="0" w:color="auto"/>
        <w:right w:val="none" w:sz="0" w:space="0" w:color="auto"/>
      </w:divBdr>
    </w:div>
    <w:div w:id="1297180492">
      <w:bodyDiv w:val="1"/>
      <w:marLeft w:val="0"/>
      <w:marRight w:val="0"/>
      <w:marTop w:val="0"/>
      <w:marBottom w:val="0"/>
      <w:divBdr>
        <w:top w:val="none" w:sz="0" w:space="0" w:color="auto"/>
        <w:left w:val="none" w:sz="0" w:space="0" w:color="auto"/>
        <w:bottom w:val="none" w:sz="0" w:space="0" w:color="auto"/>
        <w:right w:val="none" w:sz="0" w:space="0" w:color="auto"/>
      </w:divBdr>
    </w:div>
    <w:div w:id="1306230134">
      <w:bodyDiv w:val="1"/>
      <w:marLeft w:val="0"/>
      <w:marRight w:val="0"/>
      <w:marTop w:val="0"/>
      <w:marBottom w:val="0"/>
      <w:divBdr>
        <w:top w:val="none" w:sz="0" w:space="0" w:color="auto"/>
        <w:left w:val="none" w:sz="0" w:space="0" w:color="auto"/>
        <w:bottom w:val="none" w:sz="0" w:space="0" w:color="auto"/>
        <w:right w:val="none" w:sz="0" w:space="0" w:color="auto"/>
      </w:divBdr>
    </w:div>
    <w:div w:id="1309627691">
      <w:bodyDiv w:val="1"/>
      <w:marLeft w:val="0"/>
      <w:marRight w:val="0"/>
      <w:marTop w:val="0"/>
      <w:marBottom w:val="0"/>
      <w:divBdr>
        <w:top w:val="none" w:sz="0" w:space="0" w:color="auto"/>
        <w:left w:val="none" w:sz="0" w:space="0" w:color="auto"/>
        <w:bottom w:val="none" w:sz="0" w:space="0" w:color="auto"/>
        <w:right w:val="none" w:sz="0" w:space="0" w:color="auto"/>
      </w:divBdr>
    </w:div>
    <w:div w:id="1309937797">
      <w:bodyDiv w:val="1"/>
      <w:marLeft w:val="0"/>
      <w:marRight w:val="0"/>
      <w:marTop w:val="0"/>
      <w:marBottom w:val="0"/>
      <w:divBdr>
        <w:top w:val="none" w:sz="0" w:space="0" w:color="auto"/>
        <w:left w:val="none" w:sz="0" w:space="0" w:color="auto"/>
        <w:bottom w:val="none" w:sz="0" w:space="0" w:color="auto"/>
        <w:right w:val="none" w:sz="0" w:space="0" w:color="auto"/>
      </w:divBdr>
    </w:div>
    <w:div w:id="1327519072">
      <w:bodyDiv w:val="1"/>
      <w:marLeft w:val="0"/>
      <w:marRight w:val="0"/>
      <w:marTop w:val="0"/>
      <w:marBottom w:val="0"/>
      <w:divBdr>
        <w:top w:val="none" w:sz="0" w:space="0" w:color="auto"/>
        <w:left w:val="none" w:sz="0" w:space="0" w:color="auto"/>
        <w:bottom w:val="none" w:sz="0" w:space="0" w:color="auto"/>
        <w:right w:val="none" w:sz="0" w:space="0" w:color="auto"/>
      </w:divBdr>
    </w:div>
    <w:div w:id="1338383571">
      <w:bodyDiv w:val="1"/>
      <w:marLeft w:val="0"/>
      <w:marRight w:val="0"/>
      <w:marTop w:val="0"/>
      <w:marBottom w:val="0"/>
      <w:divBdr>
        <w:top w:val="none" w:sz="0" w:space="0" w:color="auto"/>
        <w:left w:val="none" w:sz="0" w:space="0" w:color="auto"/>
        <w:bottom w:val="none" w:sz="0" w:space="0" w:color="auto"/>
        <w:right w:val="none" w:sz="0" w:space="0" w:color="auto"/>
      </w:divBdr>
    </w:div>
    <w:div w:id="1357004902">
      <w:bodyDiv w:val="1"/>
      <w:marLeft w:val="0"/>
      <w:marRight w:val="0"/>
      <w:marTop w:val="0"/>
      <w:marBottom w:val="0"/>
      <w:divBdr>
        <w:top w:val="none" w:sz="0" w:space="0" w:color="auto"/>
        <w:left w:val="none" w:sz="0" w:space="0" w:color="auto"/>
        <w:bottom w:val="none" w:sz="0" w:space="0" w:color="auto"/>
        <w:right w:val="none" w:sz="0" w:space="0" w:color="auto"/>
      </w:divBdr>
    </w:div>
    <w:div w:id="1380283902">
      <w:bodyDiv w:val="1"/>
      <w:marLeft w:val="0"/>
      <w:marRight w:val="0"/>
      <w:marTop w:val="0"/>
      <w:marBottom w:val="0"/>
      <w:divBdr>
        <w:top w:val="none" w:sz="0" w:space="0" w:color="auto"/>
        <w:left w:val="none" w:sz="0" w:space="0" w:color="auto"/>
        <w:bottom w:val="none" w:sz="0" w:space="0" w:color="auto"/>
        <w:right w:val="none" w:sz="0" w:space="0" w:color="auto"/>
      </w:divBdr>
    </w:div>
    <w:div w:id="1389717940">
      <w:bodyDiv w:val="1"/>
      <w:marLeft w:val="0"/>
      <w:marRight w:val="0"/>
      <w:marTop w:val="0"/>
      <w:marBottom w:val="0"/>
      <w:divBdr>
        <w:top w:val="none" w:sz="0" w:space="0" w:color="auto"/>
        <w:left w:val="none" w:sz="0" w:space="0" w:color="auto"/>
        <w:bottom w:val="none" w:sz="0" w:space="0" w:color="auto"/>
        <w:right w:val="none" w:sz="0" w:space="0" w:color="auto"/>
      </w:divBdr>
    </w:div>
    <w:div w:id="1401636973">
      <w:bodyDiv w:val="1"/>
      <w:marLeft w:val="0"/>
      <w:marRight w:val="0"/>
      <w:marTop w:val="0"/>
      <w:marBottom w:val="0"/>
      <w:divBdr>
        <w:top w:val="none" w:sz="0" w:space="0" w:color="auto"/>
        <w:left w:val="none" w:sz="0" w:space="0" w:color="auto"/>
        <w:bottom w:val="none" w:sz="0" w:space="0" w:color="auto"/>
        <w:right w:val="none" w:sz="0" w:space="0" w:color="auto"/>
      </w:divBdr>
    </w:div>
    <w:div w:id="1414622510">
      <w:bodyDiv w:val="1"/>
      <w:marLeft w:val="0"/>
      <w:marRight w:val="0"/>
      <w:marTop w:val="0"/>
      <w:marBottom w:val="0"/>
      <w:divBdr>
        <w:top w:val="none" w:sz="0" w:space="0" w:color="auto"/>
        <w:left w:val="none" w:sz="0" w:space="0" w:color="auto"/>
        <w:bottom w:val="none" w:sz="0" w:space="0" w:color="auto"/>
        <w:right w:val="none" w:sz="0" w:space="0" w:color="auto"/>
      </w:divBdr>
    </w:div>
    <w:div w:id="1424914493">
      <w:bodyDiv w:val="1"/>
      <w:marLeft w:val="0"/>
      <w:marRight w:val="0"/>
      <w:marTop w:val="0"/>
      <w:marBottom w:val="0"/>
      <w:divBdr>
        <w:top w:val="none" w:sz="0" w:space="0" w:color="auto"/>
        <w:left w:val="none" w:sz="0" w:space="0" w:color="auto"/>
        <w:bottom w:val="none" w:sz="0" w:space="0" w:color="auto"/>
        <w:right w:val="none" w:sz="0" w:space="0" w:color="auto"/>
      </w:divBdr>
    </w:div>
    <w:div w:id="1427188184">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sChild>
        <w:div w:id="458767376">
          <w:marLeft w:val="0"/>
          <w:marRight w:val="0"/>
          <w:marTop w:val="0"/>
          <w:marBottom w:val="0"/>
          <w:divBdr>
            <w:top w:val="none" w:sz="0" w:space="0" w:color="auto"/>
            <w:left w:val="none" w:sz="0" w:space="0" w:color="auto"/>
            <w:bottom w:val="none" w:sz="0" w:space="0" w:color="auto"/>
            <w:right w:val="none" w:sz="0" w:space="0" w:color="auto"/>
          </w:divBdr>
        </w:div>
      </w:divsChild>
    </w:div>
    <w:div w:id="1436056427">
      <w:bodyDiv w:val="1"/>
      <w:marLeft w:val="0"/>
      <w:marRight w:val="0"/>
      <w:marTop w:val="0"/>
      <w:marBottom w:val="0"/>
      <w:divBdr>
        <w:top w:val="none" w:sz="0" w:space="0" w:color="auto"/>
        <w:left w:val="none" w:sz="0" w:space="0" w:color="auto"/>
        <w:bottom w:val="none" w:sz="0" w:space="0" w:color="auto"/>
        <w:right w:val="none" w:sz="0" w:space="0" w:color="auto"/>
      </w:divBdr>
    </w:div>
    <w:div w:id="1470784919">
      <w:bodyDiv w:val="1"/>
      <w:marLeft w:val="0"/>
      <w:marRight w:val="0"/>
      <w:marTop w:val="0"/>
      <w:marBottom w:val="0"/>
      <w:divBdr>
        <w:top w:val="none" w:sz="0" w:space="0" w:color="auto"/>
        <w:left w:val="none" w:sz="0" w:space="0" w:color="auto"/>
        <w:bottom w:val="none" w:sz="0" w:space="0" w:color="auto"/>
        <w:right w:val="none" w:sz="0" w:space="0" w:color="auto"/>
      </w:divBdr>
      <w:divsChild>
        <w:div w:id="143358990">
          <w:marLeft w:val="0"/>
          <w:marRight w:val="0"/>
          <w:marTop w:val="0"/>
          <w:marBottom w:val="0"/>
          <w:divBdr>
            <w:top w:val="none" w:sz="0" w:space="0" w:color="auto"/>
            <w:left w:val="none" w:sz="0" w:space="0" w:color="auto"/>
            <w:bottom w:val="none" w:sz="0" w:space="0" w:color="auto"/>
            <w:right w:val="none" w:sz="0" w:space="0" w:color="auto"/>
          </w:divBdr>
        </w:div>
      </w:divsChild>
    </w:div>
    <w:div w:id="1490440441">
      <w:bodyDiv w:val="1"/>
      <w:marLeft w:val="0"/>
      <w:marRight w:val="0"/>
      <w:marTop w:val="0"/>
      <w:marBottom w:val="0"/>
      <w:divBdr>
        <w:top w:val="none" w:sz="0" w:space="0" w:color="auto"/>
        <w:left w:val="none" w:sz="0" w:space="0" w:color="auto"/>
        <w:bottom w:val="none" w:sz="0" w:space="0" w:color="auto"/>
        <w:right w:val="none" w:sz="0" w:space="0" w:color="auto"/>
      </w:divBdr>
    </w:div>
    <w:div w:id="1500999730">
      <w:bodyDiv w:val="1"/>
      <w:marLeft w:val="0"/>
      <w:marRight w:val="0"/>
      <w:marTop w:val="0"/>
      <w:marBottom w:val="0"/>
      <w:divBdr>
        <w:top w:val="none" w:sz="0" w:space="0" w:color="auto"/>
        <w:left w:val="none" w:sz="0" w:space="0" w:color="auto"/>
        <w:bottom w:val="none" w:sz="0" w:space="0" w:color="auto"/>
        <w:right w:val="none" w:sz="0" w:space="0" w:color="auto"/>
      </w:divBdr>
    </w:div>
    <w:div w:id="1535071948">
      <w:bodyDiv w:val="1"/>
      <w:marLeft w:val="0"/>
      <w:marRight w:val="0"/>
      <w:marTop w:val="0"/>
      <w:marBottom w:val="0"/>
      <w:divBdr>
        <w:top w:val="none" w:sz="0" w:space="0" w:color="auto"/>
        <w:left w:val="none" w:sz="0" w:space="0" w:color="auto"/>
        <w:bottom w:val="none" w:sz="0" w:space="0" w:color="auto"/>
        <w:right w:val="none" w:sz="0" w:space="0" w:color="auto"/>
      </w:divBdr>
    </w:div>
    <w:div w:id="1536888152">
      <w:bodyDiv w:val="1"/>
      <w:marLeft w:val="0"/>
      <w:marRight w:val="0"/>
      <w:marTop w:val="0"/>
      <w:marBottom w:val="0"/>
      <w:divBdr>
        <w:top w:val="none" w:sz="0" w:space="0" w:color="auto"/>
        <w:left w:val="none" w:sz="0" w:space="0" w:color="auto"/>
        <w:bottom w:val="none" w:sz="0" w:space="0" w:color="auto"/>
        <w:right w:val="none" w:sz="0" w:space="0" w:color="auto"/>
      </w:divBdr>
    </w:div>
    <w:div w:id="1547181296">
      <w:bodyDiv w:val="1"/>
      <w:marLeft w:val="0"/>
      <w:marRight w:val="0"/>
      <w:marTop w:val="0"/>
      <w:marBottom w:val="0"/>
      <w:divBdr>
        <w:top w:val="none" w:sz="0" w:space="0" w:color="auto"/>
        <w:left w:val="none" w:sz="0" w:space="0" w:color="auto"/>
        <w:bottom w:val="none" w:sz="0" w:space="0" w:color="auto"/>
        <w:right w:val="none" w:sz="0" w:space="0" w:color="auto"/>
      </w:divBdr>
    </w:div>
    <w:div w:id="1568759576">
      <w:bodyDiv w:val="1"/>
      <w:marLeft w:val="0"/>
      <w:marRight w:val="0"/>
      <w:marTop w:val="0"/>
      <w:marBottom w:val="0"/>
      <w:divBdr>
        <w:top w:val="none" w:sz="0" w:space="0" w:color="auto"/>
        <w:left w:val="none" w:sz="0" w:space="0" w:color="auto"/>
        <w:bottom w:val="none" w:sz="0" w:space="0" w:color="auto"/>
        <w:right w:val="none" w:sz="0" w:space="0" w:color="auto"/>
      </w:divBdr>
    </w:div>
    <w:div w:id="1589194683">
      <w:bodyDiv w:val="1"/>
      <w:marLeft w:val="0"/>
      <w:marRight w:val="0"/>
      <w:marTop w:val="0"/>
      <w:marBottom w:val="0"/>
      <w:divBdr>
        <w:top w:val="none" w:sz="0" w:space="0" w:color="auto"/>
        <w:left w:val="none" w:sz="0" w:space="0" w:color="auto"/>
        <w:bottom w:val="none" w:sz="0" w:space="0" w:color="auto"/>
        <w:right w:val="none" w:sz="0" w:space="0" w:color="auto"/>
      </w:divBdr>
    </w:div>
    <w:div w:id="1607227964">
      <w:bodyDiv w:val="1"/>
      <w:marLeft w:val="0"/>
      <w:marRight w:val="0"/>
      <w:marTop w:val="0"/>
      <w:marBottom w:val="0"/>
      <w:divBdr>
        <w:top w:val="none" w:sz="0" w:space="0" w:color="auto"/>
        <w:left w:val="none" w:sz="0" w:space="0" w:color="auto"/>
        <w:bottom w:val="none" w:sz="0" w:space="0" w:color="auto"/>
        <w:right w:val="none" w:sz="0" w:space="0" w:color="auto"/>
      </w:divBdr>
    </w:div>
    <w:div w:id="1608269049">
      <w:bodyDiv w:val="1"/>
      <w:marLeft w:val="0"/>
      <w:marRight w:val="0"/>
      <w:marTop w:val="0"/>
      <w:marBottom w:val="0"/>
      <w:divBdr>
        <w:top w:val="none" w:sz="0" w:space="0" w:color="auto"/>
        <w:left w:val="none" w:sz="0" w:space="0" w:color="auto"/>
        <w:bottom w:val="none" w:sz="0" w:space="0" w:color="auto"/>
        <w:right w:val="none" w:sz="0" w:space="0" w:color="auto"/>
      </w:divBdr>
    </w:div>
    <w:div w:id="1634827652">
      <w:bodyDiv w:val="1"/>
      <w:marLeft w:val="0"/>
      <w:marRight w:val="0"/>
      <w:marTop w:val="0"/>
      <w:marBottom w:val="0"/>
      <w:divBdr>
        <w:top w:val="none" w:sz="0" w:space="0" w:color="auto"/>
        <w:left w:val="none" w:sz="0" w:space="0" w:color="auto"/>
        <w:bottom w:val="none" w:sz="0" w:space="0" w:color="auto"/>
        <w:right w:val="none" w:sz="0" w:space="0" w:color="auto"/>
      </w:divBdr>
      <w:divsChild>
        <w:div w:id="386805766">
          <w:marLeft w:val="0"/>
          <w:marRight w:val="0"/>
          <w:marTop w:val="0"/>
          <w:marBottom w:val="0"/>
          <w:divBdr>
            <w:top w:val="none" w:sz="0" w:space="0" w:color="auto"/>
            <w:left w:val="none" w:sz="0" w:space="0" w:color="auto"/>
            <w:bottom w:val="none" w:sz="0" w:space="0" w:color="auto"/>
            <w:right w:val="none" w:sz="0" w:space="0" w:color="auto"/>
          </w:divBdr>
        </w:div>
      </w:divsChild>
    </w:div>
    <w:div w:id="1639647486">
      <w:bodyDiv w:val="1"/>
      <w:marLeft w:val="0"/>
      <w:marRight w:val="0"/>
      <w:marTop w:val="0"/>
      <w:marBottom w:val="0"/>
      <w:divBdr>
        <w:top w:val="none" w:sz="0" w:space="0" w:color="auto"/>
        <w:left w:val="none" w:sz="0" w:space="0" w:color="auto"/>
        <w:bottom w:val="none" w:sz="0" w:space="0" w:color="auto"/>
        <w:right w:val="none" w:sz="0" w:space="0" w:color="auto"/>
      </w:divBdr>
    </w:div>
    <w:div w:id="1667397690">
      <w:bodyDiv w:val="1"/>
      <w:marLeft w:val="0"/>
      <w:marRight w:val="0"/>
      <w:marTop w:val="0"/>
      <w:marBottom w:val="0"/>
      <w:divBdr>
        <w:top w:val="none" w:sz="0" w:space="0" w:color="auto"/>
        <w:left w:val="none" w:sz="0" w:space="0" w:color="auto"/>
        <w:bottom w:val="none" w:sz="0" w:space="0" w:color="auto"/>
        <w:right w:val="none" w:sz="0" w:space="0" w:color="auto"/>
      </w:divBdr>
    </w:div>
    <w:div w:id="1674406374">
      <w:bodyDiv w:val="1"/>
      <w:marLeft w:val="0"/>
      <w:marRight w:val="0"/>
      <w:marTop w:val="0"/>
      <w:marBottom w:val="0"/>
      <w:divBdr>
        <w:top w:val="none" w:sz="0" w:space="0" w:color="auto"/>
        <w:left w:val="none" w:sz="0" w:space="0" w:color="auto"/>
        <w:bottom w:val="none" w:sz="0" w:space="0" w:color="auto"/>
        <w:right w:val="none" w:sz="0" w:space="0" w:color="auto"/>
      </w:divBdr>
    </w:div>
    <w:div w:id="1677338659">
      <w:bodyDiv w:val="1"/>
      <w:marLeft w:val="0"/>
      <w:marRight w:val="0"/>
      <w:marTop w:val="0"/>
      <w:marBottom w:val="0"/>
      <w:divBdr>
        <w:top w:val="none" w:sz="0" w:space="0" w:color="auto"/>
        <w:left w:val="none" w:sz="0" w:space="0" w:color="auto"/>
        <w:bottom w:val="none" w:sz="0" w:space="0" w:color="auto"/>
        <w:right w:val="none" w:sz="0" w:space="0" w:color="auto"/>
      </w:divBdr>
    </w:div>
    <w:div w:id="1685206115">
      <w:bodyDiv w:val="1"/>
      <w:marLeft w:val="0"/>
      <w:marRight w:val="0"/>
      <w:marTop w:val="0"/>
      <w:marBottom w:val="0"/>
      <w:divBdr>
        <w:top w:val="none" w:sz="0" w:space="0" w:color="auto"/>
        <w:left w:val="none" w:sz="0" w:space="0" w:color="auto"/>
        <w:bottom w:val="none" w:sz="0" w:space="0" w:color="auto"/>
        <w:right w:val="none" w:sz="0" w:space="0" w:color="auto"/>
      </w:divBdr>
    </w:div>
    <w:div w:id="1690372172">
      <w:bodyDiv w:val="1"/>
      <w:marLeft w:val="0"/>
      <w:marRight w:val="0"/>
      <w:marTop w:val="0"/>
      <w:marBottom w:val="0"/>
      <w:divBdr>
        <w:top w:val="none" w:sz="0" w:space="0" w:color="auto"/>
        <w:left w:val="none" w:sz="0" w:space="0" w:color="auto"/>
        <w:bottom w:val="none" w:sz="0" w:space="0" w:color="auto"/>
        <w:right w:val="none" w:sz="0" w:space="0" w:color="auto"/>
      </w:divBdr>
    </w:div>
    <w:div w:id="1696346327">
      <w:bodyDiv w:val="1"/>
      <w:marLeft w:val="0"/>
      <w:marRight w:val="0"/>
      <w:marTop w:val="0"/>
      <w:marBottom w:val="0"/>
      <w:divBdr>
        <w:top w:val="none" w:sz="0" w:space="0" w:color="auto"/>
        <w:left w:val="none" w:sz="0" w:space="0" w:color="auto"/>
        <w:bottom w:val="none" w:sz="0" w:space="0" w:color="auto"/>
        <w:right w:val="none" w:sz="0" w:space="0" w:color="auto"/>
      </w:divBdr>
    </w:div>
    <w:div w:id="1713841601">
      <w:bodyDiv w:val="1"/>
      <w:marLeft w:val="0"/>
      <w:marRight w:val="0"/>
      <w:marTop w:val="0"/>
      <w:marBottom w:val="0"/>
      <w:divBdr>
        <w:top w:val="none" w:sz="0" w:space="0" w:color="auto"/>
        <w:left w:val="none" w:sz="0" w:space="0" w:color="auto"/>
        <w:bottom w:val="none" w:sz="0" w:space="0" w:color="auto"/>
        <w:right w:val="none" w:sz="0" w:space="0" w:color="auto"/>
      </w:divBdr>
    </w:div>
    <w:div w:id="1729843969">
      <w:bodyDiv w:val="1"/>
      <w:marLeft w:val="0"/>
      <w:marRight w:val="0"/>
      <w:marTop w:val="0"/>
      <w:marBottom w:val="0"/>
      <w:divBdr>
        <w:top w:val="none" w:sz="0" w:space="0" w:color="auto"/>
        <w:left w:val="none" w:sz="0" w:space="0" w:color="auto"/>
        <w:bottom w:val="none" w:sz="0" w:space="0" w:color="auto"/>
        <w:right w:val="none" w:sz="0" w:space="0" w:color="auto"/>
      </w:divBdr>
    </w:div>
    <w:div w:id="1737364124">
      <w:bodyDiv w:val="1"/>
      <w:marLeft w:val="0"/>
      <w:marRight w:val="0"/>
      <w:marTop w:val="0"/>
      <w:marBottom w:val="0"/>
      <w:divBdr>
        <w:top w:val="none" w:sz="0" w:space="0" w:color="auto"/>
        <w:left w:val="none" w:sz="0" w:space="0" w:color="auto"/>
        <w:bottom w:val="none" w:sz="0" w:space="0" w:color="auto"/>
        <w:right w:val="none" w:sz="0" w:space="0" w:color="auto"/>
      </w:divBdr>
    </w:div>
    <w:div w:id="1751921177">
      <w:bodyDiv w:val="1"/>
      <w:marLeft w:val="0"/>
      <w:marRight w:val="0"/>
      <w:marTop w:val="0"/>
      <w:marBottom w:val="0"/>
      <w:divBdr>
        <w:top w:val="none" w:sz="0" w:space="0" w:color="auto"/>
        <w:left w:val="none" w:sz="0" w:space="0" w:color="auto"/>
        <w:bottom w:val="none" w:sz="0" w:space="0" w:color="auto"/>
        <w:right w:val="none" w:sz="0" w:space="0" w:color="auto"/>
      </w:divBdr>
    </w:div>
    <w:div w:id="1752315587">
      <w:bodyDiv w:val="1"/>
      <w:marLeft w:val="0"/>
      <w:marRight w:val="0"/>
      <w:marTop w:val="0"/>
      <w:marBottom w:val="0"/>
      <w:divBdr>
        <w:top w:val="none" w:sz="0" w:space="0" w:color="auto"/>
        <w:left w:val="none" w:sz="0" w:space="0" w:color="auto"/>
        <w:bottom w:val="none" w:sz="0" w:space="0" w:color="auto"/>
        <w:right w:val="none" w:sz="0" w:space="0" w:color="auto"/>
      </w:divBdr>
    </w:div>
    <w:div w:id="1765413362">
      <w:bodyDiv w:val="1"/>
      <w:marLeft w:val="0"/>
      <w:marRight w:val="0"/>
      <w:marTop w:val="0"/>
      <w:marBottom w:val="0"/>
      <w:divBdr>
        <w:top w:val="none" w:sz="0" w:space="0" w:color="auto"/>
        <w:left w:val="none" w:sz="0" w:space="0" w:color="auto"/>
        <w:bottom w:val="none" w:sz="0" w:space="0" w:color="auto"/>
        <w:right w:val="none" w:sz="0" w:space="0" w:color="auto"/>
      </w:divBdr>
    </w:div>
    <w:div w:id="1774592093">
      <w:bodyDiv w:val="1"/>
      <w:marLeft w:val="0"/>
      <w:marRight w:val="0"/>
      <w:marTop w:val="0"/>
      <w:marBottom w:val="0"/>
      <w:divBdr>
        <w:top w:val="none" w:sz="0" w:space="0" w:color="auto"/>
        <w:left w:val="none" w:sz="0" w:space="0" w:color="auto"/>
        <w:bottom w:val="none" w:sz="0" w:space="0" w:color="auto"/>
        <w:right w:val="none" w:sz="0" w:space="0" w:color="auto"/>
      </w:divBdr>
    </w:div>
    <w:div w:id="1779255885">
      <w:bodyDiv w:val="1"/>
      <w:marLeft w:val="0"/>
      <w:marRight w:val="0"/>
      <w:marTop w:val="0"/>
      <w:marBottom w:val="0"/>
      <w:divBdr>
        <w:top w:val="none" w:sz="0" w:space="0" w:color="auto"/>
        <w:left w:val="none" w:sz="0" w:space="0" w:color="auto"/>
        <w:bottom w:val="none" w:sz="0" w:space="0" w:color="auto"/>
        <w:right w:val="none" w:sz="0" w:space="0" w:color="auto"/>
      </w:divBdr>
    </w:div>
    <w:div w:id="1786734309">
      <w:bodyDiv w:val="1"/>
      <w:marLeft w:val="0"/>
      <w:marRight w:val="0"/>
      <w:marTop w:val="0"/>
      <w:marBottom w:val="0"/>
      <w:divBdr>
        <w:top w:val="none" w:sz="0" w:space="0" w:color="auto"/>
        <w:left w:val="none" w:sz="0" w:space="0" w:color="auto"/>
        <w:bottom w:val="none" w:sz="0" w:space="0" w:color="auto"/>
        <w:right w:val="none" w:sz="0" w:space="0" w:color="auto"/>
      </w:divBdr>
    </w:div>
    <w:div w:id="1790198292">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1533350">
      <w:bodyDiv w:val="1"/>
      <w:marLeft w:val="0"/>
      <w:marRight w:val="0"/>
      <w:marTop w:val="0"/>
      <w:marBottom w:val="0"/>
      <w:divBdr>
        <w:top w:val="none" w:sz="0" w:space="0" w:color="auto"/>
        <w:left w:val="none" w:sz="0" w:space="0" w:color="auto"/>
        <w:bottom w:val="none" w:sz="0" w:space="0" w:color="auto"/>
        <w:right w:val="none" w:sz="0" w:space="0" w:color="auto"/>
      </w:divBdr>
    </w:div>
    <w:div w:id="1828397543">
      <w:bodyDiv w:val="1"/>
      <w:marLeft w:val="0"/>
      <w:marRight w:val="0"/>
      <w:marTop w:val="0"/>
      <w:marBottom w:val="0"/>
      <w:divBdr>
        <w:top w:val="none" w:sz="0" w:space="0" w:color="auto"/>
        <w:left w:val="none" w:sz="0" w:space="0" w:color="auto"/>
        <w:bottom w:val="none" w:sz="0" w:space="0" w:color="auto"/>
        <w:right w:val="none" w:sz="0" w:space="0" w:color="auto"/>
      </w:divBdr>
    </w:div>
    <w:div w:id="1831359776">
      <w:bodyDiv w:val="1"/>
      <w:marLeft w:val="0"/>
      <w:marRight w:val="0"/>
      <w:marTop w:val="0"/>
      <w:marBottom w:val="0"/>
      <w:divBdr>
        <w:top w:val="none" w:sz="0" w:space="0" w:color="auto"/>
        <w:left w:val="none" w:sz="0" w:space="0" w:color="auto"/>
        <w:bottom w:val="none" w:sz="0" w:space="0" w:color="auto"/>
        <w:right w:val="none" w:sz="0" w:space="0" w:color="auto"/>
      </w:divBdr>
    </w:div>
    <w:div w:id="1836798224">
      <w:bodyDiv w:val="1"/>
      <w:marLeft w:val="0"/>
      <w:marRight w:val="0"/>
      <w:marTop w:val="0"/>
      <w:marBottom w:val="0"/>
      <w:divBdr>
        <w:top w:val="none" w:sz="0" w:space="0" w:color="auto"/>
        <w:left w:val="none" w:sz="0" w:space="0" w:color="auto"/>
        <w:bottom w:val="none" w:sz="0" w:space="0" w:color="auto"/>
        <w:right w:val="none" w:sz="0" w:space="0" w:color="auto"/>
      </w:divBdr>
    </w:div>
    <w:div w:id="1846245029">
      <w:bodyDiv w:val="1"/>
      <w:marLeft w:val="0"/>
      <w:marRight w:val="0"/>
      <w:marTop w:val="0"/>
      <w:marBottom w:val="0"/>
      <w:divBdr>
        <w:top w:val="none" w:sz="0" w:space="0" w:color="auto"/>
        <w:left w:val="none" w:sz="0" w:space="0" w:color="auto"/>
        <w:bottom w:val="none" w:sz="0" w:space="0" w:color="auto"/>
        <w:right w:val="none" w:sz="0" w:space="0" w:color="auto"/>
      </w:divBdr>
    </w:div>
    <w:div w:id="1862619354">
      <w:bodyDiv w:val="1"/>
      <w:marLeft w:val="0"/>
      <w:marRight w:val="0"/>
      <w:marTop w:val="0"/>
      <w:marBottom w:val="0"/>
      <w:divBdr>
        <w:top w:val="none" w:sz="0" w:space="0" w:color="auto"/>
        <w:left w:val="none" w:sz="0" w:space="0" w:color="auto"/>
        <w:bottom w:val="none" w:sz="0" w:space="0" w:color="auto"/>
        <w:right w:val="none" w:sz="0" w:space="0" w:color="auto"/>
      </w:divBdr>
    </w:div>
    <w:div w:id="1864050052">
      <w:bodyDiv w:val="1"/>
      <w:marLeft w:val="0"/>
      <w:marRight w:val="0"/>
      <w:marTop w:val="0"/>
      <w:marBottom w:val="0"/>
      <w:divBdr>
        <w:top w:val="none" w:sz="0" w:space="0" w:color="auto"/>
        <w:left w:val="none" w:sz="0" w:space="0" w:color="auto"/>
        <w:bottom w:val="none" w:sz="0" w:space="0" w:color="auto"/>
        <w:right w:val="none" w:sz="0" w:space="0" w:color="auto"/>
      </w:divBdr>
    </w:div>
    <w:div w:id="1868331577">
      <w:bodyDiv w:val="1"/>
      <w:marLeft w:val="0"/>
      <w:marRight w:val="0"/>
      <w:marTop w:val="0"/>
      <w:marBottom w:val="0"/>
      <w:divBdr>
        <w:top w:val="none" w:sz="0" w:space="0" w:color="auto"/>
        <w:left w:val="none" w:sz="0" w:space="0" w:color="auto"/>
        <w:bottom w:val="none" w:sz="0" w:space="0" w:color="auto"/>
        <w:right w:val="none" w:sz="0" w:space="0" w:color="auto"/>
      </w:divBdr>
      <w:divsChild>
        <w:div w:id="1248077896">
          <w:marLeft w:val="0"/>
          <w:marRight w:val="0"/>
          <w:marTop w:val="0"/>
          <w:marBottom w:val="0"/>
          <w:divBdr>
            <w:top w:val="none" w:sz="0" w:space="0" w:color="auto"/>
            <w:left w:val="none" w:sz="0" w:space="0" w:color="auto"/>
            <w:bottom w:val="none" w:sz="0" w:space="0" w:color="auto"/>
            <w:right w:val="none" w:sz="0" w:space="0" w:color="auto"/>
          </w:divBdr>
        </w:div>
      </w:divsChild>
    </w:div>
    <w:div w:id="1870484301">
      <w:bodyDiv w:val="1"/>
      <w:marLeft w:val="0"/>
      <w:marRight w:val="0"/>
      <w:marTop w:val="0"/>
      <w:marBottom w:val="0"/>
      <w:divBdr>
        <w:top w:val="none" w:sz="0" w:space="0" w:color="auto"/>
        <w:left w:val="none" w:sz="0" w:space="0" w:color="auto"/>
        <w:bottom w:val="none" w:sz="0" w:space="0" w:color="auto"/>
        <w:right w:val="none" w:sz="0" w:space="0" w:color="auto"/>
      </w:divBdr>
    </w:div>
    <w:div w:id="1886679467">
      <w:bodyDiv w:val="1"/>
      <w:marLeft w:val="0"/>
      <w:marRight w:val="0"/>
      <w:marTop w:val="0"/>
      <w:marBottom w:val="0"/>
      <w:divBdr>
        <w:top w:val="none" w:sz="0" w:space="0" w:color="auto"/>
        <w:left w:val="none" w:sz="0" w:space="0" w:color="auto"/>
        <w:bottom w:val="none" w:sz="0" w:space="0" w:color="auto"/>
        <w:right w:val="none" w:sz="0" w:space="0" w:color="auto"/>
      </w:divBdr>
    </w:div>
    <w:div w:id="1910380732">
      <w:bodyDiv w:val="1"/>
      <w:marLeft w:val="0"/>
      <w:marRight w:val="0"/>
      <w:marTop w:val="0"/>
      <w:marBottom w:val="0"/>
      <w:divBdr>
        <w:top w:val="none" w:sz="0" w:space="0" w:color="auto"/>
        <w:left w:val="none" w:sz="0" w:space="0" w:color="auto"/>
        <w:bottom w:val="none" w:sz="0" w:space="0" w:color="auto"/>
        <w:right w:val="none" w:sz="0" w:space="0" w:color="auto"/>
      </w:divBdr>
    </w:div>
    <w:div w:id="1944260528">
      <w:bodyDiv w:val="1"/>
      <w:marLeft w:val="0"/>
      <w:marRight w:val="0"/>
      <w:marTop w:val="0"/>
      <w:marBottom w:val="0"/>
      <w:divBdr>
        <w:top w:val="none" w:sz="0" w:space="0" w:color="auto"/>
        <w:left w:val="none" w:sz="0" w:space="0" w:color="auto"/>
        <w:bottom w:val="none" w:sz="0" w:space="0" w:color="auto"/>
        <w:right w:val="none" w:sz="0" w:space="0" w:color="auto"/>
      </w:divBdr>
    </w:div>
    <w:div w:id="1947150976">
      <w:bodyDiv w:val="1"/>
      <w:marLeft w:val="0"/>
      <w:marRight w:val="0"/>
      <w:marTop w:val="0"/>
      <w:marBottom w:val="0"/>
      <w:divBdr>
        <w:top w:val="none" w:sz="0" w:space="0" w:color="auto"/>
        <w:left w:val="none" w:sz="0" w:space="0" w:color="auto"/>
        <w:bottom w:val="none" w:sz="0" w:space="0" w:color="auto"/>
        <w:right w:val="none" w:sz="0" w:space="0" w:color="auto"/>
      </w:divBdr>
    </w:div>
    <w:div w:id="1994678194">
      <w:bodyDiv w:val="1"/>
      <w:marLeft w:val="0"/>
      <w:marRight w:val="0"/>
      <w:marTop w:val="0"/>
      <w:marBottom w:val="0"/>
      <w:divBdr>
        <w:top w:val="none" w:sz="0" w:space="0" w:color="auto"/>
        <w:left w:val="none" w:sz="0" w:space="0" w:color="auto"/>
        <w:bottom w:val="none" w:sz="0" w:space="0" w:color="auto"/>
        <w:right w:val="none" w:sz="0" w:space="0" w:color="auto"/>
      </w:divBdr>
    </w:div>
    <w:div w:id="2000957417">
      <w:bodyDiv w:val="1"/>
      <w:marLeft w:val="0"/>
      <w:marRight w:val="0"/>
      <w:marTop w:val="0"/>
      <w:marBottom w:val="0"/>
      <w:divBdr>
        <w:top w:val="none" w:sz="0" w:space="0" w:color="auto"/>
        <w:left w:val="none" w:sz="0" w:space="0" w:color="auto"/>
        <w:bottom w:val="none" w:sz="0" w:space="0" w:color="auto"/>
        <w:right w:val="none" w:sz="0" w:space="0" w:color="auto"/>
      </w:divBdr>
    </w:div>
    <w:div w:id="2017269029">
      <w:bodyDiv w:val="1"/>
      <w:marLeft w:val="0"/>
      <w:marRight w:val="0"/>
      <w:marTop w:val="0"/>
      <w:marBottom w:val="0"/>
      <w:divBdr>
        <w:top w:val="none" w:sz="0" w:space="0" w:color="auto"/>
        <w:left w:val="none" w:sz="0" w:space="0" w:color="auto"/>
        <w:bottom w:val="none" w:sz="0" w:space="0" w:color="auto"/>
        <w:right w:val="none" w:sz="0" w:space="0" w:color="auto"/>
      </w:divBdr>
    </w:div>
    <w:div w:id="2030372069">
      <w:bodyDiv w:val="1"/>
      <w:marLeft w:val="0"/>
      <w:marRight w:val="0"/>
      <w:marTop w:val="0"/>
      <w:marBottom w:val="0"/>
      <w:divBdr>
        <w:top w:val="none" w:sz="0" w:space="0" w:color="auto"/>
        <w:left w:val="none" w:sz="0" w:space="0" w:color="auto"/>
        <w:bottom w:val="none" w:sz="0" w:space="0" w:color="auto"/>
        <w:right w:val="none" w:sz="0" w:space="0" w:color="auto"/>
      </w:divBdr>
    </w:div>
    <w:div w:id="2037348732">
      <w:bodyDiv w:val="1"/>
      <w:marLeft w:val="0"/>
      <w:marRight w:val="0"/>
      <w:marTop w:val="0"/>
      <w:marBottom w:val="0"/>
      <w:divBdr>
        <w:top w:val="none" w:sz="0" w:space="0" w:color="auto"/>
        <w:left w:val="none" w:sz="0" w:space="0" w:color="auto"/>
        <w:bottom w:val="none" w:sz="0" w:space="0" w:color="auto"/>
        <w:right w:val="none" w:sz="0" w:space="0" w:color="auto"/>
      </w:divBdr>
    </w:div>
    <w:div w:id="2073458931">
      <w:bodyDiv w:val="1"/>
      <w:marLeft w:val="0"/>
      <w:marRight w:val="0"/>
      <w:marTop w:val="0"/>
      <w:marBottom w:val="0"/>
      <w:divBdr>
        <w:top w:val="none" w:sz="0" w:space="0" w:color="auto"/>
        <w:left w:val="none" w:sz="0" w:space="0" w:color="auto"/>
        <w:bottom w:val="none" w:sz="0" w:space="0" w:color="auto"/>
        <w:right w:val="none" w:sz="0" w:space="0" w:color="auto"/>
      </w:divBdr>
    </w:div>
    <w:div w:id="2088992395">
      <w:bodyDiv w:val="1"/>
      <w:marLeft w:val="0"/>
      <w:marRight w:val="0"/>
      <w:marTop w:val="0"/>
      <w:marBottom w:val="0"/>
      <w:divBdr>
        <w:top w:val="none" w:sz="0" w:space="0" w:color="auto"/>
        <w:left w:val="none" w:sz="0" w:space="0" w:color="auto"/>
        <w:bottom w:val="none" w:sz="0" w:space="0" w:color="auto"/>
        <w:right w:val="none" w:sz="0" w:space="0" w:color="auto"/>
      </w:divBdr>
    </w:div>
    <w:div w:id="2102988243">
      <w:bodyDiv w:val="1"/>
      <w:marLeft w:val="0"/>
      <w:marRight w:val="0"/>
      <w:marTop w:val="0"/>
      <w:marBottom w:val="0"/>
      <w:divBdr>
        <w:top w:val="none" w:sz="0" w:space="0" w:color="auto"/>
        <w:left w:val="none" w:sz="0" w:space="0" w:color="auto"/>
        <w:bottom w:val="none" w:sz="0" w:space="0" w:color="auto"/>
        <w:right w:val="none" w:sz="0" w:space="0" w:color="auto"/>
      </w:divBdr>
    </w:div>
    <w:div w:id="2117209369">
      <w:bodyDiv w:val="1"/>
      <w:marLeft w:val="0"/>
      <w:marRight w:val="0"/>
      <w:marTop w:val="0"/>
      <w:marBottom w:val="0"/>
      <w:divBdr>
        <w:top w:val="none" w:sz="0" w:space="0" w:color="auto"/>
        <w:left w:val="none" w:sz="0" w:space="0" w:color="auto"/>
        <w:bottom w:val="none" w:sz="0" w:space="0" w:color="auto"/>
        <w:right w:val="none" w:sz="0" w:space="0" w:color="auto"/>
      </w:divBdr>
    </w:div>
    <w:div w:id="2117862969">
      <w:bodyDiv w:val="1"/>
      <w:marLeft w:val="0"/>
      <w:marRight w:val="0"/>
      <w:marTop w:val="0"/>
      <w:marBottom w:val="0"/>
      <w:divBdr>
        <w:top w:val="none" w:sz="0" w:space="0" w:color="auto"/>
        <w:left w:val="none" w:sz="0" w:space="0" w:color="auto"/>
        <w:bottom w:val="none" w:sz="0" w:space="0" w:color="auto"/>
        <w:right w:val="none" w:sz="0" w:space="0" w:color="auto"/>
      </w:divBdr>
    </w:div>
    <w:div w:id="213628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dlmtool.github.io/DLMtool/userguide/userguide.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7.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bio.gc.ca/info/intercol/index-en.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12C36-00C1-4EFF-BC66-50CDAB4D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30</Pages>
  <Words>5874</Words>
  <Characters>33657</Characters>
  <Application>Microsoft Office Word</Application>
  <DocSecurity>0</DocSecurity>
  <Lines>280</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de référence 2009/xx</vt:lpstr>
      <vt:lpstr>Document de référence 2009/xx</vt:lpstr>
    </vt:vector>
  </TitlesOfParts>
  <Company>MPO</Company>
  <LinksUpToDate>false</LinksUpToDate>
  <CharactersWithSpaces>39453</CharactersWithSpaces>
  <SharedDoc>false</SharedDoc>
  <HLinks>
    <vt:vector size="6" baseType="variant">
      <vt:variant>
        <vt:i4>4128796</vt:i4>
      </vt:variant>
      <vt:variant>
        <vt:i4>5</vt:i4>
      </vt:variant>
      <vt:variant>
        <vt:i4>0</vt:i4>
      </vt:variant>
      <vt:variant>
        <vt:i4>5</vt:i4>
      </vt:variant>
      <vt:variant>
        <vt:lpwstr>http://www.mar.dfo-mpo.gc.ca/science/tmgc/background/FMR 2002_01.pdf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référence 2009/xx</dc:title>
  <dc:creator>clarkk</dc:creator>
  <cp:lastModifiedBy>Smith, Charlotte</cp:lastModifiedBy>
  <cp:revision>7</cp:revision>
  <cp:lastPrinted>2020-06-29T13:30:00Z</cp:lastPrinted>
  <dcterms:created xsi:type="dcterms:W3CDTF">2020-06-29T11:39:00Z</dcterms:created>
  <dcterms:modified xsi:type="dcterms:W3CDTF">2020-06-29T16:09:00Z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2020-03-30T16:43:42Z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cb95a261-ea49-4640-8fe2-0000ecf486e1</vt:lpwstr>
  </property>
</Properties>
</file>