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4BA" w:rsidRPr="00EF4694" w:rsidRDefault="0024671F" w:rsidP="00944457">
      <w:pPr>
        <w:pStyle w:val="CoverDocumenttitle"/>
        <w:spacing w:before="3240"/>
      </w:pPr>
      <w:r>
        <w:t xml:space="preserve">Alternative Methodologies </w:t>
      </w:r>
      <w:r w:rsidR="00821FD2">
        <w:t>for</w:t>
      </w:r>
      <w:r>
        <w:t xml:space="preserve"> P</w:t>
      </w:r>
      <w:bookmarkStart w:id="0" w:name="_GoBack"/>
      <w:bookmarkEnd w:id="0"/>
      <w:r>
        <w:t>roviding Interim Catch Advice</w:t>
      </w:r>
      <w:r w:rsidR="00E210D4">
        <w:t xml:space="preserve"> for</w:t>
      </w:r>
      <w:r w:rsidR="00B91A76">
        <w:t xml:space="preserve"> </w:t>
      </w:r>
      <w:r w:rsidR="00BF04BA">
        <w:t>Eastern Georges Bank Cod</w:t>
      </w:r>
    </w:p>
    <w:p w:rsidR="00C554D1" w:rsidRPr="0062091C" w:rsidRDefault="00DE6DA7" w:rsidP="0062091C">
      <w:pPr>
        <w:pStyle w:val="CoverAuthor"/>
      </w:pPr>
      <w:r>
        <w:t>I. Andrushchenko</w:t>
      </w:r>
      <w:r w:rsidR="00652D49" w:rsidRPr="00CC7920">
        <w:rPr>
          <w:vertAlign w:val="superscript"/>
        </w:rPr>
        <w:t>1</w:t>
      </w:r>
      <w:r w:rsidR="00A17D5C">
        <w:t xml:space="preserve">, </w:t>
      </w:r>
      <w:r w:rsidR="00C73293">
        <w:t>C.</w:t>
      </w:r>
      <w:r w:rsidR="00C372CF">
        <w:t xml:space="preserve">M. </w:t>
      </w:r>
      <w:r w:rsidR="00C73293">
        <w:t>Legault</w:t>
      </w:r>
      <w:r w:rsidR="00C73293" w:rsidRPr="00C73293">
        <w:rPr>
          <w:vertAlign w:val="superscript"/>
        </w:rPr>
        <w:t>2</w:t>
      </w:r>
      <w:r w:rsidR="00C73293">
        <w:t xml:space="preserve">, </w:t>
      </w:r>
      <w:r w:rsidR="00B91A76">
        <w:t>M. Barrett</w:t>
      </w:r>
      <w:r w:rsidR="00361360" w:rsidRPr="00361360">
        <w:rPr>
          <w:vertAlign w:val="superscript"/>
        </w:rPr>
        <w:t>1</w:t>
      </w:r>
    </w:p>
    <w:p w:rsidR="00BF04BA" w:rsidRPr="00F777B0" w:rsidRDefault="00BF04BA" w:rsidP="0062091C">
      <w:pPr>
        <w:pStyle w:val="CoverAddress"/>
      </w:pPr>
      <w:r w:rsidRPr="00F777B0">
        <w:rPr>
          <w:vertAlign w:val="superscript"/>
        </w:rPr>
        <w:t>1</w:t>
      </w:r>
      <w:r>
        <w:t>Fisheries and Oceans Canada</w:t>
      </w:r>
      <w:r w:rsidR="0062091C">
        <w:br/>
      </w:r>
      <w:r w:rsidR="00E709CF">
        <w:t>125 Marine Science Drive</w:t>
      </w:r>
      <w:r w:rsidR="0062091C">
        <w:br/>
      </w:r>
      <w:r w:rsidRPr="00F777B0">
        <w:t xml:space="preserve">St. Andrews, New Brunswick E5B </w:t>
      </w:r>
      <w:r w:rsidR="00E709CF">
        <w:t>0E4</w:t>
      </w:r>
      <w:r w:rsidR="0062091C">
        <w:br/>
      </w:r>
      <w:r w:rsidRPr="00F777B0">
        <w:t>Canada</w:t>
      </w:r>
    </w:p>
    <w:p w:rsidR="00BF04BA" w:rsidRPr="0026305E" w:rsidRDefault="00BF04BA" w:rsidP="0026305E">
      <w:pPr>
        <w:pStyle w:val="CoverAddress"/>
      </w:pPr>
      <w:r w:rsidRPr="00F777B0">
        <w:rPr>
          <w:vertAlign w:val="superscript"/>
        </w:rPr>
        <w:t>2</w:t>
      </w:r>
      <w:r w:rsidRPr="00F777B0">
        <w:t>NOAA/NMFS Northeast Fisheries Science Center</w:t>
      </w:r>
      <w:r w:rsidR="0026305E">
        <w:br/>
      </w:r>
      <w:r w:rsidRPr="00F777B0">
        <w:t>166 Water Street</w:t>
      </w:r>
      <w:r w:rsidR="0026305E">
        <w:br/>
      </w:r>
      <w:r w:rsidRPr="00F777B0">
        <w:t>Woods Hole, Massachusetts  02543</w:t>
      </w:r>
      <w:r w:rsidR="0026305E">
        <w:br/>
      </w:r>
      <w:r w:rsidRPr="00337D66">
        <w:rPr>
          <w:lang w:val="en-CA"/>
        </w:rPr>
        <w:t>USA</w:t>
      </w:r>
    </w:p>
    <w:p w:rsidR="00500D3E" w:rsidRDefault="00500D3E" w:rsidP="00BF04BA">
      <w:pPr>
        <w:pStyle w:val="Cover"/>
        <w:rPr>
          <w:sz w:val="20"/>
          <w:lang w:val="en-CA"/>
        </w:rPr>
        <w:sectPr w:rsidR="00500D3E" w:rsidSect="00EC7B00">
          <w:footerReference w:type="even" r:id="rId8"/>
          <w:footerReference w:type="default" r:id="rId9"/>
          <w:headerReference w:type="first" r:id="rId10"/>
          <w:footerReference w:type="first" r:id="rId11"/>
          <w:footnotePr>
            <w:pos w:val="beneathText"/>
            <w:numRestart w:val="eachPage"/>
          </w:footnotePr>
          <w:pgSz w:w="12240" w:h="15840"/>
          <w:pgMar w:top="1440" w:right="1440" w:bottom="1440" w:left="1440" w:header="720" w:footer="720" w:gutter="0"/>
          <w:pgNumType w:start="1"/>
          <w:cols w:space="720"/>
          <w:titlePg/>
        </w:sectPr>
      </w:pPr>
    </w:p>
    <w:p w:rsidR="0026305E" w:rsidRDefault="0026305E" w:rsidP="00C47187">
      <w:pPr>
        <w:pStyle w:val="Heading1"/>
        <w:sectPr w:rsidR="0026305E" w:rsidSect="00DE4E04">
          <w:headerReference w:type="even" r:id="rId12"/>
          <w:headerReference w:type="default" r:id="rId13"/>
          <w:footerReference w:type="even" r:id="rId14"/>
          <w:footerReference w:type="default" r:id="rId15"/>
          <w:headerReference w:type="first" r:id="rId16"/>
          <w:pgSz w:w="12240" w:h="15840"/>
          <w:pgMar w:top="1440" w:right="1440" w:bottom="1440" w:left="1440" w:header="709" w:footer="709" w:gutter="0"/>
          <w:cols w:space="708"/>
          <w:docGrid w:linePitch="360"/>
        </w:sectPr>
      </w:pPr>
    </w:p>
    <w:sdt>
      <w:sdtPr>
        <w:rPr>
          <w:b w:val="0"/>
          <w:bCs w:val="0"/>
          <w:caps w:val="0"/>
          <w:sz w:val="22"/>
          <w:szCs w:val="20"/>
          <w:lang w:val="en-US"/>
        </w:rPr>
        <w:id w:val="1076633710"/>
        <w:docPartObj>
          <w:docPartGallery w:val="Table of Contents"/>
          <w:docPartUnique/>
        </w:docPartObj>
      </w:sdtPr>
      <w:sdtEndPr>
        <w:rPr>
          <w:noProof/>
        </w:rPr>
      </w:sdtEndPr>
      <w:sdtContent>
        <w:p w:rsidR="00F7539D" w:rsidRPr="00F7539D" w:rsidRDefault="00F7539D" w:rsidP="00F7539D">
          <w:pPr>
            <w:pStyle w:val="TABLEOFCONTENTS"/>
          </w:pPr>
          <w:r w:rsidRPr="00F7539D">
            <w:t>Table of Contents</w:t>
          </w:r>
        </w:p>
        <w:p w:rsidR="006771F2" w:rsidRDefault="00F7539D">
          <w:pPr>
            <w:pStyle w:val="TOC1"/>
            <w:rPr>
              <w:rFonts w:asciiTheme="minorHAnsi" w:eastAsiaTheme="minorEastAsia" w:hAnsiTheme="minorHAnsi" w:cstheme="minorBidi"/>
              <w:caps w:val="0"/>
              <w:noProof/>
              <w:szCs w:val="22"/>
            </w:rPr>
          </w:pPr>
          <w:r>
            <w:fldChar w:fldCharType="begin"/>
          </w:r>
          <w:r>
            <w:instrText xml:space="preserve"> TOC \o "1-3" \h \z \u </w:instrText>
          </w:r>
          <w:r>
            <w:fldChar w:fldCharType="separate"/>
          </w:r>
          <w:hyperlink w:anchor="_Toc43212357" w:history="1">
            <w:r w:rsidR="006771F2" w:rsidRPr="00C16CA1">
              <w:rPr>
                <w:rStyle w:val="Hyperlink"/>
                <w:noProof/>
              </w:rPr>
              <w:t>ABSTRACT</w:t>
            </w:r>
            <w:r w:rsidR="006771F2">
              <w:rPr>
                <w:noProof/>
                <w:webHidden/>
              </w:rPr>
              <w:tab/>
            </w:r>
            <w:r w:rsidR="006771F2">
              <w:rPr>
                <w:noProof/>
                <w:webHidden/>
              </w:rPr>
              <w:fldChar w:fldCharType="begin"/>
            </w:r>
            <w:r w:rsidR="006771F2">
              <w:rPr>
                <w:noProof/>
                <w:webHidden/>
              </w:rPr>
              <w:instrText xml:space="preserve"> PAGEREF _Toc43212357 \h </w:instrText>
            </w:r>
            <w:r w:rsidR="006771F2">
              <w:rPr>
                <w:noProof/>
                <w:webHidden/>
              </w:rPr>
            </w:r>
            <w:r w:rsidR="006771F2">
              <w:rPr>
                <w:noProof/>
                <w:webHidden/>
              </w:rPr>
              <w:fldChar w:fldCharType="separate"/>
            </w:r>
            <w:r w:rsidR="004744A1">
              <w:rPr>
                <w:noProof/>
                <w:webHidden/>
              </w:rPr>
              <w:t>iv</w:t>
            </w:r>
            <w:r w:rsidR="006771F2">
              <w:rPr>
                <w:noProof/>
                <w:webHidden/>
              </w:rPr>
              <w:fldChar w:fldCharType="end"/>
            </w:r>
          </w:hyperlink>
        </w:p>
        <w:p w:rsidR="006771F2" w:rsidRDefault="0040571C">
          <w:pPr>
            <w:pStyle w:val="TOC1"/>
            <w:rPr>
              <w:rFonts w:asciiTheme="minorHAnsi" w:eastAsiaTheme="minorEastAsia" w:hAnsiTheme="minorHAnsi" w:cstheme="minorBidi"/>
              <w:caps w:val="0"/>
              <w:noProof/>
              <w:szCs w:val="22"/>
            </w:rPr>
          </w:pPr>
          <w:hyperlink w:anchor="_Toc43212358" w:history="1">
            <w:r w:rsidR="006771F2" w:rsidRPr="00C16CA1">
              <w:rPr>
                <w:rStyle w:val="Hyperlink"/>
                <w:noProof/>
              </w:rPr>
              <w:t>INTRODUCTION</w:t>
            </w:r>
            <w:r w:rsidR="006771F2">
              <w:rPr>
                <w:noProof/>
                <w:webHidden/>
              </w:rPr>
              <w:tab/>
            </w:r>
            <w:r w:rsidR="006771F2">
              <w:rPr>
                <w:noProof/>
                <w:webHidden/>
              </w:rPr>
              <w:fldChar w:fldCharType="begin"/>
            </w:r>
            <w:r w:rsidR="006771F2">
              <w:rPr>
                <w:noProof/>
                <w:webHidden/>
              </w:rPr>
              <w:instrText xml:space="preserve"> PAGEREF _Toc43212358 \h </w:instrText>
            </w:r>
            <w:r w:rsidR="006771F2">
              <w:rPr>
                <w:noProof/>
                <w:webHidden/>
              </w:rPr>
            </w:r>
            <w:r w:rsidR="006771F2">
              <w:rPr>
                <w:noProof/>
                <w:webHidden/>
              </w:rPr>
              <w:fldChar w:fldCharType="separate"/>
            </w:r>
            <w:r w:rsidR="004744A1">
              <w:rPr>
                <w:noProof/>
                <w:webHidden/>
              </w:rPr>
              <w:t>1</w:t>
            </w:r>
            <w:r w:rsidR="006771F2">
              <w:rPr>
                <w:noProof/>
                <w:webHidden/>
              </w:rPr>
              <w:fldChar w:fldCharType="end"/>
            </w:r>
          </w:hyperlink>
        </w:p>
        <w:p w:rsidR="006771F2" w:rsidRDefault="0040571C">
          <w:pPr>
            <w:pStyle w:val="TOC1"/>
            <w:rPr>
              <w:rFonts w:asciiTheme="minorHAnsi" w:eastAsiaTheme="minorEastAsia" w:hAnsiTheme="minorHAnsi" w:cstheme="minorBidi"/>
              <w:caps w:val="0"/>
              <w:noProof/>
              <w:szCs w:val="22"/>
            </w:rPr>
          </w:pPr>
          <w:hyperlink w:anchor="_Toc43212359" w:history="1">
            <w:r w:rsidR="006771F2" w:rsidRPr="00C16CA1">
              <w:rPr>
                <w:rStyle w:val="Hyperlink"/>
                <w:noProof/>
              </w:rPr>
              <w:t>ROSE APPROACH</w:t>
            </w:r>
            <w:r w:rsidR="006771F2">
              <w:rPr>
                <w:noProof/>
                <w:webHidden/>
              </w:rPr>
              <w:tab/>
            </w:r>
            <w:r w:rsidR="006771F2">
              <w:rPr>
                <w:noProof/>
                <w:webHidden/>
              </w:rPr>
              <w:fldChar w:fldCharType="begin"/>
            </w:r>
            <w:r w:rsidR="006771F2">
              <w:rPr>
                <w:noProof/>
                <w:webHidden/>
              </w:rPr>
              <w:instrText xml:space="preserve"> PAGEREF _Toc43212359 \h </w:instrText>
            </w:r>
            <w:r w:rsidR="006771F2">
              <w:rPr>
                <w:noProof/>
                <w:webHidden/>
              </w:rPr>
            </w:r>
            <w:r w:rsidR="006771F2">
              <w:rPr>
                <w:noProof/>
                <w:webHidden/>
              </w:rPr>
              <w:fldChar w:fldCharType="separate"/>
            </w:r>
            <w:r w:rsidR="004744A1">
              <w:rPr>
                <w:noProof/>
                <w:webHidden/>
              </w:rPr>
              <w:t>1</w:t>
            </w:r>
            <w:r w:rsidR="006771F2">
              <w:rPr>
                <w:noProof/>
                <w:webHidden/>
              </w:rPr>
              <w:fldChar w:fldCharType="end"/>
            </w:r>
          </w:hyperlink>
        </w:p>
        <w:p w:rsidR="006771F2" w:rsidRDefault="0040571C">
          <w:pPr>
            <w:pStyle w:val="TOC1"/>
            <w:rPr>
              <w:rFonts w:asciiTheme="minorHAnsi" w:eastAsiaTheme="minorEastAsia" w:hAnsiTheme="minorHAnsi" w:cstheme="minorBidi"/>
              <w:caps w:val="0"/>
              <w:noProof/>
              <w:szCs w:val="22"/>
            </w:rPr>
          </w:pPr>
          <w:hyperlink w:anchor="_Toc43212360" w:history="1">
            <w:r w:rsidR="006771F2" w:rsidRPr="00C16CA1">
              <w:rPr>
                <w:rStyle w:val="Hyperlink"/>
                <w:noProof/>
              </w:rPr>
              <w:t>DLMTOOL APPROACH</w:t>
            </w:r>
            <w:r w:rsidR="006771F2">
              <w:rPr>
                <w:noProof/>
                <w:webHidden/>
              </w:rPr>
              <w:tab/>
            </w:r>
            <w:r w:rsidR="006771F2">
              <w:rPr>
                <w:noProof/>
                <w:webHidden/>
              </w:rPr>
              <w:fldChar w:fldCharType="begin"/>
            </w:r>
            <w:r w:rsidR="006771F2">
              <w:rPr>
                <w:noProof/>
                <w:webHidden/>
              </w:rPr>
              <w:instrText xml:space="preserve"> PAGEREF _Toc43212360 \h </w:instrText>
            </w:r>
            <w:r w:rsidR="006771F2">
              <w:rPr>
                <w:noProof/>
                <w:webHidden/>
              </w:rPr>
            </w:r>
            <w:r w:rsidR="006771F2">
              <w:rPr>
                <w:noProof/>
                <w:webHidden/>
              </w:rPr>
              <w:fldChar w:fldCharType="separate"/>
            </w:r>
            <w:r w:rsidR="004744A1">
              <w:rPr>
                <w:noProof/>
                <w:webHidden/>
              </w:rPr>
              <w:t>3</w:t>
            </w:r>
            <w:r w:rsidR="006771F2">
              <w:rPr>
                <w:noProof/>
                <w:webHidden/>
              </w:rPr>
              <w:fldChar w:fldCharType="end"/>
            </w:r>
          </w:hyperlink>
        </w:p>
        <w:p w:rsidR="006771F2" w:rsidRDefault="0040571C">
          <w:pPr>
            <w:pStyle w:val="TOC2"/>
            <w:rPr>
              <w:rFonts w:asciiTheme="minorHAnsi" w:eastAsiaTheme="minorEastAsia" w:hAnsiTheme="minorHAnsi" w:cstheme="minorBidi"/>
              <w:caps w:val="0"/>
              <w:noProof/>
              <w:szCs w:val="22"/>
            </w:rPr>
          </w:pPr>
          <w:hyperlink w:anchor="_Toc43212361" w:history="1">
            <w:r w:rsidR="006771F2" w:rsidRPr="00C16CA1">
              <w:rPr>
                <w:rStyle w:val="Hyperlink"/>
                <w:noProof/>
              </w:rPr>
              <w:t>OPERATING MODEL</w:t>
            </w:r>
            <w:r w:rsidR="006771F2">
              <w:rPr>
                <w:noProof/>
                <w:webHidden/>
              </w:rPr>
              <w:tab/>
            </w:r>
            <w:r w:rsidR="006771F2">
              <w:rPr>
                <w:noProof/>
                <w:webHidden/>
              </w:rPr>
              <w:fldChar w:fldCharType="begin"/>
            </w:r>
            <w:r w:rsidR="006771F2">
              <w:rPr>
                <w:noProof/>
                <w:webHidden/>
              </w:rPr>
              <w:instrText xml:space="preserve"> PAGEREF _Toc43212361 \h </w:instrText>
            </w:r>
            <w:r w:rsidR="006771F2">
              <w:rPr>
                <w:noProof/>
                <w:webHidden/>
              </w:rPr>
            </w:r>
            <w:r w:rsidR="006771F2">
              <w:rPr>
                <w:noProof/>
                <w:webHidden/>
              </w:rPr>
              <w:fldChar w:fldCharType="separate"/>
            </w:r>
            <w:r w:rsidR="004744A1">
              <w:rPr>
                <w:noProof/>
                <w:webHidden/>
              </w:rPr>
              <w:t>4</w:t>
            </w:r>
            <w:r w:rsidR="006771F2">
              <w:rPr>
                <w:noProof/>
                <w:webHidden/>
              </w:rPr>
              <w:fldChar w:fldCharType="end"/>
            </w:r>
          </w:hyperlink>
        </w:p>
        <w:p w:rsidR="006771F2" w:rsidRDefault="0040571C">
          <w:pPr>
            <w:pStyle w:val="TOC3"/>
            <w:tabs>
              <w:tab w:val="right" w:leader="dot" w:pos="9350"/>
            </w:tabs>
            <w:rPr>
              <w:rFonts w:asciiTheme="minorHAnsi" w:eastAsiaTheme="minorEastAsia" w:hAnsiTheme="minorHAnsi" w:cstheme="minorBidi"/>
              <w:noProof/>
            </w:rPr>
          </w:pPr>
          <w:hyperlink w:anchor="_Toc43212362" w:history="1">
            <w:r w:rsidR="006771F2" w:rsidRPr="00C16CA1">
              <w:rPr>
                <w:rStyle w:val="Hyperlink"/>
                <w:noProof/>
              </w:rPr>
              <w:t>Stock-Recruit Relationship</w:t>
            </w:r>
            <w:r w:rsidR="006771F2">
              <w:rPr>
                <w:noProof/>
                <w:webHidden/>
              </w:rPr>
              <w:tab/>
            </w:r>
            <w:r w:rsidR="006771F2">
              <w:rPr>
                <w:noProof/>
                <w:webHidden/>
              </w:rPr>
              <w:fldChar w:fldCharType="begin"/>
            </w:r>
            <w:r w:rsidR="006771F2">
              <w:rPr>
                <w:noProof/>
                <w:webHidden/>
              </w:rPr>
              <w:instrText xml:space="preserve"> PAGEREF _Toc43212362 \h </w:instrText>
            </w:r>
            <w:r w:rsidR="006771F2">
              <w:rPr>
                <w:noProof/>
                <w:webHidden/>
              </w:rPr>
            </w:r>
            <w:r w:rsidR="006771F2">
              <w:rPr>
                <w:noProof/>
                <w:webHidden/>
              </w:rPr>
              <w:fldChar w:fldCharType="separate"/>
            </w:r>
            <w:r w:rsidR="004744A1">
              <w:rPr>
                <w:noProof/>
                <w:webHidden/>
              </w:rPr>
              <w:t>4</w:t>
            </w:r>
            <w:r w:rsidR="006771F2">
              <w:rPr>
                <w:noProof/>
                <w:webHidden/>
              </w:rPr>
              <w:fldChar w:fldCharType="end"/>
            </w:r>
          </w:hyperlink>
        </w:p>
        <w:p w:rsidR="006771F2" w:rsidRDefault="0040571C">
          <w:pPr>
            <w:pStyle w:val="TOC3"/>
            <w:tabs>
              <w:tab w:val="right" w:leader="dot" w:pos="9350"/>
            </w:tabs>
            <w:rPr>
              <w:rFonts w:asciiTheme="minorHAnsi" w:eastAsiaTheme="minorEastAsia" w:hAnsiTheme="minorHAnsi" w:cstheme="minorBidi"/>
              <w:noProof/>
            </w:rPr>
          </w:pPr>
          <w:hyperlink w:anchor="_Toc43212363" w:history="1">
            <w:r w:rsidR="006771F2" w:rsidRPr="00C16CA1">
              <w:rPr>
                <w:rStyle w:val="Hyperlink"/>
                <w:noProof/>
              </w:rPr>
              <w:t>Depletion and Unfished Recruitment</w:t>
            </w:r>
            <w:r w:rsidR="006771F2">
              <w:rPr>
                <w:noProof/>
                <w:webHidden/>
              </w:rPr>
              <w:tab/>
            </w:r>
            <w:r w:rsidR="006771F2">
              <w:rPr>
                <w:noProof/>
                <w:webHidden/>
              </w:rPr>
              <w:fldChar w:fldCharType="begin"/>
            </w:r>
            <w:r w:rsidR="006771F2">
              <w:rPr>
                <w:noProof/>
                <w:webHidden/>
              </w:rPr>
              <w:instrText xml:space="preserve"> PAGEREF _Toc43212363 \h </w:instrText>
            </w:r>
            <w:r w:rsidR="006771F2">
              <w:rPr>
                <w:noProof/>
                <w:webHidden/>
              </w:rPr>
            </w:r>
            <w:r w:rsidR="006771F2">
              <w:rPr>
                <w:noProof/>
                <w:webHidden/>
              </w:rPr>
              <w:fldChar w:fldCharType="separate"/>
            </w:r>
            <w:r w:rsidR="004744A1">
              <w:rPr>
                <w:noProof/>
                <w:webHidden/>
              </w:rPr>
              <w:t>5</w:t>
            </w:r>
            <w:r w:rsidR="006771F2">
              <w:rPr>
                <w:noProof/>
                <w:webHidden/>
              </w:rPr>
              <w:fldChar w:fldCharType="end"/>
            </w:r>
          </w:hyperlink>
        </w:p>
        <w:p w:rsidR="006771F2" w:rsidRDefault="0040571C">
          <w:pPr>
            <w:pStyle w:val="TOC3"/>
            <w:tabs>
              <w:tab w:val="right" w:leader="dot" w:pos="9350"/>
            </w:tabs>
            <w:rPr>
              <w:rFonts w:asciiTheme="minorHAnsi" w:eastAsiaTheme="minorEastAsia" w:hAnsiTheme="minorHAnsi" w:cstheme="minorBidi"/>
              <w:noProof/>
            </w:rPr>
          </w:pPr>
          <w:hyperlink w:anchor="_Toc43212364" w:history="1">
            <w:r w:rsidR="006771F2" w:rsidRPr="00C16CA1">
              <w:rPr>
                <w:rStyle w:val="Hyperlink"/>
                <w:noProof/>
              </w:rPr>
              <w:t>Age-Length Key</w:t>
            </w:r>
            <w:r w:rsidR="006771F2">
              <w:rPr>
                <w:noProof/>
                <w:webHidden/>
              </w:rPr>
              <w:tab/>
            </w:r>
            <w:r w:rsidR="006771F2">
              <w:rPr>
                <w:noProof/>
                <w:webHidden/>
              </w:rPr>
              <w:fldChar w:fldCharType="begin"/>
            </w:r>
            <w:r w:rsidR="006771F2">
              <w:rPr>
                <w:noProof/>
                <w:webHidden/>
              </w:rPr>
              <w:instrText xml:space="preserve"> PAGEREF _Toc43212364 \h </w:instrText>
            </w:r>
            <w:r w:rsidR="006771F2">
              <w:rPr>
                <w:noProof/>
                <w:webHidden/>
              </w:rPr>
            </w:r>
            <w:r w:rsidR="006771F2">
              <w:rPr>
                <w:noProof/>
                <w:webHidden/>
              </w:rPr>
              <w:fldChar w:fldCharType="separate"/>
            </w:r>
            <w:r w:rsidR="004744A1">
              <w:rPr>
                <w:noProof/>
                <w:webHidden/>
              </w:rPr>
              <w:t>5</w:t>
            </w:r>
            <w:r w:rsidR="006771F2">
              <w:rPr>
                <w:noProof/>
                <w:webHidden/>
              </w:rPr>
              <w:fldChar w:fldCharType="end"/>
            </w:r>
          </w:hyperlink>
        </w:p>
        <w:p w:rsidR="006771F2" w:rsidRDefault="0040571C">
          <w:pPr>
            <w:pStyle w:val="TOC3"/>
            <w:tabs>
              <w:tab w:val="right" w:leader="dot" w:pos="9350"/>
            </w:tabs>
            <w:rPr>
              <w:rFonts w:asciiTheme="minorHAnsi" w:eastAsiaTheme="minorEastAsia" w:hAnsiTheme="minorHAnsi" w:cstheme="minorBidi"/>
              <w:noProof/>
            </w:rPr>
          </w:pPr>
          <w:hyperlink w:anchor="_Toc43212365" w:history="1">
            <w:r w:rsidR="006771F2" w:rsidRPr="00C16CA1">
              <w:rPr>
                <w:rStyle w:val="Hyperlink"/>
                <w:noProof/>
              </w:rPr>
              <w:t>Total, Natural and Fishing Mortality</w:t>
            </w:r>
            <w:r w:rsidR="006771F2">
              <w:rPr>
                <w:noProof/>
                <w:webHidden/>
              </w:rPr>
              <w:tab/>
            </w:r>
            <w:r w:rsidR="006771F2">
              <w:rPr>
                <w:noProof/>
                <w:webHidden/>
              </w:rPr>
              <w:fldChar w:fldCharType="begin"/>
            </w:r>
            <w:r w:rsidR="006771F2">
              <w:rPr>
                <w:noProof/>
                <w:webHidden/>
              </w:rPr>
              <w:instrText xml:space="preserve"> PAGEREF _Toc43212365 \h </w:instrText>
            </w:r>
            <w:r w:rsidR="006771F2">
              <w:rPr>
                <w:noProof/>
                <w:webHidden/>
              </w:rPr>
            </w:r>
            <w:r w:rsidR="006771F2">
              <w:rPr>
                <w:noProof/>
                <w:webHidden/>
              </w:rPr>
              <w:fldChar w:fldCharType="separate"/>
            </w:r>
            <w:r w:rsidR="004744A1">
              <w:rPr>
                <w:noProof/>
                <w:webHidden/>
              </w:rPr>
              <w:t>6</w:t>
            </w:r>
            <w:r w:rsidR="006771F2">
              <w:rPr>
                <w:noProof/>
                <w:webHidden/>
              </w:rPr>
              <w:fldChar w:fldCharType="end"/>
            </w:r>
          </w:hyperlink>
        </w:p>
        <w:p w:rsidR="006771F2" w:rsidRDefault="0040571C">
          <w:pPr>
            <w:pStyle w:val="TOC3"/>
            <w:tabs>
              <w:tab w:val="right" w:leader="dot" w:pos="9350"/>
            </w:tabs>
            <w:rPr>
              <w:rFonts w:asciiTheme="minorHAnsi" w:eastAsiaTheme="minorEastAsia" w:hAnsiTheme="minorHAnsi" w:cstheme="minorBidi"/>
              <w:noProof/>
            </w:rPr>
          </w:pPr>
          <w:hyperlink w:anchor="_Toc43212366" w:history="1">
            <w:r w:rsidR="006771F2" w:rsidRPr="00C16CA1">
              <w:rPr>
                <w:rStyle w:val="Hyperlink"/>
                <w:noProof/>
              </w:rPr>
              <w:t>Outstanding parameters and additional considerations</w:t>
            </w:r>
            <w:r w:rsidR="006771F2">
              <w:rPr>
                <w:noProof/>
                <w:webHidden/>
              </w:rPr>
              <w:tab/>
            </w:r>
            <w:r w:rsidR="006771F2">
              <w:rPr>
                <w:noProof/>
                <w:webHidden/>
              </w:rPr>
              <w:fldChar w:fldCharType="begin"/>
            </w:r>
            <w:r w:rsidR="006771F2">
              <w:rPr>
                <w:noProof/>
                <w:webHidden/>
              </w:rPr>
              <w:instrText xml:space="preserve"> PAGEREF _Toc43212366 \h </w:instrText>
            </w:r>
            <w:r w:rsidR="006771F2">
              <w:rPr>
                <w:noProof/>
                <w:webHidden/>
              </w:rPr>
            </w:r>
            <w:r w:rsidR="006771F2">
              <w:rPr>
                <w:noProof/>
                <w:webHidden/>
              </w:rPr>
              <w:fldChar w:fldCharType="separate"/>
            </w:r>
            <w:r w:rsidR="004744A1">
              <w:rPr>
                <w:noProof/>
                <w:webHidden/>
              </w:rPr>
              <w:t>6</w:t>
            </w:r>
            <w:r w:rsidR="006771F2">
              <w:rPr>
                <w:noProof/>
                <w:webHidden/>
              </w:rPr>
              <w:fldChar w:fldCharType="end"/>
            </w:r>
          </w:hyperlink>
        </w:p>
        <w:p w:rsidR="006771F2" w:rsidRDefault="0040571C">
          <w:pPr>
            <w:pStyle w:val="TOC1"/>
            <w:rPr>
              <w:rFonts w:asciiTheme="minorHAnsi" w:eastAsiaTheme="minorEastAsia" w:hAnsiTheme="minorHAnsi" w:cstheme="minorBidi"/>
              <w:caps w:val="0"/>
              <w:noProof/>
              <w:szCs w:val="22"/>
            </w:rPr>
          </w:pPr>
          <w:hyperlink w:anchor="_Toc43212367" w:history="1">
            <w:r w:rsidR="006771F2" w:rsidRPr="00C16CA1">
              <w:rPr>
                <w:rStyle w:val="Hyperlink"/>
                <w:noProof/>
              </w:rPr>
              <w:t>REFERENCES CITED</w:t>
            </w:r>
            <w:r w:rsidR="006771F2">
              <w:rPr>
                <w:noProof/>
                <w:webHidden/>
              </w:rPr>
              <w:tab/>
            </w:r>
            <w:r w:rsidR="006771F2">
              <w:rPr>
                <w:noProof/>
                <w:webHidden/>
              </w:rPr>
              <w:fldChar w:fldCharType="begin"/>
            </w:r>
            <w:r w:rsidR="006771F2">
              <w:rPr>
                <w:noProof/>
                <w:webHidden/>
              </w:rPr>
              <w:instrText xml:space="preserve"> PAGEREF _Toc43212367 \h </w:instrText>
            </w:r>
            <w:r w:rsidR="006771F2">
              <w:rPr>
                <w:noProof/>
                <w:webHidden/>
              </w:rPr>
            </w:r>
            <w:r w:rsidR="006771F2">
              <w:rPr>
                <w:noProof/>
                <w:webHidden/>
              </w:rPr>
              <w:fldChar w:fldCharType="separate"/>
            </w:r>
            <w:r w:rsidR="004744A1">
              <w:rPr>
                <w:noProof/>
                <w:webHidden/>
              </w:rPr>
              <w:t>7</w:t>
            </w:r>
            <w:r w:rsidR="006771F2">
              <w:rPr>
                <w:noProof/>
                <w:webHidden/>
              </w:rPr>
              <w:fldChar w:fldCharType="end"/>
            </w:r>
          </w:hyperlink>
        </w:p>
        <w:p w:rsidR="006771F2" w:rsidRDefault="0040571C">
          <w:pPr>
            <w:pStyle w:val="TOC1"/>
            <w:rPr>
              <w:rFonts w:asciiTheme="minorHAnsi" w:eastAsiaTheme="minorEastAsia" w:hAnsiTheme="minorHAnsi" w:cstheme="minorBidi"/>
              <w:caps w:val="0"/>
              <w:noProof/>
              <w:szCs w:val="22"/>
            </w:rPr>
          </w:pPr>
          <w:hyperlink w:anchor="_Toc43212368" w:history="1">
            <w:r w:rsidR="006771F2" w:rsidRPr="00C16CA1">
              <w:rPr>
                <w:rStyle w:val="Hyperlink"/>
                <w:noProof/>
              </w:rPr>
              <w:t>TABLES</w:t>
            </w:r>
            <w:r w:rsidR="006771F2">
              <w:rPr>
                <w:noProof/>
                <w:webHidden/>
              </w:rPr>
              <w:tab/>
            </w:r>
            <w:r w:rsidR="006771F2">
              <w:rPr>
                <w:noProof/>
                <w:webHidden/>
              </w:rPr>
              <w:fldChar w:fldCharType="begin"/>
            </w:r>
            <w:r w:rsidR="006771F2">
              <w:rPr>
                <w:noProof/>
                <w:webHidden/>
              </w:rPr>
              <w:instrText xml:space="preserve"> PAGEREF _Toc43212368 \h </w:instrText>
            </w:r>
            <w:r w:rsidR="006771F2">
              <w:rPr>
                <w:noProof/>
                <w:webHidden/>
              </w:rPr>
            </w:r>
            <w:r w:rsidR="006771F2">
              <w:rPr>
                <w:noProof/>
                <w:webHidden/>
              </w:rPr>
              <w:fldChar w:fldCharType="separate"/>
            </w:r>
            <w:r w:rsidR="004744A1">
              <w:rPr>
                <w:noProof/>
                <w:webHidden/>
              </w:rPr>
              <w:t>9</w:t>
            </w:r>
            <w:r w:rsidR="006771F2">
              <w:rPr>
                <w:noProof/>
                <w:webHidden/>
              </w:rPr>
              <w:fldChar w:fldCharType="end"/>
            </w:r>
          </w:hyperlink>
        </w:p>
        <w:p w:rsidR="006771F2" w:rsidRDefault="0040571C">
          <w:pPr>
            <w:pStyle w:val="TOC1"/>
            <w:rPr>
              <w:rFonts w:asciiTheme="minorHAnsi" w:eastAsiaTheme="minorEastAsia" w:hAnsiTheme="minorHAnsi" w:cstheme="minorBidi"/>
              <w:caps w:val="0"/>
              <w:noProof/>
              <w:szCs w:val="22"/>
            </w:rPr>
          </w:pPr>
          <w:hyperlink w:anchor="_Toc43212369" w:history="1">
            <w:r w:rsidR="006771F2" w:rsidRPr="00C16CA1">
              <w:rPr>
                <w:rStyle w:val="Hyperlink"/>
                <w:noProof/>
              </w:rPr>
              <w:t>FIGURES</w:t>
            </w:r>
            <w:r w:rsidR="006771F2">
              <w:rPr>
                <w:noProof/>
                <w:webHidden/>
              </w:rPr>
              <w:tab/>
            </w:r>
            <w:r w:rsidR="006771F2">
              <w:rPr>
                <w:noProof/>
                <w:webHidden/>
              </w:rPr>
              <w:fldChar w:fldCharType="begin"/>
            </w:r>
            <w:r w:rsidR="006771F2">
              <w:rPr>
                <w:noProof/>
                <w:webHidden/>
              </w:rPr>
              <w:instrText xml:space="preserve"> PAGEREF _Toc43212369 \h </w:instrText>
            </w:r>
            <w:r w:rsidR="006771F2">
              <w:rPr>
                <w:noProof/>
                <w:webHidden/>
              </w:rPr>
            </w:r>
            <w:r w:rsidR="006771F2">
              <w:rPr>
                <w:noProof/>
                <w:webHidden/>
              </w:rPr>
              <w:fldChar w:fldCharType="separate"/>
            </w:r>
            <w:r w:rsidR="004744A1">
              <w:rPr>
                <w:noProof/>
                <w:webHidden/>
              </w:rPr>
              <w:t>12</w:t>
            </w:r>
            <w:r w:rsidR="006771F2">
              <w:rPr>
                <w:noProof/>
                <w:webHidden/>
              </w:rPr>
              <w:fldChar w:fldCharType="end"/>
            </w:r>
          </w:hyperlink>
        </w:p>
        <w:p w:rsidR="00F7539D" w:rsidRDefault="00F7539D">
          <w:r>
            <w:rPr>
              <w:b/>
              <w:bCs/>
              <w:noProof/>
            </w:rPr>
            <w:fldChar w:fldCharType="end"/>
          </w:r>
        </w:p>
      </w:sdtContent>
    </w:sdt>
    <w:p w:rsidR="006771F2" w:rsidRDefault="006771F2" w:rsidP="00C47187">
      <w:pPr>
        <w:pStyle w:val="Heading1"/>
      </w:pPr>
      <w:r>
        <w:br w:type="page"/>
      </w:r>
    </w:p>
    <w:p w:rsidR="006802BC" w:rsidRPr="00821FD2" w:rsidRDefault="006802BC" w:rsidP="00C47187">
      <w:pPr>
        <w:pStyle w:val="Heading1"/>
      </w:pPr>
      <w:bookmarkStart w:id="1" w:name="_Toc43212357"/>
      <w:r w:rsidRPr="00821FD2">
        <w:t>ABSTRACT</w:t>
      </w:r>
      <w:bookmarkEnd w:id="1"/>
    </w:p>
    <w:p w:rsidR="00600836" w:rsidRDefault="00600836" w:rsidP="00F7539D">
      <w:pPr>
        <w:pStyle w:val="BodyText"/>
        <w:rPr>
          <w:lang w:val="en-CA"/>
        </w:rPr>
      </w:pPr>
      <w:r w:rsidRPr="00600836">
        <w:rPr>
          <w:lang w:val="en-CA"/>
        </w:rPr>
        <w:t xml:space="preserve">Following the 2018 </w:t>
      </w:r>
      <w:r w:rsidR="009B3064">
        <w:rPr>
          <w:lang w:val="en-CA"/>
        </w:rPr>
        <w:t>Transboundary Resources Assessment Committee (</w:t>
      </w:r>
      <w:r w:rsidRPr="00600836">
        <w:rPr>
          <w:lang w:val="en-CA"/>
        </w:rPr>
        <w:t>TRAC</w:t>
      </w:r>
      <w:r w:rsidR="009B3064">
        <w:rPr>
          <w:lang w:val="en-CA"/>
        </w:rPr>
        <w:t>)</w:t>
      </w:r>
      <w:r w:rsidRPr="00600836">
        <w:rPr>
          <w:lang w:val="en-CA"/>
        </w:rPr>
        <w:t xml:space="preserve">, poor diagnostics of both the </w:t>
      </w:r>
      <w:r w:rsidR="009B3064">
        <w:rPr>
          <w:lang w:val="en-CA"/>
        </w:rPr>
        <w:t>Virtual Population Assessment (</w:t>
      </w:r>
      <w:r w:rsidRPr="00600836">
        <w:rPr>
          <w:lang w:val="en-CA"/>
        </w:rPr>
        <w:t>VPA</w:t>
      </w:r>
      <w:r w:rsidR="009B3064">
        <w:rPr>
          <w:lang w:val="en-CA"/>
        </w:rPr>
        <w:t>)</w:t>
      </w:r>
      <w:r w:rsidRPr="00600836">
        <w:rPr>
          <w:lang w:val="en-CA"/>
        </w:rPr>
        <w:t xml:space="preserve"> </w:t>
      </w:r>
      <w:r w:rsidR="00BD5BBF">
        <w:rPr>
          <w:lang w:val="en-CA"/>
        </w:rPr>
        <w:t xml:space="preserve">and </w:t>
      </w:r>
      <w:r w:rsidR="00C37E80">
        <w:t>Age Structured Assessment Program</w:t>
      </w:r>
      <w:r w:rsidR="00C37E80">
        <w:rPr>
          <w:lang w:val="en-CA"/>
        </w:rPr>
        <w:t xml:space="preserve"> (</w:t>
      </w:r>
      <w:r w:rsidR="00BD5BBF">
        <w:rPr>
          <w:lang w:val="en-CA"/>
        </w:rPr>
        <w:t>ASAP</w:t>
      </w:r>
      <w:r w:rsidR="00C37E80">
        <w:rPr>
          <w:lang w:val="en-CA"/>
        </w:rPr>
        <w:t>)</w:t>
      </w:r>
      <w:r w:rsidR="00BD5BBF">
        <w:rPr>
          <w:lang w:val="en-CA"/>
        </w:rPr>
        <w:t xml:space="preserve"> assessment models for E</w:t>
      </w:r>
      <w:r w:rsidRPr="00600836">
        <w:rPr>
          <w:lang w:val="en-CA"/>
        </w:rPr>
        <w:t xml:space="preserve">astern </w:t>
      </w:r>
      <w:r w:rsidR="00BD5BBF">
        <w:rPr>
          <w:lang w:val="en-CA"/>
        </w:rPr>
        <w:t>Georges Bank C</w:t>
      </w:r>
      <w:r w:rsidRPr="00600836">
        <w:rPr>
          <w:lang w:val="en-CA"/>
        </w:rPr>
        <w:t xml:space="preserve">od resulted in </w:t>
      </w:r>
      <w:r w:rsidR="009B3064">
        <w:rPr>
          <w:lang w:val="en-CA"/>
        </w:rPr>
        <w:t>Transboundary Management Guidance Committee (</w:t>
      </w:r>
      <w:r w:rsidRPr="00600836">
        <w:rPr>
          <w:lang w:val="en-CA"/>
        </w:rPr>
        <w:t>TMGC</w:t>
      </w:r>
      <w:r w:rsidR="009B3064">
        <w:rPr>
          <w:lang w:val="en-CA"/>
        </w:rPr>
        <w:t>)</w:t>
      </w:r>
      <w:r w:rsidRPr="00600836">
        <w:rPr>
          <w:lang w:val="en-CA"/>
        </w:rPr>
        <w:t xml:space="preserve"> requesting that TRAC investigate alternative methodologies for providing catch advice until a benchmark can be held. The two approaches presented for further exploration in this document are the Rose and Data Limited Methods Tool (</w:t>
      </w:r>
      <w:proofErr w:type="spellStart"/>
      <w:r w:rsidRPr="00600836">
        <w:rPr>
          <w:lang w:val="en-CA"/>
        </w:rPr>
        <w:t>DLMtool</w:t>
      </w:r>
      <w:proofErr w:type="spellEnd"/>
      <w:r w:rsidRPr="00600836">
        <w:rPr>
          <w:lang w:val="en-CA"/>
        </w:rPr>
        <w:t>). The Rose approach uses a variety of assessment models to address retrospective patterns and provide catch advice based on the ensemble of models through either a formulaic calculation or making trade-offs between short</w:t>
      </w:r>
      <w:r w:rsidR="00BD5BBF">
        <w:rPr>
          <w:lang w:val="en-CA"/>
        </w:rPr>
        <w:t>- and long-</w:t>
      </w:r>
      <w:r w:rsidRPr="00600836">
        <w:rPr>
          <w:lang w:val="en-CA"/>
        </w:rPr>
        <w:t xml:space="preserve">term consequences. The </w:t>
      </w:r>
      <w:proofErr w:type="spellStart"/>
      <w:r w:rsidRPr="00600836">
        <w:rPr>
          <w:lang w:val="en-CA"/>
        </w:rPr>
        <w:t>DLMtool</w:t>
      </w:r>
      <w:proofErr w:type="spellEnd"/>
      <w:r w:rsidRPr="00600836">
        <w:rPr>
          <w:lang w:val="en-CA"/>
        </w:rPr>
        <w:t xml:space="preserve"> prov</w:t>
      </w:r>
      <w:r w:rsidR="009B3064">
        <w:rPr>
          <w:lang w:val="en-CA"/>
        </w:rPr>
        <w:t>ides a simulation platform that</w:t>
      </w:r>
      <w:r w:rsidRPr="00600836">
        <w:rPr>
          <w:lang w:val="en-CA"/>
        </w:rPr>
        <w:t xml:space="preserve"> mimics stock dynamics across a range of uncertainties, against which simple index-based management procedures for provision of interim advice can be tested. Pros and cons of both approaches will be discussed and a decision will be made regarding which one of the two approaches will be used to provide advice at the 2020 TRAC.</w:t>
      </w:r>
    </w:p>
    <w:p w:rsidR="001668CE" w:rsidRDefault="001668CE" w:rsidP="00F7539D">
      <w:pPr>
        <w:pStyle w:val="Heading1"/>
        <w:sectPr w:rsidR="001668CE" w:rsidSect="001668CE">
          <w:footerReference w:type="default" r:id="rId17"/>
          <w:pgSz w:w="12240" w:h="15840"/>
          <w:pgMar w:top="1440" w:right="1440" w:bottom="1440" w:left="1440" w:header="709" w:footer="709" w:gutter="0"/>
          <w:pgNumType w:fmt="lowerRoman" w:start="3"/>
          <w:cols w:space="708"/>
          <w:docGrid w:linePitch="360"/>
        </w:sectPr>
      </w:pPr>
    </w:p>
    <w:p w:rsidR="009F69E7" w:rsidRPr="00821FD2" w:rsidRDefault="009F69E7" w:rsidP="00F7539D">
      <w:pPr>
        <w:pStyle w:val="Heading1"/>
      </w:pPr>
      <w:bookmarkStart w:id="2" w:name="_Toc43212358"/>
      <w:r w:rsidRPr="00821FD2">
        <w:t>I</w:t>
      </w:r>
      <w:r w:rsidR="00EE2BFD" w:rsidRPr="00821FD2">
        <w:t>NTRODUCTION</w:t>
      </w:r>
      <w:bookmarkEnd w:id="2"/>
    </w:p>
    <w:p w:rsidR="00C52498" w:rsidRDefault="006C2DC7" w:rsidP="00F7539D">
      <w:pPr>
        <w:pStyle w:val="BodyText"/>
        <w:rPr>
          <w:rStyle w:val="BodyTextChar3"/>
          <w:rFonts w:cs="Arial"/>
          <w:color w:val="000000"/>
          <w:sz w:val="22"/>
          <w:szCs w:val="22"/>
        </w:rPr>
      </w:pPr>
      <w:r w:rsidRPr="00C52498">
        <w:t xml:space="preserve">In recent years, performance of the </w:t>
      </w:r>
      <w:r w:rsidR="00C37E80">
        <w:t>Virtual Population Assessment (</w:t>
      </w:r>
      <w:r w:rsidRPr="00C52498">
        <w:t>VPA</w:t>
      </w:r>
      <w:r w:rsidR="00C37E80">
        <w:t>)</w:t>
      </w:r>
      <w:r w:rsidRPr="00C52498">
        <w:t xml:space="preserve"> and</w:t>
      </w:r>
      <w:r w:rsidR="00C37E80">
        <w:t xml:space="preserve"> Age Structured Assessment Program (</w:t>
      </w:r>
      <w:r w:rsidR="00BD5BBF">
        <w:t>ASAP</w:t>
      </w:r>
      <w:r w:rsidR="00C37E80">
        <w:t>) models</w:t>
      </w:r>
      <w:r w:rsidR="00BD5BBF">
        <w:t xml:space="preserve"> for Eastern Georges Bank C</w:t>
      </w:r>
      <w:r w:rsidRPr="00C52498">
        <w:t>od was poor and getting worse with time with regard to model diagnostics. Some of the diagnostic issues were poor fits to the survey data and significant retrospective patterns in biomass, fishing mortality, and recruitment, indicating an undiagnosed misspecification in the model. As the VPA and ASAP modeling approaches were becoming increasingly unreliable for providing management advice (Andrushchenko et al. 2018), the</w:t>
      </w:r>
      <w:r w:rsidR="00821FD2" w:rsidRPr="00C52498">
        <w:rPr>
          <w:rStyle w:val="BodyTextChar3"/>
          <w:rFonts w:cs="Arial"/>
          <w:color w:val="000000"/>
          <w:sz w:val="22"/>
          <w:szCs w:val="22"/>
        </w:rPr>
        <w:t xml:space="preserve"> Transboundary Guidance Management Committee (TMGC)</w:t>
      </w:r>
      <w:r w:rsidR="00020BD2" w:rsidRPr="00C52498">
        <w:rPr>
          <w:rStyle w:val="BodyTextChar3"/>
          <w:rFonts w:cs="Arial"/>
          <w:color w:val="000000"/>
          <w:sz w:val="22"/>
          <w:szCs w:val="22"/>
        </w:rPr>
        <w:t xml:space="preserve"> </w:t>
      </w:r>
      <w:r w:rsidRPr="00C52498">
        <w:t xml:space="preserve">has tasked </w:t>
      </w:r>
      <w:r w:rsidR="00821FD2" w:rsidRPr="00C52498">
        <w:t>the Transboundary Resource</w:t>
      </w:r>
      <w:r w:rsidR="00C37E80">
        <w:t>s</w:t>
      </w:r>
      <w:r w:rsidR="00821FD2" w:rsidRPr="00C52498">
        <w:t xml:space="preserve"> Assessment Committee (</w:t>
      </w:r>
      <w:r w:rsidRPr="00C52498">
        <w:t>TRAC</w:t>
      </w:r>
      <w:r w:rsidR="00821FD2" w:rsidRPr="00C52498">
        <w:t>)</w:t>
      </w:r>
      <w:r w:rsidRPr="00C52498">
        <w:t xml:space="preserve"> with investigating alternative methodologies for providing </w:t>
      </w:r>
      <w:r w:rsidR="00821FD2" w:rsidRPr="00C52498">
        <w:t xml:space="preserve">interim </w:t>
      </w:r>
      <w:r w:rsidRPr="00C52498">
        <w:t>catch advice in 2019</w:t>
      </w:r>
      <w:r w:rsidR="0089059A">
        <w:t>–</w:t>
      </w:r>
      <w:r w:rsidRPr="00C52498">
        <w:t xml:space="preserve">2020, until a benchmark assessment can be completed for this resource (Terms of Reference 3). The </w:t>
      </w:r>
      <w:r w:rsidR="00C366D1">
        <w:t xml:space="preserve">two </w:t>
      </w:r>
      <w:r w:rsidRPr="00C52498">
        <w:t>most promising approaches examined to date are outlined below and will be reported</w:t>
      </w:r>
      <w:r w:rsidR="00343416">
        <w:t xml:space="preserve"> on</w:t>
      </w:r>
      <w:r w:rsidRPr="00C52498">
        <w:t xml:space="preserve"> during the annual 2019 TRAC meeting (July 9</w:t>
      </w:r>
      <w:r w:rsidR="0089059A">
        <w:t>–</w:t>
      </w:r>
      <w:r w:rsidRPr="00C52498">
        <w:t xml:space="preserve">11, 2019). </w:t>
      </w:r>
      <w:r w:rsidR="0024671F" w:rsidRPr="00C52498">
        <w:t>For logistical reasons, t</w:t>
      </w:r>
      <w:r w:rsidRPr="00C52498">
        <w:t>he 2019 Terms of Reference (</w:t>
      </w:r>
      <w:proofErr w:type="spellStart"/>
      <w:r w:rsidRPr="00C52498">
        <w:t>ToRs</w:t>
      </w:r>
      <w:proofErr w:type="spellEnd"/>
      <w:r w:rsidRPr="00C52498">
        <w:t>)</w:t>
      </w:r>
      <w:r w:rsidR="00020BD2" w:rsidRPr="00C52498">
        <w:t xml:space="preserve"> 1 and 2</w:t>
      </w:r>
      <w:r w:rsidRPr="00C52498">
        <w:t xml:space="preserve"> are addressed in a separate TRAC document (</w:t>
      </w:r>
      <w:r w:rsidR="000604AB" w:rsidRPr="00354AAF">
        <w:t>TRAC 2019/03</w:t>
      </w:r>
      <w:r w:rsidRPr="00C52498">
        <w:t>)</w:t>
      </w:r>
      <w:r w:rsidR="0024671F" w:rsidRPr="00C52498">
        <w:t xml:space="preserve">. </w:t>
      </w:r>
      <w:r w:rsidRPr="00C52498">
        <w:rPr>
          <w:rStyle w:val="BodyTextChar3"/>
          <w:rFonts w:cs="Arial"/>
          <w:color w:val="000000"/>
          <w:sz w:val="22"/>
          <w:szCs w:val="22"/>
        </w:rPr>
        <w:t>Following guidance from the</w:t>
      </w:r>
      <w:r w:rsidR="00821FD2" w:rsidRPr="00C52498">
        <w:rPr>
          <w:rStyle w:val="BodyTextChar3"/>
          <w:rFonts w:cs="Arial"/>
          <w:color w:val="000000"/>
          <w:sz w:val="22"/>
          <w:szCs w:val="22"/>
        </w:rPr>
        <w:t xml:space="preserve"> TMGC</w:t>
      </w:r>
      <w:r w:rsidRPr="00C52498">
        <w:rPr>
          <w:rStyle w:val="BodyTextChar3"/>
          <w:rFonts w:cs="Arial"/>
          <w:color w:val="000000"/>
          <w:sz w:val="22"/>
          <w:szCs w:val="22"/>
        </w:rPr>
        <w:t xml:space="preserve">, no catch advice was </w:t>
      </w:r>
      <w:r w:rsidR="00BD5BBF">
        <w:rPr>
          <w:rStyle w:val="BodyTextChar3"/>
          <w:rFonts w:cs="Arial"/>
          <w:color w:val="000000"/>
          <w:sz w:val="22"/>
          <w:szCs w:val="22"/>
        </w:rPr>
        <w:t>provided for E</w:t>
      </w:r>
      <w:r w:rsidRPr="00C52498">
        <w:rPr>
          <w:rStyle w:val="BodyTextChar3"/>
          <w:rFonts w:cs="Arial"/>
          <w:color w:val="000000"/>
          <w:sz w:val="22"/>
          <w:szCs w:val="22"/>
        </w:rPr>
        <w:t>astern Georges Bank Cod for the 2020 fishing year.</w:t>
      </w:r>
    </w:p>
    <w:p w:rsidR="003127BE" w:rsidRPr="00F7539D" w:rsidRDefault="003127BE" w:rsidP="00F7539D">
      <w:pPr>
        <w:pStyle w:val="Heading1"/>
        <w:rPr>
          <w:rStyle w:val="BodyTextChar3"/>
          <w:szCs w:val="20"/>
          <w:lang w:val="en-CA"/>
        </w:rPr>
      </w:pPr>
      <w:bookmarkStart w:id="3" w:name="_Toc43212359"/>
      <w:r w:rsidRPr="00F7539D">
        <w:rPr>
          <w:rStyle w:val="BodyTextChar3"/>
          <w:szCs w:val="20"/>
          <w:lang w:val="en-CA"/>
        </w:rPr>
        <w:t>ROSE APPROACH</w:t>
      </w:r>
      <w:bookmarkEnd w:id="3"/>
    </w:p>
    <w:p w:rsidR="00597041" w:rsidRPr="00597041" w:rsidRDefault="00597041" w:rsidP="00597041">
      <w:pPr>
        <w:rPr>
          <w:rStyle w:val="BodyTextChar3"/>
          <w:rFonts w:cs="Arial"/>
          <w:color w:val="000000"/>
          <w:sz w:val="22"/>
          <w:szCs w:val="22"/>
        </w:rPr>
      </w:pPr>
      <w:r w:rsidRPr="00F64983">
        <w:rPr>
          <w:rStyle w:val="BodyTextChar3"/>
          <w:rFonts w:cs="Arial"/>
          <w:i/>
          <w:color w:val="000000"/>
          <w:sz w:val="22"/>
          <w:szCs w:val="22"/>
        </w:rPr>
        <w:t>What’s in a name? That which we call a rose by any other name would smell as sweet.</w:t>
      </w:r>
    </w:p>
    <w:p w:rsidR="00597041" w:rsidRDefault="00597041" w:rsidP="00F64983">
      <w:pPr>
        <w:ind w:left="6480" w:firstLine="720"/>
        <w:rPr>
          <w:rStyle w:val="BodyTextChar3"/>
          <w:rFonts w:cs="Arial"/>
          <w:color w:val="000000"/>
          <w:sz w:val="22"/>
          <w:szCs w:val="22"/>
        </w:rPr>
      </w:pPr>
      <w:r w:rsidRPr="00597041">
        <w:rPr>
          <w:rStyle w:val="BodyTextChar3"/>
          <w:rFonts w:cs="Arial"/>
          <w:color w:val="000000"/>
          <w:sz w:val="22"/>
          <w:szCs w:val="22"/>
        </w:rPr>
        <w:t>William Shakespeare</w:t>
      </w:r>
    </w:p>
    <w:p w:rsidR="00597041" w:rsidRPr="00046D34" w:rsidRDefault="00597041" w:rsidP="00F7539D">
      <w:pPr>
        <w:pStyle w:val="BodyText"/>
      </w:pPr>
      <w:r w:rsidRPr="00046D34">
        <w:t>Differing trends in relative</w:t>
      </w:r>
      <w:r w:rsidR="00C37E80" w:rsidRPr="00046D34">
        <w:t xml:space="preserve"> fishing mortality</w:t>
      </w:r>
      <w:r w:rsidRPr="00046D34">
        <w:t xml:space="preserve"> </w:t>
      </w:r>
      <w:r w:rsidR="00C37E80" w:rsidRPr="00046D34">
        <w:t>(</w:t>
      </w:r>
      <w:r w:rsidRPr="00046D34">
        <w:t>F</w:t>
      </w:r>
      <w:r w:rsidR="00C37E80" w:rsidRPr="00046D34">
        <w:t>)</w:t>
      </w:r>
      <w:r w:rsidRPr="00046D34">
        <w:t xml:space="preserve"> and survey </w:t>
      </w:r>
      <w:r w:rsidR="00C37E80" w:rsidRPr="00046D34">
        <w:t>total mortality (</w:t>
      </w:r>
      <w:r w:rsidRPr="00046D34">
        <w:t>Z</w:t>
      </w:r>
      <w:r w:rsidR="00C37E80" w:rsidRPr="00046D34">
        <w:t>)</w:t>
      </w:r>
      <w:r w:rsidRPr="00046D34">
        <w:t xml:space="preserve"> can be made consistent in many ways. Early catch or natural mortality can be decreased</w:t>
      </w:r>
      <w:r w:rsidR="00BD5BBF" w:rsidRPr="00046D34">
        <w:t>,</w:t>
      </w:r>
      <w:r w:rsidRPr="00046D34">
        <w:t xml:space="preserve"> or recent catch or natural mortality can be increased. There are many possible amounts of change combinations of these factors that result in consistent trends in relative F and survey Z. The same holds true for adjusting data or assumptions in stock assessment models that exhibit retrospective patterns (</w:t>
      </w:r>
      <w:proofErr w:type="spellStart"/>
      <w:r w:rsidRPr="00046D34">
        <w:t>Legault</w:t>
      </w:r>
      <w:proofErr w:type="spellEnd"/>
      <w:r w:rsidRPr="00046D34">
        <w:t xml:space="preserve"> 2009). Identifying the specific cause for a retrospective pattern in a stock assessment is notoriously difficult (ICES 2007). An alternative is to create an ensemble of models that use many different approaches to address the retrospective patterns and derive catch advice from all of the results. In such an approach, the actual cause of the retrospective pattern is not identified, but the objective is to find catch advice that is robust to a range of possible causes. Naming the cause is not needed, t</w:t>
      </w:r>
      <w:r w:rsidR="00BD5BBF" w:rsidRPr="00046D34">
        <w:t>hus the approach is termed the R</w:t>
      </w:r>
      <w:r w:rsidRPr="00046D34">
        <w:t>ose approach</w:t>
      </w:r>
      <w:r w:rsidR="00BD5BBF" w:rsidRPr="00046D34">
        <w:t>,</w:t>
      </w:r>
      <w:r w:rsidRPr="00046D34">
        <w:t xml:space="preserve"> based on the quote from Romeo and Juliet.</w:t>
      </w:r>
    </w:p>
    <w:p w:rsidR="00597041" w:rsidRPr="00046D34" w:rsidRDefault="00597041" w:rsidP="00F7539D">
      <w:pPr>
        <w:pStyle w:val="BodyText"/>
      </w:pPr>
      <w:r w:rsidRPr="00046D34">
        <w:t>To</w:t>
      </w:r>
      <w:r w:rsidR="006051DE" w:rsidRPr="00046D34">
        <w:t xml:space="preserve"> demonstrate the approach, the Witch F</w:t>
      </w:r>
      <w:r w:rsidRPr="00046D34">
        <w:t xml:space="preserve">lounder benchmark stock assessment from </w:t>
      </w:r>
      <w:r w:rsidR="00EF1B92" w:rsidRPr="00046D34">
        <w:t>Stock Assessment Review Committee (</w:t>
      </w:r>
      <w:r w:rsidRPr="00046D34">
        <w:t>SARC</w:t>
      </w:r>
      <w:r w:rsidR="00EF1B92" w:rsidRPr="00046D34">
        <w:t>)</w:t>
      </w:r>
      <w:r w:rsidRPr="00046D34">
        <w:t xml:space="preserve"> 62 (NEFSC 2017a, 2017b) is used as an example. This stock was selected because it had a similar retrospective pattern and inconsistency between relative F an</w:t>
      </w:r>
      <w:r w:rsidR="00C37E80" w:rsidRPr="00046D34">
        <w:t>d survey Z seen in the 2018</w:t>
      </w:r>
      <w:r w:rsidR="006051DE" w:rsidRPr="00046D34">
        <w:t xml:space="preserve"> Eastern Georges Bank C</w:t>
      </w:r>
      <w:r w:rsidRPr="00046D34">
        <w:t>od ASAP stock assessment (</w:t>
      </w:r>
      <w:r w:rsidR="00950A8C" w:rsidRPr="00F7539D">
        <w:rPr>
          <w:rStyle w:val="BodyTextChar3"/>
          <w:sz w:val="22"/>
          <w:szCs w:val="20"/>
        </w:rPr>
        <w:fldChar w:fldCharType="begin"/>
      </w:r>
      <w:r w:rsidR="00950A8C" w:rsidRPr="00F7539D">
        <w:rPr>
          <w:rStyle w:val="BodyTextChar3"/>
          <w:sz w:val="22"/>
          <w:szCs w:val="20"/>
        </w:rPr>
        <w:instrText xml:space="preserve"> REF _Ref13037561 \h </w:instrText>
      </w:r>
      <w:r w:rsidR="00581903" w:rsidRPr="00F7539D">
        <w:rPr>
          <w:rStyle w:val="BodyTextChar3"/>
          <w:sz w:val="22"/>
          <w:szCs w:val="20"/>
        </w:rPr>
        <w:instrText xml:space="preserve"> \* MERGEFORMAT </w:instrText>
      </w:r>
      <w:r w:rsidR="00950A8C" w:rsidRPr="00F7539D">
        <w:rPr>
          <w:rStyle w:val="BodyTextChar3"/>
          <w:sz w:val="22"/>
          <w:szCs w:val="20"/>
        </w:rPr>
      </w:r>
      <w:r w:rsidR="00950A8C" w:rsidRPr="00F7539D">
        <w:rPr>
          <w:rStyle w:val="BodyTextChar3"/>
          <w:sz w:val="22"/>
          <w:szCs w:val="20"/>
        </w:rPr>
        <w:fldChar w:fldCharType="separate"/>
      </w:r>
      <w:r w:rsidR="004744A1" w:rsidRPr="00F64983">
        <w:t xml:space="preserve">Table </w:t>
      </w:r>
      <w:r w:rsidR="004744A1">
        <w:t>1</w:t>
      </w:r>
      <w:r w:rsidR="00950A8C" w:rsidRPr="00F7539D">
        <w:rPr>
          <w:rStyle w:val="BodyTextChar3"/>
          <w:sz w:val="22"/>
          <w:szCs w:val="20"/>
        </w:rPr>
        <w:fldChar w:fldCharType="end"/>
      </w:r>
      <w:r w:rsidRPr="00046D34">
        <w:t xml:space="preserve">, </w:t>
      </w:r>
      <w:r w:rsidR="00950A8C" w:rsidRPr="00F7539D">
        <w:rPr>
          <w:rStyle w:val="BodyTextChar3"/>
          <w:sz w:val="22"/>
          <w:szCs w:val="20"/>
        </w:rPr>
        <w:fldChar w:fldCharType="begin"/>
      </w:r>
      <w:r w:rsidR="00950A8C" w:rsidRPr="00F7539D">
        <w:rPr>
          <w:rStyle w:val="BodyTextChar3"/>
          <w:sz w:val="22"/>
          <w:szCs w:val="20"/>
        </w:rPr>
        <w:instrText xml:space="preserve"> REF _Ref13037584 \h </w:instrText>
      </w:r>
      <w:r w:rsidR="00581903" w:rsidRPr="00F7539D">
        <w:rPr>
          <w:rStyle w:val="BodyTextChar3"/>
          <w:sz w:val="22"/>
          <w:szCs w:val="20"/>
        </w:rPr>
        <w:instrText xml:space="preserve"> \* MERGEFORMAT </w:instrText>
      </w:r>
      <w:r w:rsidR="00950A8C" w:rsidRPr="00F7539D">
        <w:rPr>
          <w:rStyle w:val="BodyTextChar3"/>
          <w:sz w:val="22"/>
          <w:szCs w:val="20"/>
        </w:rPr>
      </w:r>
      <w:r w:rsidR="00950A8C" w:rsidRPr="00F7539D">
        <w:rPr>
          <w:rStyle w:val="BodyTextChar3"/>
          <w:sz w:val="22"/>
          <w:szCs w:val="20"/>
        </w:rPr>
        <w:fldChar w:fldCharType="separate"/>
      </w:r>
      <w:r w:rsidR="004744A1" w:rsidRPr="00F64983">
        <w:t xml:space="preserve">Figure </w:t>
      </w:r>
      <w:r w:rsidR="004744A1">
        <w:t>1</w:t>
      </w:r>
      <w:r w:rsidR="00950A8C" w:rsidRPr="00F7539D">
        <w:rPr>
          <w:rStyle w:val="BodyTextChar3"/>
          <w:sz w:val="22"/>
          <w:szCs w:val="20"/>
        </w:rPr>
        <w:fldChar w:fldCharType="end"/>
      </w:r>
      <w:r w:rsidR="00950A8C" w:rsidRPr="00046D34">
        <w:t xml:space="preserve">; </w:t>
      </w:r>
      <w:r w:rsidR="00950A8C" w:rsidRPr="00F7539D">
        <w:rPr>
          <w:rStyle w:val="BodyTextChar3"/>
          <w:sz w:val="22"/>
          <w:szCs w:val="20"/>
        </w:rPr>
        <w:fldChar w:fldCharType="begin"/>
      </w:r>
      <w:r w:rsidR="00950A8C" w:rsidRPr="00F7539D">
        <w:rPr>
          <w:rStyle w:val="BodyTextChar3"/>
          <w:sz w:val="22"/>
          <w:szCs w:val="20"/>
        </w:rPr>
        <w:instrText xml:space="preserve"> REF _Ref13037706 \h </w:instrText>
      </w:r>
      <w:r w:rsidR="00581903" w:rsidRPr="00F7539D">
        <w:rPr>
          <w:rStyle w:val="BodyTextChar3"/>
          <w:sz w:val="22"/>
          <w:szCs w:val="20"/>
        </w:rPr>
        <w:instrText xml:space="preserve"> \* MERGEFORMAT </w:instrText>
      </w:r>
      <w:r w:rsidR="00950A8C" w:rsidRPr="00F7539D">
        <w:rPr>
          <w:rStyle w:val="BodyTextChar3"/>
          <w:sz w:val="22"/>
          <w:szCs w:val="20"/>
        </w:rPr>
      </w:r>
      <w:r w:rsidR="00950A8C" w:rsidRPr="00F7539D">
        <w:rPr>
          <w:rStyle w:val="BodyTextChar3"/>
          <w:sz w:val="22"/>
          <w:szCs w:val="20"/>
        </w:rPr>
        <w:fldChar w:fldCharType="separate"/>
      </w:r>
      <w:r w:rsidR="004744A1" w:rsidRPr="00F64983">
        <w:t xml:space="preserve">Figure </w:t>
      </w:r>
      <w:r w:rsidR="004744A1">
        <w:t>2</w:t>
      </w:r>
      <w:r w:rsidR="00950A8C" w:rsidRPr="00F7539D">
        <w:rPr>
          <w:rStyle w:val="BodyTextChar3"/>
          <w:sz w:val="22"/>
          <w:szCs w:val="20"/>
        </w:rPr>
        <w:fldChar w:fldCharType="end"/>
      </w:r>
      <w:r w:rsidR="00950A8C" w:rsidRPr="00046D34">
        <w:t xml:space="preserve">; </w:t>
      </w:r>
      <w:r w:rsidR="00950A8C" w:rsidRPr="00F7539D">
        <w:rPr>
          <w:rStyle w:val="BodyTextChar3"/>
          <w:sz w:val="22"/>
          <w:szCs w:val="20"/>
        </w:rPr>
        <w:fldChar w:fldCharType="begin"/>
      </w:r>
      <w:r w:rsidR="00950A8C" w:rsidRPr="00F7539D">
        <w:rPr>
          <w:rStyle w:val="BodyTextChar3"/>
          <w:sz w:val="22"/>
          <w:szCs w:val="20"/>
        </w:rPr>
        <w:instrText xml:space="preserve"> REF _Ref13037598 \h </w:instrText>
      </w:r>
      <w:r w:rsidR="00581903" w:rsidRPr="00F7539D">
        <w:rPr>
          <w:rStyle w:val="BodyTextChar3"/>
          <w:sz w:val="22"/>
          <w:szCs w:val="20"/>
        </w:rPr>
        <w:instrText xml:space="preserve"> \* MERGEFORMAT </w:instrText>
      </w:r>
      <w:r w:rsidR="00950A8C" w:rsidRPr="00F7539D">
        <w:rPr>
          <w:rStyle w:val="BodyTextChar3"/>
          <w:sz w:val="22"/>
          <w:szCs w:val="20"/>
        </w:rPr>
      </w:r>
      <w:r w:rsidR="00950A8C" w:rsidRPr="00F7539D">
        <w:rPr>
          <w:rStyle w:val="BodyTextChar3"/>
          <w:sz w:val="22"/>
          <w:szCs w:val="20"/>
        </w:rPr>
        <w:fldChar w:fldCharType="separate"/>
      </w:r>
      <w:r w:rsidR="004744A1" w:rsidRPr="00F64983">
        <w:t xml:space="preserve">Figure </w:t>
      </w:r>
      <w:r w:rsidR="004744A1">
        <w:t>3</w:t>
      </w:r>
      <w:r w:rsidR="00950A8C" w:rsidRPr="00F7539D">
        <w:rPr>
          <w:rStyle w:val="BodyTextChar3"/>
          <w:sz w:val="22"/>
          <w:szCs w:val="20"/>
        </w:rPr>
        <w:fldChar w:fldCharType="end"/>
      </w:r>
      <w:r w:rsidR="006051DE" w:rsidRPr="00046D34">
        <w:t>). The Witch F</w:t>
      </w:r>
      <w:r w:rsidRPr="00046D34">
        <w:t>lounder working group proposed an ASAP assessment model, but it was rejected in favor of an index-based approach at SARC 62. Additionally, a number of the Rose approach anal</w:t>
      </w:r>
      <w:r w:rsidR="006051DE" w:rsidRPr="00046D34">
        <w:t>yses were already computed for Witch F</w:t>
      </w:r>
      <w:r w:rsidRPr="00046D34">
        <w:t>lounder for another project. P</w:t>
      </w:r>
      <w:r w:rsidR="006051DE" w:rsidRPr="00046D34">
        <w:t>erhaps</w:t>
      </w:r>
      <w:r w:rsidR="00C37E80" w:rsidRPr="00046D34">
        <w:t>,</w:t>
      </w:r>
      <w:r w:rsidR="006051DE" w:rsidRPr="00046D34">
        <w:t xml:space="preserve"> most importantly, using Witch F</w:t>
      </w:r>
      <w:r w:rsidRPr="00046D34">
        <w:t>lounder to demonstrate the approach avoids the potential overemphasi</w:t>
      </w:r>
      <w:r w:rsidR="00C37E80" w:rsidRPr="00046D34">
        <w:t>s of the resulting catch advice</w:t>
      </w:r>
      <w:r w:rsidRPr="00046D34">
        <w:t xml:space="preserve"> and</w:t>
      </w:r>
      <w:r w:rsidR="00C37E80" w:rsidRPr="00046D34">
        <w:t>,</w:t>
      </w:r>
      <w:r w:rsidRPr="00046D34">
        <w:t xml:space="preserve"> instead</w:t>
      </w:r>
      <w:r w:rsidR="00C37E80" w:rsidRPr="00046D34">
        <w:t>,</w:t>
      </w:r>
      <w:r w:rsidRPr="00046D34">
        <w:t xml:space="preserve"> allows focus to remain on the approach.</w:t>
      </w:r>
    </w:p>
    <w:p w:rsidR="00597041" w:rsidRPr="00046D34" w:rsidRDefault="00597041" w:rsidP="00F7539D">
      <w:pPr>
        <w:pStyle w:val="BodyText"/>
      </w:pPr>
      <w:r w:rsidRPr="00046D34">
        <w:t>For demonstration purposes, only the simplest change in da</w:t>
      </w:r>
      <w:r w:rsidR="006051DE" w:rsidRPr="00046D34">
        <w:t>ta or assumption was examined—</w:t>
      </w:r>
      <w:r w:rsidRPr="00046D34">
        <w:t>a step function, applied in one of three scenarios:</w:t>
      </w:r>
    </w:p>
    <w:p w:rsidR="00597041" w:rsidRPr="00046D34" w:rsidRDefault="00597041" w:rsidP="00046D34">
      <w:pPr>
        <w:pStyle w:val="ListBullet"/>
        <w:rPr>
          <w:rStyle w:val="BodyTextChar3"/>
          <w:sz w:val="22"/>
          <w:szCs w:val="20"/>
        </w:rPr>
      </w:pPr>
      <w:r w:rsidRPr="00046D34">
        <w:rPr>
          <w:rStyle w:val="BodyTextChar3"/>
          <w:sz w:val="22"/>
          <w:szCs w:val="20"/>
        </w:rPr>
        <w:t>Across all ages of catch in one of three break years (2000, 200</w:t>
      </w:r>
      <w:r w:rsidR="006051DE" w:rsidRPr="00046D34">
        <w:rPr>
          <w:rStyle w:val="BodyTextChar3"/>
          <w:sz w:val="22"/>
          <w:szCs w:val="20"/>
        </w:rPr>
        <w:t>5, 2010)</w:t>
      </w:r>
    </w:p>
    <w:p w:rsidR="00597041" w:rsidRPr="00046D34" w:rsidRDefault="00597041" w:rsidP="00046D34">
      <w:pPr>
        <w:pStyle w:val="ListBullet"/>
        <w:rPr>
          <w:rStyle w:val="BodyTextChar3"/>
          <w:sz w:val="22"/>
          <w:szCs w:val="20"/>
        </w:rPr>
      </w:pPr>
      <w:r w:rsidRPr="00046D34">
        <w:rPr>
          <w:rStyle w:val="BodyTextChar3"/>
          <w:sz w:val="22"/>
          <w:szCs w:val="20"/>
        </w:rPr>
        <w:t>Across catch of only young or only</w:t>
      </w:r>
      <w:r w:rsidR="006051DE" w:rsidRPr="00046D34">
        <w:rPr>
          <w:rStyle w:val="BodyTextChar3"/>
          <w:sz w:val="22"/>
          <w:szCs w:val="20"/>
        </w:rPr>
        <w:t xml:space="preserve"> old fish, with a break in 2005</w:t>
      </w:r>
    </w:p>
    <w:p w:rsidR="00597041" w:rsidRPr="00046D34" w:rsidRDefault="00597041" w:rsidP="00046D34">
      <w:pPr>
        <w:pStyle w:val="ListBullet"/>
        <w:rPr>
          <w:rStyle w:val="BodyTextChar3"/>
          <w:sz w:val="22"/>
          <w:szCs w:val="20"/>
        </w:rPr>
      </w:pPr>
      <w:r w:rsidRPr="00046D34">
        <w:rPr>
          <w:rStyle w:val="BodyTextChar3"/>
          <w:sz w:val="22"/>
          <w:szCs w:val="20"/>
        </w:rPr>
        <w:t>Across natural mortality in one of three</w:t>
      </w:r>
      <w:r w:rsidR="006051DE" w:rsidRPr="00046D34">
        <w:rPr>
          <w:rStyle w:val="BodyTextChar3"/>
          <w:sz w:val="22"/>
          <w:szCs w:val="20"/>
        </w:rPr>
        <w:t xml:space="preserve"> break years (2000, 2005, 2010)</w:t>
      </w:r>
    </w:p>
    <w:p w:rsidR="00597041" w:rsidRPr="00046D34" w:rsidRDefault="00597041" w:rsidP="00F7539D">
      <w:pPr>
        <w:pStyle w:val="BodyText"/>
      </w:pPr>
      <w:r w:rsidRPr="00046D34">
        <w:t xml:space="preserve">Catch or natural mortality was unchanged prior to a change year when it was immediately increased to a new value based on a multiplier that ranged from 1 to 5 in steps of 0.5. In an actual Rose approach, many other possible changes would need to be considered, such as a ramp change with a linear increase in the multiplier over time, perhaps to a constant recent value. Furthermore, only three change years were examined in this exercise, while a full Rose approach would consider more change years. Finally, only a limited number of options for age effects were considered in this example, while an actual Rose approach would systematically examine a large number of possibilities. The eight selected scenarios shown here are considered representative for demonstration purposes, but </w:t>
      </w:r>
      <w:r w:rsidR="00C37E80" w:rsidRPr="00046D34">
        <w:t xml:space="preserve">they </w:t>
      </w:r>
      <w:r w:rsidRPr="00046D34">
        <w:t>are only a small subset of the full ensemble of models that would be included in a Rose approach.</w:t>
      </w:r>
    </w:p>
    <w:p w:rsidR="00597041" w:rsidRPr="00046D34" w:rsidRDefault="00597041" w:rsidP="00F7539D">
      <w:pPr>
        <w:pStyle w:val="BodyText"/>
      </w:pPr>
      <w:r w:rsidRPr="00046D34">
        <w:t xml:space="preserve">Seven of the eight scenarios had a multiplier that resulted in a </w:t>
      </w:r>
      <w:proofErr w:type="spellStart"/>
      <w:r w:rsidRPr="00046D34">
        <w:t>Mohn’s</w:t>
      </w:r>
      <w:proofErr w:type="spellEnd"/>
      <w:r w:rsidRPr="00046D34">
        <w:t xml:space="preserve"> rho for spawning stock biomass within plus/minus 0.05, meaning the retrospective pattern had been removed (circled points in </w:t>
      </w:r>
      <w:r w:rsidR="00950A8C" w:rsidRPr="00F7539D">
        <w:rPr>
          <w:rStyle w:val="BodyTextChar3"/>
          <w:sz w:val="22"/>
          <w:szCs w:val="20"/>
        </w:rPr>
        <w:fldChar w:fldCharType="begin"/>
      </w:r>
      <w:r w:rsidR="00950A8C" w:rsidRPr="00F7539D">
        <w:rPr>
          <w:rStyle w:val="BodyTextChar3"/>
          <w:sz w:val="22"/>
          <w:szCs w:val="20"/>
        </w:rPr>
        <w:instrText xml:space="preserve"> REF _Ref13037634 \h </w:instrText>
      </w:r>
      <w:r w:rsidR="00581903" w:rsidRPr="00F7539D">
        <w:rPr>
          <w:rStyle w:val="BodyTextChar3"/>
          <w:sz w:val="22"/>
          <w:szCs w:val="20"/>
        </w:rPr>
        <w:instrText xml:space="preserve"> \* MERGEFORMAT </w:instrText>
      </w:r>
      <w:r w:rsidR="00950A8C" w:rsidRPr="00F7539D">
        <w:rPr>
          <w:rStyle w:val="BodyTextChar3"/>
          <w:sz w:val="22"/>
          <w:szCs w:val="20"/>
        </w:rPr>
      </w:r>
      <w:r w:rsidR="00950A8C" w:rsidRPr="00F7539D">
        <w:rPr>
          <w:rStyle w:val="BodyTextChar3"/>
          <w:sz w:val="22"/>
          <w:szCs w:val="20"/>
        </w:rPr>
        <w:fldChar w:fldCharType="separate"/>
      </w:r>
      <w:r w:rsidR="004744A1" w:rsidRPr="00F64983">
        <w:t xml:space="preserve">Figure </w:t>
      </w:r>
      <w:r w:rsidR="004744A1">
        <w:t>4</w:t>
      </w:r>
      <w:r w:rsidR="00950A8C" w:rsidRPr="00F7539D">
        <w:rPr>
          <w:rStyle w:val="BodyTextChar3"/>
          <w:sz w:val="22"/>
          <w:szCs w:val="20"/>
        </w:rPr>
        <w:fldChar w:fldCharType="end"/>
      </w:r>
      <w:r w:rsidR="006051DE" w:rsidRPr="00046D34">
        <w:t>;</w:t>
      </w:r>
      <w:r w:rsidR="00950A8C" w:rsidRPr="00046D34">
        <w:t xml:space="preserve"> </w:t>
      </w:r>
      <w:r w:rsidR="00950A8C" w:rsidRPr="00F7539D">
        <w:rPr>
          <w:rStyle w:val="BodyTextChar3"/>
          <w:sz w:val="22"/>
          <w:szCs w:val="20"/>
        </w:rPr>
        <w:fldChar w:fldCharType="begin"/>
      </w:r>
      <w:r w:rsidR="00950A8C" w:rsidRPr="00F7539D">
        <w:rPr>
          <w:rStyle w:val="BodyTextChar3"/>
          <w:sz w:val="22"/>
          <w:szCs w:val="20"/>
        </w:rPr>
        <w:instrText xml:space="preserve"> REF _Ref13037680 \h </w:instrText>
      </w:r>
      <w:r w:rsidR="00581903" w:rsidRPr="00F7539D">
        <w:rPr>
          <w:rStyle w:val="BodyTextChar3"/>
          <w:sz w:val="22"/>
          <w:szCs w:val="20"/>
        </w:rPr>
        <w:instrText xml:space="preserve"> \* MERGEFORMAT </w:instrText>
      </w:r>
      <w:r w:rsidR="00950A8C" w:rsidRPr="00F7539D">
        <w:rPr>
          <w:rStyle w:val="BodyTextChar3"/>
          <w:sz w:val="22"/>
          <w:szCs w:val="20"/>
        </w:rPr>
      </w:r>
      <w:r w:rsidR="00950A8C" w:rsidRPr="00F7539D">
        <w:rPr>
          <w:rStyle w:val="BodyTextChar3"/>
          <w:sz w:val="22"/>
          <w:szCs w:val="20"/>
        </w:rPr>
        <w:fldChar w:fldCharType="separate"/>
      </w:r>
      <w:r w:rsidR="004744A1" w:rsidRPr="00F64983">
        <w:t xml:space="preserve">Figure </w:t>
      </w:r>
      <w:r w:rsidR="004744A1">
        <w:t>5</w:t>
      </w:r>
      <w:r w:rsidR="00950A8C" w:rsidRPr="00F7539D">
        <w:rPr>
          <w:rStyle w:val="BodyTextChar3"/>
          <w:sz w:val="22"/>
          <w:szCs w:val="20"/>
        </w:rPr>
        <w:fldChar w:fldCharType="end"/>
      </w:r>
      <w:r w:rsidR="006051DE" w:rsidRPr="00046D34">
        <w:t xml:space="preserve">; </w:t>
      </w:r>
      <w:r w:rsidR="00950A8C" w:rsidRPr="00F7539D">
        <w:rPr>
          <w:rStyle w:val="BodyTextChar3"/>
          <w:sz w:val="22"/>
          <w:szCs w:val="20"/>
        </w:rPr>
        <w:fldChar w:fldCharType="begin"/>
      </w:r>
      <w:r w:rsidR="00950A8C" w:rsidRPr="00F7539D">
        <w:rPr>
          <w:rStyle w:val="BodyTextChar3"/>
          <w:sz w:val="22"/>
          <w:szCs w:val="20"/>
        </w:rPr>
        <w:instrText xml:space="preserve"> REF _Ref13037641 \h </w:instrText>
      </w:r>
      <w:r w:rsidR="00581903" w:rsidRPr="00F7539D">
        <w:rPr>
          <w:rStyle w:val="BodyTextChar3"/>
          <w:sz w:val="22"/>
          <w:szCs w:val="20"/>
        </w:rPr>
        <w:instrText xml:space="preserve"> \* MERGEFORMAT </w:instrText>
      </w:r>
      <w:r w:rsidR="00950A8C" w:rsidRPr="00F7539D">
        <w:rPr>
          <w:rStyle w:val="BodyTextChar3"/>
          <w:sz w:val="22"/>
          <w:szCs w:val="20"/>
        </w:rPr>
      </w:r>
      <w:r w:rsidR="00950A8C" w:rsidRPr="00F7539D">
        <w:rPr>
          <w:rStyle w:val="BodyTextChar3"/>
          <w:sz w:val="22"/>
          <w:szCs w:val="20"/>
        </w:rPr>
        <w:fldChar w:fldCharType="separate"/>
      </w:r>
      <w:r w:rsidR="004744A1" w:rsidRPr="00F64983">
        <w:t xml:space="preserve">Figure </w:t>
      </w:r>
      <w:r w:rsidR="004744A1">
        <w:t>6</w:t>
      </w:r>
      <w:r w:rsidR="00950A8C" w:rsidRPr="00F7539D">
        <w:rPr>
          <w:rStyle w:val="BodyTextChar3"/>
          <w:sz w:val="22"/>
          <w:szCs w:val="20"/>
        </w:rPr>
        <w:fldChar w:fldCharType="end"/>
      </w:r>
      <w:r w:rsidRPr="00046D34">
        <w:t xml:space="preserve">). The catch multipliers applied across all ages simply multiplied the input total catch in weight and left the proportions at age as they were originally. The catch multipliers applied to young or old fish modified the total catch in weight, but </w:t>
      </w:r>
      <w:r w:rsidR="00C37E80" w:rsidRPr="00046D34">
        <w:t xml:space="preserve">they </w:t>
      </w:r>
      <w:r w:rsidRPr="00046D34">
        <w:t xml:space="preserve">also created a new fleet with the proportions at age adjusted to reflect either mostly young or mostly old fish in the catch. The natural mortality multipliers simply adjusted the input </w:t>
      </w:r>
      <w:r w:rsidR="00C37E80" w:rsidRPr="00046D34">
        <w:t>natural mortality (</w:t>
      </w:r>
      <w:r w:rsidRPr="00046D34">
        <w:t>M</w:t>
      </w:r>
      <w:r w:rsidR="00C37E80" w:rsidRPr="00046D34">
        <w:t>)</w:t>
      </w:r>
      <w:r w:rsidRPr="00046D34">
        <w:t xml:space="preserve"> values after the break year. Note the young catch scenario was not able to reduce the retrospective pattern close to zero, but </w:t>
      </w:r>
      <w:r w:rsidR="00C37E80" w:rsidRPr="00046D34">
        <w:t xml:space="preserve">it </w:t>
      </w:r>
      <w:r w:rsidRPr="00046D34">
        <w:t>is included here simply for completeness. In an actual Rose approach, only models that had sufficiently reduced the retrospective pattern would be included in the final ensemble of models.</w:t>
      </w:r>
    </w:p>
    <w:p w:rsidR="00597041" w:rsidRPr="00046D34" w:rsidRDefault="00597041" w:rsidP="00F7539D">
      <w:pPr>
        <w:pStyle w:val="BodyText"/>
      </w:pPr>
      <w:r w:rsidRPr="00046D34">
        <w:t>The effect of the input changes could be quite large on estimated parameters</w:t>
      </w:r>
      <w:r w:rsidR="006051DE" w:rsidRPr="00046D34">
        <w:t>,</w:t>
      </w:r>
      <w:r w:rsidRPr="00046D34">
        <w:t xml:space="preserve"> such as the fishing mortality rate, spawning stock biomass, and recruitment (</w:t>
      </w:r>
      <w:r w:rsidR="00950A8C" w:rsidRPr="00F7539D">
        <w:rPr>
          <w:rStyle w:val="BodyTextChar3"/>
          <w:sz w:val="22"/>
          <w:szCs w:val="20"/>
        </w:rPr>
        <w:fldChar w:fldCharType="begin"/>
      </w:r>
      <w:r w:rsidR="00950A8C" w:rsidRPr="00F7539D">
        <w:rPr>
          <w:rStyle w:val="BodyTextChar3"/>
          <w:sz w:val="22"/>
          <w:szCs w:val="20"/>
        </w:rPr>
        <w:instrText xml:space="preserve"> REF _Ref13037737 \h </w:instrText>
      </w:r>
      <w:r w:rsidR="00581903" w:rsidRPr="00F7539D">
        <w:rPr>
          <w:rStyle w:val="BodyTextChar3"/>
          <w:sz w:val="22"/>
          <w:szCs w:val="20"/>
        </w:rPr>
        <w:instrText xml:space="preserve"> \* MERGEFORMAT </w:instrText>
      </w:r>
      <w:r w:rsidR="00950A8C" w:rsidRPr="00F7539D">
        <w:rPr>
          <w:rStyle w:val="BodyTextChar3"/>
          <w:sz w:val="22"/>
          <w:szCs w:val="20"/>
        </w:rPr>
      </w:r>
      <w:r w:rsidR="00950A8C" w:rsidRPr="00F7539D">
        <w:rPr>
          <w:rStyle w:val="BodyTextChar3"/>
          <w:sz w:val="22"/>
          <w:szCs w:val="20"/>
        </w:rPr>
        <w:fldChar w:fldCharType="separate"/>
      </w:r>
      <w:r w:rsidR="004744A1" w:rsidRPr="00F64983">
        <w:t xml:space="preserve">Figure </w:t>
      </w:r>
      <w:r w:rsidR="004744A1">
        <w:t>7</w:t>
      </w:r>
      <w:r w:rsidR="00950A8C" w:rsidRPr="00F7539D">
        <w:rPr>
          <w:rStyle w:val="BodyTextChar3"/>
          <w:sz w:val="22"/>
          <w:szCs w:val="20"/>
        </w:rPr>
        <w:fldChar w:fldCharType="end"/>
      </w:r>
      <w:r w:rsidR="00950A8C" w:rsidRPr="00046D34">
        <w:t xml:space="preserve">; </w:t>
      </w:r>
      <w:r w:rsidR="00950A8C" w:rsidRPr="00F7539D">
        <w:rPr>
          <w:rStyle w:val="BodyTextChar3"/>
          <w:sz w:val="22"/>
          <w:szCs w:val="20"/>
        </w:rPr>
        <w:fldChar w:fldCharType="begin"/>
      </w:r>
      <w:r w:rsidR="00950A8C" w:rsidRPr="00F7539D">
        <w:rPr>
          <w:rStyle w:val="BodyTextChar3"/>
          <w:sz w:val="22"/>
          <w:szCs w:val="20"/>
        </w:rPr>
        <w:instrText xml:space="preserve"> REF _Ref13037740 \h </w:instrText>
      </w:r>
      <w:r w:rsidR="00581903" w:rsidRPr="00F7539D">
        <w:rPr>
          <w:rStyle w:val="BodyTextChar3"/>
          <w:sz w:val="22"/>
          <w:szCs w:val="20"/>
        </w:rPr>
        <w:instrText xml:space="preserve"> \* MERGEFORMAT </w:instrText>
      </w:r>
      <w:r w:rsidR="00950A8C" w:rsidRPr="00F7539D">
        <w:rPr>
          <w:rStyle w:val="BodyTextChar3"/>
          <w:sz w:val="22"/>
          <w:szCs w:val="20"/>
        </w:rPr>
      </w:r>
      <w:r w:rsidR="00950A8C" w:rsidRPr="00F7539D">
        <w:rPr>
          <w:rStyle w:val="BodyTextChar3"/>
          <w:sz w:val="22"/>
          <w:szCs w:val="20"/>
        </w:rPr>
        <w:fldChar w:fldCharType="separate"/>
      </w:r>
      <w:r w:rsidR="004744A1" w:rsidRPr="00FB5F48">
        <w:t xml:space="preserve">Figure </w:t>
      </w:r>
      <w:r w:rsidR="004744A1">
        <w:t>8</w:t>
      </w:r>
      <w:r w:rsidR="00950A8C" w:rsidRPr="00F7539D">
        <w:rPr>
          <w:rStyle w:val="BodyTextChar3"/>
          <w:sz w:val="22"/>
          <w:szCs w:val="20"/>
        </w:rPr>
        <w:fldChar w:fldCharType="end"/>
      </w:r>
      <w:r w:rsidR="00950A8C" w:rsidRPr="00046D34">
        <w:t xml:space="preserve">; </w:t>
      </w:r>
      <w:r w:rsidR="00950A8C" w:rsidRPr="00F7539D">
        <w:rPr>
          <w:rStyle w:val="BodyTextChar3"/>
          <w:sz w:val="22"/>
          <w:szCs w:val="20"/>
        </w:rPr>
        <w:fldChar w:fldCharType="begin"/>
      </w:r>
      <w:r w:rsidR="00950A8C" w:rsidRPr="00F7539D">
        <w:rPr>
          <w:rStyle w:val="BodyTextChar3"/>
          <w:sz w:val="22"/>
          <w:szCs w:val="20"/>
        </w:rPr>
        <w:instrText xml:space="preserve"> REF _Ref13037742 \h </w:instrText>
      </w:r>
      <w:r w:rsidR="00581903" w:rsidRPr="00F7539D">
        <w:rPr>
          <w:rStyle w:val="BodyTextChar3"/>
          <w:sz w:val="22"/>
          <w:szCs w:val="20"/>
        </w:rPr>
        <w:instrText xml:space="preserve"> \* MERGEFORMAT </w:instrText>
      </w:r>
      <w:r w:rsidR="00950A8C" w:rsidRPr="00F7539D">
        <w:rPr>
          <w:rStyle w:val="BodyTextChar3"/>
          <w:sz w:val="22"/>
          <w:szCs w:val="20"/>
        </w:rPr>
      </w:r>
      <w:r w:rsidR="00950A8C" w:rsidRPr="00F7539D">
        <w:rPr>
          <w:rStyle w:val="BodyTextChar3"/>
          <w:sz w:val="22"/>
          <w:szCs w:val="20"/>
        </w:rPr>
        <w:fldChar w:fldCharType="separate"/>
      </w:r>
      <w:r w:rsidR="004744A1" w:rsidRPr="00F64983">
        <w:t xml:space="preserve">Figure </w:t>
      </w:r>
      <w:r w:rsidR="004744A1">
        <w:t>9</w:t>
      </w:r>
      <w:r w:rsidR="00950A8C" w:rsidRPr="00F7539D">
        <w:rPr>
          <w:rStyle w:val="BodyTextChar3"/>
          <w:sz w:val="22"/>
          <w:szCs w:val="20"/>
        </w:rPr>
        <w:fldChar w:fldCharType="end"/>
      </w:r>
      <w:r w:rsidR="00950A8C" w:rsidRPr="00046D34">
        <w:t>)</w:t>
      </w:r>
      <w:r w:rsidRPr="00046D34">
        <w:t>. There was no evaluation of other diagnostics for these runs that might lead to them not being included in an actual Rose approach final ensemble of models. Clearly, some possible changes to the input are more likely to have occurred than others, based on the changes in the input and estimated values. Ground rules would be needed for a selection process to determine criteria for inclusion of a model in the final ensemble.</w:t>
      </w:r>
    </w:p>
    <w:p w:rsidR="00597041" w:rsidRPr="00046D34" w:rsidRDefault="00597041" w:rsidP="00F7539D">
      <w:pPr>
        <w:pStyle w:val="BodyText"/>
      </w:pPr>
      <w:r w:rsidRPr="00046D34">
        <w:t xml:space="preserve">For simplicity’s sake, the typical bridge year of projections (the current year of catch or quota) was not included. Instead, </w:t>
      </w:r>
      <w:r w:rsidR="00C37E80" w:rsidRPr="00046D34">
        <w:t xml:space="preserve">fishing mortality that reduces spawning stock biomass </w:t>
      </w:r>
      <w:r w:rsidR="00946DAA" w:rsidRPr="00046D34">
        <w:t>to</w:t>
      </w:r>
      <w:r w:rsidR="00C37E80" w:rsidRPr="00046D34">
        <w:t xml:space="preserve"> 40% </w:t>
      </w:r>
      <w:r w:rsidR="00946DAA" w:rsidRPr="00046D34">
        <w:t xml:space="preserve">of pre-fishing levels </w:t>
      </w:r>
      <w:r w:rsidR="00C37E80" w:rsidRPr="00046D34">
        <w:t>(</w:t>
      </w:r>
      <w:r w:rsidRPr="00046D34">
        <w:t>F40%</w:t>
      </w:r>
      <w:r w:rsidR="00C37E80" w:rsidRPr="00046D34">
        <w:t>)</w:t>
      </w:r>
      <w:r w:rsidRPr="00046D34">
        <w:t xml:space="preserve"> was computed for each case and applied for three years, as an example. The selectivity pattern was similar for the ‘all ages’ multipliers of catch or natural mortality, resulting in a similar F40% value of 0.19. Note the natural mortality changes have occurred too recently for the stock to respond evolutionarily, so the base natural mortality rate is used in the calculation of F40% (</w:t>
      </w:r>
      <w:proofErr w:type="spellStart"/>
      <w:r w:rsidRPr="00046D34">
        <w:t>Legault</w:t>
      </w:r>
      <w:proofErr w:type="spellEnd"/>
      <w:r w:rsidRPr="00046D34">
        <w:t xml:space="preserve"> and Palmer 2016). The young and old ages scenario for catch multipliers resulted in slightly different selectivity patterns for the non-multiplier fleet and estimates of F40% of 0.20 and 0.15, respectively. Applying these F40% values in deterministic projections resulted in a range of catch advice (</w:t>
      </w:r>
      <w:r w:rsidR="00950A8C" w:rsidRPr="00F7539D">
        <w:rPr>
          <w:rStyle w:val="BodyTextChar3"/>
          <w:sz w:val="22"/>
          <w:szCs w:val="20"/>
        </w:rPr>
        <w:fldChar w:fldCharType="begin"/>
      </w:r>
      <w:r w:rsidR="00950A8C" w:rsidRPr="00F7539D">
        <w:rPr>
          <w:rStyle w:val="BodyTextChar3"/>
          <w:sz w:val="22"/>
          <w:szCs w:val="20"/>
        </w:rPr>
        <w:instrText xml:space="preserve"> REF _Ref13037779 \h </w:instrText>
      </w:r>
      <w:r w:rsidR="00581903" w:rsidRPr="00F7539D">
        <w:rPr>
          <w:rStyle w:val="BodyTextChar3"/>
          <w:sz w:val="22"/>
          <w:szCs w:val="20"/>
        </w:rPr>
        <w:instrText xml:space="preserve"> \* MERGEFORMAT </w:instrText>
      </w:r>
      <w:r w:rsidR="00950A8C" w:rsidRPr="00F7539D">
        <w:rPr>
          <w:rStyle w:val="BodyTextChar3"/>
          <w:sz w:val="22"/>
          <w:szCs w:val="20"/>
        </w:rPr>
      </w:r>
      <w:r w:rsidR="00950A8C" w:rsidRPr="00F7539D">
        <w:rPr>
          <w:rStyle w:val="BodyTextChar3"/>
          <w:sz w:val="22"/>
          <w:szCs w:val="20"/>
        </w:rPr>
        <w:fldChar w:fldCharType="separate"/>
      </w:r>
      <w:r w:rsidR="004744A1" w:rsidRPr="00F64983">
        <w:t xml:space="preserve">Table </w:t>
      </w:r>
      <w:r w:rsidR="004744A1">
        <w:t>2</w:t>
      </w:r>
      <w:r w:rsidR="00950A8C" w:rsidRPr="00F7539D">
        <w:rPr>
          <w:rStyle w:val="BodyTextChar3"/>
          <w:sz w:val="22"/>
          <w:szCs w:val="20"/>
        </w:rPr>
        <w:fldChar w:fldCharType="end"/>
      </w:r>
      <w:r w:rsidR="00950A8C" w:rsidRPr="00046D34">
        <w:t xml:space="preserve">; </w:t>
      </w:r>
      <w:r w:rsidR="00950A8C" w:rsidRPr="00F7539D">
        <w:rPr>
          <w:rStyle w:val="BodyTextChar3"/>
          <w:sz w:val="22"/>
          <w:szCs w:val="20"/>
        </w:rPr>
        <w:fldChar w:fldCharType="begin"/>
      </w:r>
      <w:r w:rsidR="00950A8C" w:rsidRPr="00F7539D">
        <w:rPr>
          <w:rStyle w:val="BodyTextChar3"/>
          <w:sz w:val="22"/>
          <w:szCs w:val="20"/>
        </w:rPr>
        <w:instrText xml:space="preserve"> REF _Ref13037914 \h </w:instrText>
      </w:r>
      <w:r w:rsidR="00581903" w:rsidRPr="00F7539D">
        <w:rPr>
          <w:rStyle w:val="BodyTextChar3"/>
          <w:sz w:val="22"/>
          <w:szCs w:val="20"/>
        </w:rPr>
        <w:instrText xml:space="preserve"> \* MERGEFORMAT </w:instrText>
      </w:r>
      <w:r w:rsidR="00950A8C" w:rsidRPr="00F7539D">
        <w:rPr>
          <w:rStyle w:val="BodyTextChar3"/>
          <w:sz w:val="22"/>
          <w:szCs w:val="20"/>
        </w:rPr>
      </w:r>
      <w:r w:rsidR="00950A8C" w:rsidRPr="00F7539D">
        <w:rPr>
          <w:rStyle w:val="BodyTextChar3"/>
          <w:sz w:val="22"/>
          <w:szCs w:val="20"/>
        </w:rPr>
        <w:fldChar w:fldCharType="separate"/>
      </w:r>
      <w:r w:rsidR="004744A1" w:rsidRPr="00062847">
        <w:t xml:space="preserve">Figure </w:t>
      </w:r>
      <w:r w:rsidR="004744A1">
        <w:t>10</w:t>
      </w:r>
      <w:r w:rsidR="00950A8C" w:rsidRPr="00F7539D">
        <w:rPr>
          <w:rStyle w:val="BodyTextChar3"/>
          <w:sz w:val="22"/>
          <w:szCs w:val="20"/>
        </w:rPr>
        <w:fldChar w:fldCharType="end"/>
      </w:r>
      <w:r w:rsidRPr="00046D34">
        <w:t xml:space="preserve">). However, some of these catches need to be adjusted before they can be used for catch advice because the catch multiplier cases suddenly end the missing catch in these calculations. To adjust for this problem, one could either change the projections to continue the additional mortality (as occurs in the natural mortality multiplier scenario), or simply divide the standard catch advice by the multiplier to produce adjusted catch advice. The latter was done here, but the former would be more appropriate for a Rose approach. The base model adjusted catch advice is derived by applying a retrospective adjustment to the starting population before projections (a common practice in US </w:t>
      </w:r>
      <w:proofErr w:type="spellStart"/>
      <w:r w:rsidRPr="00046D34">
        <w:t>groundfish</w:t>
      </w:r>
      <w:proofErr w:type="spellEnd"/>
      <w:r w:rsidRPr="00046D34">
        <w:t xml:space="preserve"> assessments with strong retrospective patterns).</w:t>
      </w:r>
    </w:p>
    <w:p w:rsidR="00597041" w:rsidRPr="00046D34" w:rsidRDefault="00597041" w:rsidP="00F7539D">
      <w:pPr>
        <w:pStyle w:val="BodyText"/>
      </w:pPr>
      <w:r w:rsidRPr="00046D34">
        <w:t xml:space="preserve">Examining the adjusted catch advice from the scenarios, there is a relatively consistent advice of approximately the same catch as occurred in 2015 (585 </w:t>
      </w:r>
      <w:proofErr w:type="spellStart"/>
      <w:r w:rsidRPr="00046D34">
        <w:t>mt</w:t>
      </w:r>
      <w:proofErr w:type="spellEnd"/>
      <w:r w:rsidRPr="00046D34">
        <w:t xml:space="preserve">), ranging from 222 to 572 </w:t>
      </w:r>
      <w:proofErr w:type="spellStart"/>
      <w:r w:rsidRPr="00046D34">
        <w:t>mt</w:t>
      </w:r>
      <w:proofErr w:type="spellEnd"/>
      <w:r w:rsidRPr="00046D34">
        <w:t xml:space="preserve"> with mean of 363 </w:t>
      </w:r>
      <w:proofErr w:type="spellStart"/>
      <w:r w:rsidRPr="00046D34">
        <w:t>mt</w:t>
      </w:r>
      <w:proofErr w:type="spellEnd"/>
      <w:r w:rsidRPr="00046D34">
        <w:t xml:space="preserve"> in 2016. All of these values are well below the unadjusted base model catch advice of 708 </w:t>
      </w:r>
      <w:proofErr w:type="spellStart"/>
      <w:r w:rsidRPr="00046D34">
        <w:t>mt</w:t>
      </w:r>
      <w:proofErr w:type="spellEnd"/>
      <w:r w:rsidRPr="00046D34">
        <w:t xml:space="preserve"> in 2016. The results for years 2017 and 2018 are similarly below the unadjusted base catch advice. How best to use the multiple results from the ensemble approach is something </w:t>
      </w:r>
      <w:r w:rsidR="002E72C7" w:rsidRPr="00046D34">
        <w:t xml:space="preserve">that </w:t>
      </w:r>
      <w:r w:rsidRPr="00046D34">
        <w:t xml:space="preserve">could be set formulaically, such as the mean, or allowed to continue forward into the TMGC deliberations. </w:t>
      </w:r>
    </w:p>
    <w:p w:rsidR="00597041" w:rsidRPr="00046D34" w:rsidRDefault="00597041" w:rsidP="00F7539D">
      <w:pPr>
        <w:pStyle w:val="BodyText"/>
      </w:pPr>
      <w:r w:rsidRPr="00046D34">
        <w:t>The Rose approach has a number of pros and cons, summarized in the following table.</w:t>
      </w:r>
    </w:p>
    <w:tbl>
      <w:tblPr>
        <w:tblStyle w:val="TableGrid"/>
        <w:tblW w:w="0" w:type="auto"/>
        <w:tblLook w:val="04A0" w:firstRow="1" w:lastRow="0" w:firstColumn="1" w:lastColumn="0" w:noHBand="0" w:noVBand="1"/>
      </w:tblPr>
      <w:tblGrid>
        <w:gridCol w:w="4678"/>
        <w:gridCol w:w="4672"/>
      </w:tblGrid>
      <w:tr w:rsidR="00597041" w:rsidTr="001668CE">
        <w:trPr>
          <w:tblHeader/>
        </w:trPr>
        <w:tc>
          <w:tcPr>
            <w:tcW w:w="4700" w:type="dxa"/>
          </w:tcPr>
          <w:p w:rsidR="00597041" w:rsidRPr="00F64983" w:rsidRDefault="00597041" w:rsidP="005A72BE">
            <w:pPr>
              <w:rPr>
                <w:rFonts w:cs="Arial"/>
                <w:szCs w:val="22"/>
              </w:rPr>
            </w:pPr>
            <w:r w:rsidRPr="00F64983">
              <w:rPr>
                <w:rFonts w:cs="Arial"/>
                <w:szCs w:val="22"/>
              </w:rPr>
              <w:t>Pros</w:t>
            </w:r>
          </w:p>
        </w:tc>
        <w:tc>
          <w:tcPr>
            <w:tcW w:w="4695" w:type="dxa"/>
          </w:tcPr>
          <w:p w:rsidR="00597041" w:rsidRPr="00F64983" w:rsidRDefault="00597041" w:rsidP="005A72BE">
            <w:pPr>
              <w:rPr>
                <w:rFonts w:cs="Arial"/>
                <w:szCs w:val="22"/>
              </w:rPr>
            </w:pPr>
            <w:r w:rsidRPr="00F64983">
              <w:rPr>
                <w:rFonts w:cs="Arial"/>
                <w:szCs w:val="22"/>
              </w:rPr>
              <w:t>Cons</w:t>
            </w:r>
          </w:p>
        </w:tc>
      </w:tr>
      <w:tr w:rsidR="00597041" w:rsidTr="00F7539D">
        <w:tc>
          <w:tcPr>
            <w:tcW w:w="4700" w:type="dxa"/>
          </w:tcPr>
          <w:p w:rsidR="00597041" w:rsidRPr="00F64983" w:rsidRDefault="00597041" w:rsidP="005A72BE">
            <w:pPr>
              <w:rPr>
                <w:rFonts w:cs="Arial"/>
                <w:szCs w:val="22"/>
              </w:rPr>
            </w:pPr>
            <w:r w:rsidRPr="00F64983">
              <w:rPr>
                <w:rFonts w:cs="Arial"/>
                <w:szCs w:val="22"/>
              </w:rPr>
              <w:t>Ensemble approach explicitly addresses model uncertainty</w:t>
            </w:r>
          </w:p>
        </w:tc>
        <w:tc>
          <w:tcPr>
            <w:tcW w:w="4695" w:type="dxa"/>
          </w:tcPr>
          <w:p w:rsidR="00597041" w:rsidRPr="00F64983" w:rsidRDefault="00597041" w:rsidP="005A72BE">
            <w:pPr>
              <w:rPr>
                <w:rFonts w:cs="Arial"/>
                <w:szCs w:val="22"/>
              </w:rPr>
            </w:pPr>
            <w:r w:rsidRPr="00F64983">
              <w:rPr>
                <w:rFonts w:cs="Arial"/>
                <w:szCs w:val="22"/>
              </w:rPr>
              <w:t>Requires many models to be developed, run, and examined for diagnostic problems (workload)</w:t>
            </w:r>
          </w:p>
        </w:tc>
      </w:tr>
      <w:tr w:rsidR="00597041" w:rsidTr="00F7539D">
        <w:tc>
          <w:tcPr>
            <w:tcW w:w="4700" w:type="dxa"/>
          </w:tcPr>
          <w:p w:rsidR="00597041" w:rsidRPr="00F64983" w:rsidRDefault="00597041" w:rsidP="005A72BE">
            <w:pPr>
              <w:rPr>
                <w:rFonts w:cs="Arial"/>
                <w:szCs w:val="22"/>
              </w:rPr>
            </w:pPr>
            <w:r w:rsidRPr="00F64983">
              <w:rPr>
                <w:rFonts w:cs="Arial"/>
                <w:szCs w:val="22"/>
              </w:rPr>
              <w:t>All models in ensemble are reasonable (no strong retrospective pattern and good diagnostics)</w:t>
            </w:r>
          </w:p>
        </w:tc>
        <w:tc>
          <w:tcPr>
            <w:tcW w:w="4695" w:type="dxa"/>
          </w:tcPr>
          <w:p w:rsidR="00597041" w:rsidRPr="00F64983" w:rsidRDefault="00597041" w:rsidP="005A72BE">
            <w:pPr>
              <w:rPr>
                <w:rFonts w:cs="Arial"/>
                <w:szCs w:val="22"/>
              </w:rPr>
            </w:pPr>
            <w:r w:rsidRPr="00F64983">
              <w:rPr>
                <w:rFonts w:cs="Arial"/>
                <w:szCs w:val="22"/>
              </w:rPr>
              <w:t>Selection of models in ensemble could bias advice</w:t>
            </w:r>
          </w:p>
        </w:tc>
      </w:tr>
      <w:tr w:rsidR="00597041" w:rsidTr="00F7539D">
        <w:tc>
          <w:tcPr>
            <w:tcW w:w="4700" w:type="dxa"/>
          </w:tcPr>
          <w:p w:rsidR="00597041" w:rsidRPr="00F64983" w:rsidRDefault="00597041" w:rsidP="005A72BE">
            <w:pPr>
              <w:rPr>
                <w:rFonts w:cs="Arial"/>
                <w:szCs w:val="22"/>
              </w:rPr>
            </w:pPr>
            <w:r w:rsidRPr="00F64983">
              <w:rPr>
                <w:rFonts w:cs="Arial"/>
                <w:szCs w:val="22"/>
              </w:rPr>
              <w:t>Range of catch advice allows TMGC to trade off risks</w:t>
            </w:r>
          </w:p>
        </w:tc>
        <w:tc>
          <w:tcPr>
            <w:tcW w:w="4695" w:type="dxa"/>
          </w:tcPr>
          <w:p w:rsidR="00597041" w:rsidRPr="00F64983" w:rsidRDefault="00597041" w:rsidP="005A72BE">
            <w:pPr>
              <w:rPr>
                <w:rFonts w:cs="Arial"/>
                <w:szCs w:val="22"/>
              </w:rPr>
            </w:pPr>
            <w:r w:rsidRPr="00F64983">
              <w:rPr>
                <w:rFonts w:cs="Arial"/>
                <w:szCs w:val="22"/>
              </w:rPr>
              <w:t>Range of catch advice requires TMGC to address uncertainty in catch advice short term vs long term</w:t>
            </w:r>
          </w:p>
        </w:tc>
      </w:tr>
      <w:tr w:rsidR="00597041" w:rsidTr="00F7539D">
        <w:tc>
          <w:tcPr>
            <w:tcW w:w="4700" w:type="dxa"/>
          </w:tcPr>
          <w:p w:rsidR="00597041" w:rsidRPr="00F64983" w:rsidRDefault="00597041" w:rsidP="005A72BE">
            <w:pPr>
              <w:rPr>
                <w:rFonts w:cs="Arial"/>
                <w:szCs w:val="22"/>
              </w:rPr>
            </w:pPr>
            <w:r w:rsidRPr="00F64983">
              <w:rPr>
                <w:rFonts w:cs="Arial"/>
                <w:szCs w:val="22"/>
              </w:rPr>
              <w:t>Does not require identifying “the” source of the problem</w:t>
            </w:r>
          </w:p>
        </w:tc>
        <w:tc>
          <w:tcPr>
            <w:tcW w:w="4695" w:type="dxa"/>
          </w:tcPr>
          <w:p w:rsidR="00597041" w:rsidRPr="00F64983" w:rsidRDefault="00597041" w:rsidP="005A72BE">
            <w:pPr>
              <w:rPr>
                <w:rFonts w:cs="Arial"/>
                <w:szCs w:val="22"/>
              </w:rPr>
            </w:pPr>
            <w:r w:rsidRPr="00F64983">
              <w:rPr>
                <w:rFonts w:cs="Arial"/>
                <w:szCs w:val="22"/>
              </w:rPr>
              <w:t>Does not identify “the” source of the problem</w:t>
            </w:r>
          </w:p>
        </w:tc>
      </w:tr>
      <w:tr w:rsidR="00597041" w:rsidTr="00F7539D">
        <w:tc>
          <w:tcPr>
            <w:tcW w:w="4700" w:type="dxa"/>
          </w:tcPr>
          <w:p w:rsidR="00597041" w:rsidRPr="00F64983" w:rsidRDefault="00597041" w:rsidP="005A72BE">
            <w:pPr>
              <w:rPr>
                <w:rFonts w:cs="Arial"/>
                <w:szCs w:val="22"/>
              </w:rPr>
            </w:pPr>
            <w:r w:rsidRPr="00F64983">
              <w:rPr>
                <w:rFonts w:cs="Arial"/>
                <w:szCs w:val="22"/>
              </w:rPr>
              <w:t>Source of retrospective pattern contin</w:t>
            </w:r>
            <w:r w:rsidR="00946DAA">
              <w:rPr>
                <w:rFonts w:cs="Arial"/>
                <w:szCs w:val="22"/>
              </w:rPr>
              <w:t xml:space="preserve">ues in each projection (unlike </w:t>
            </w:r>
            <w:r w:rsidRPr="00F64983">
              <w:rPr>
                <w:rFonts w:cs="Arial"/>
                <w:szCs w:val="22"/>
              </w:rPr>
              <w:t>retro adjustments)</w:t>
            </w:r>
          </w:p>
        </w:tc>
        <w:tc>
          <w:tcPr>
            <w:tcW w:w="4695" w:type="dxa"/>
          </w:tcPr>
          <w:p w:rsidR="00597041" w:rsidRPr="00F64983" w:rsidRDefault="00597041" w:rsidP="005A72BE">
            <w:pPr>
              <w:rPr>
                <w:rFonts w:cs="Arial"/>
                <w:szCs w:val="22"/>
              </w:rPr>
            </w:pPr>
            <w:r w:rsidRPr="00F64983">
              <w:rPr>
                <w:rFonts w:cs="Arial"/>
                <w:szCs w:val="22"/>
              </w:rPr>
              <w:t>Difficult to simulation test due to many models in ensemble</w:t>
            </w:r>
          </w:p>
        </w:tc>
      </w:tr>
      <w:tr w:rsidR="00597041" w:rsidTr="00F7539D">
        <w:tc>
          <w:tcPr>
            <w:tcW w:w="4700" w:type="dxa"/>
          </w:tcPr>
          <w:p w:rsidR="00597041" w:rsidRPr="00F64983" w:rsidRDefault="0037617A" w:rsidP="0037617A">
            <w:pPr>
              <w:jc w:val="center"/>
              <w:rPr>
                <w:rFonts w:cs="Arial"/>
                <w:szCs w:val="22"/>
              </w:rPr>
            </w:pPr>
            <w:r>
              <w:rPr>
                <w:rFonts w:cs="Arial"/>
                <w:szCs w:val="22"/>
              </w:rPr>
              <w:t>-</w:t>
            </w:r>
          </w:p>
        </w:tc>
        <w:tc>
          <w:tcPr>
            <w:tcW w:w="4695" w:type="dxa"/>
          </w:tcPr>
          <w:p w:rsidR="00597041" w:rsidRPr="00F64983" w:rsidRDefault="00597041" w:rsidP="005A72BE">
            <w:pPr>
              <w:rPr>
                <w:rFonts w:cs="Arial"/>
                <w:szCs w:val="22"/>
              </w:rPr>
            </w:pPr>
            <w:proofErr w:type="spellStart"/>
            <w:r w:rsidRPr="00F64983">
              <w:rPr>
                <w:rFonts w:cs="Arial"/>
                <w:szCs w:val="22"/>
              </w:rPr>
              <w:t>Szuwalski</w:t>
            </w:r>
            <w:proofErr w:type="spellEnd"/>
            <w:r w:rsidRPr="00F64983">
              <w:rPr>
                <w:rFonts w:cs="Arial"/>
                <w:szCs w:val="22"/>
              </w:rPr>
              <w:t xml:space="preserve"> et al. (2018) found it does mat</w:t>
            </w:r>
            <w:r w:rsidR="00946DAA">
              <w:rPr>
                <w:rFonts w:cs="Arial"/>
                <w:szCs w:val="22"/>
              </w:rPr>
              <w:t>ter which fix is used in an MSE</w:t>
            </w:r>
            <w:r w:rsidRPr="00F64983">
              <w:rPr>
                <w:rFonts w:cs="Arial"/>
                <w:szCs w:val="22"/>
              </w:rPr>
              <w:t xml:space="preserve"> but did not consider an ensemble approach to catch advice</w:t>
            </w:r>
          </w:p>
        </w:tc>
      </w:tr>
    </w:tbl>
    <w:p w:rsidR="00FB3D1E" w:rsidRPr="00821FD2" w:rsidRDefault="00FB3D1E" w:rsidP="00763604">
      <w:pPr>
        <w:pStyle w:val="Heading1"/>
      </w:pPr>
      <w:bookmarkStart w:id="4" w:name="_Toc43212360"/>
      <w:r w:rsidRPr="00821FD2">
        <w:t>DLMTOOL</w:t>
      </w:r>
      <w:r w:rsidR="003127BE">
        <w:t xml:space="preserve"> APPROACH</w:t>
      </w:r>
      <w:bookmarkEnd w:id="4"/>
    </w:p>
    <w:p w:rsidR="009A44FF" w:rsidRPr="00046D34" w:rsidRDefault="009A44FF" w:rsidP="001668CE">
      <w:pPr>
        <w:pStyle w:val="BodyText"/>
      </w:pPr>
      <w:r w:rsidRPr="00046D34">
        <w:t>Several recent TRAC assess</w:t>
      </w:r>
      <w:r w:rsidR="0033649D" w:rsidRPr="00046D34">
        <w:t>ments for Eastern Georges Bank C</w:t>
      </w:r>
      <w:r w:rsidRPr="00046D34">
        <w:t>od have shown evidence of undiagnosed misspecifications in the age-structured models put forward at the 2013 Benchmark (Wang and O’Brien 2013b, Martin et al. 2017, Andrushchenko et al. 2018). Although a variety of causes have been suggested, the source of the growing disparity between trends in relative fishing mortality (</w:t>
      </w:r>
      <w:proofErr w:type="spellStart"/>
      <w:r w:rsidRPr="00046D34">
        <w:t>relF</w:t>
      </w:r>
      <w:proofErr w:type="spellEnd"/>
      <w:r w:rsidRPr="00046D34">
        <w:t>) and total mortality (Z) has dominated discussions at TRAC since the benchmark (</w:t>
      </w:r>
      <w:proofErr w:type="spellStart"/>
      <w:r w:rsidRPr="00046D34">
        <w:t>Claytor</w:t>
      </w:r>
      <w:proofErr w:type="spellEnd"/>
      <w:r w:rsidRPr="00046D34">
        <w:t xml:space="preserve"> and O’Brien 2013</w:t>
      </w:r>
      <w:r w:rsidR="00AB7AFB" w:rsidRPr="00046D34">
        <w:t>, Brooks and Curran 2016</w:t>
      </w:r>
      <w:r w:rsidRPr="00046D34">
        <w:t>). The intent of the DLM/</w:t>
      </w:r>
      <w:proofErr w:type="spellStart"/>
      <w:r w:rsidRPr="00046D34">
        <w:t>MSEtool</w:t>
      </w:r>
      <w:proofErr w:type="spellEnd"/>
      <w:r w:rsidRPr="00046D34">
        <w:t xml:space="preserve"> approach is to simulate a range of population dynamics and fishing pressures </w:t>
      </w:r>
      <w:r w:rsidR="00946DAA" w:rsidRPr="00046D34">
        <w:t>that</w:t>
      </w:r>
      <w:r w:rsidRPr="00046D34">
        <w:t xml:space="preserve"> reflect the two most likely causes of the disparity between </w:t>
      </w:r>
      <w:proofErr w:type="spellStart"/>
      <w:r w:rsidRPr="00046D34">
        <w:t>relF</w:t>
      </w:r>
      <w:proofErr w:type="spellEnd"/>
      <w:r w:rsidRPr="00046D34">
        <w:t xml:space="preserve"> and Z: unaccounted for fishing mortality (F) and changes in natural mortality (M).  Various Management Procedures (MPs) can then be tested in the simulation (Operating Model, OM), in hopes of finding a management procedure for i</w:t>
      </w:r>
      <w:r w:rsidR="00946DAA" w:rsidRPr="00046D34">
        <w:t>nterim provision of advice that</w:t>
      </w:r>
      <w:r w:rsidRPr="00046D34">
        <w:t xml:space="preserve"> is robust to that inherent uncertainty in population dr</w:t>
      </w:r>
      <w:r w:rsidR="0033649D" w:rsidRPr="00046D34">
        <w:t>ivers for Eastern Georges Bank C</w:t>
      </w:r>
      <w:r w:rsidRPr="00046D34">
        <w:t>od.</w:t>
      </w:r>
    </w:p>
    <w:p w:rsidR="009A44FF" w:rsidRPr="00046D34" w:rsidRDefault="00FC2F31" w:rsidP="001668CE">
      <w:pPr>
        <w:pStyle w:val="BodyText"/>
      </w:pPr>
      <w:r w:rsidRPr="00046D34">
        <w:t xml:space="preserve">The Operating Models </w:t>
      </w:r>
      <w:r w:rsidR="00CA3BC2" w:rsidRPr="00046D34">
        <w:t>will be</w:t>
      </w:r>
      <w:r w:rsidRPr="00046D34">
        <w:t xml:space="preserve"> created using the </w:t>
      </w:r>
      <w:proofErr w:type="spellStart"/>
      <w:r w:rsidRPr="00046D34">
        <w:t>DLMtool</w:t>
      </w:r>
      <w:proofErr w:type="spellEnd"/>
      <w:r w:rsidR="00BC26F3" w:rsidRPr="00046D34">
        <w:t xml:space="preserve"> (Carruthers</w:t>
      </w:r>
      <w:r w:rsidR="00F87547" w:rsidRPr="00046D34">
        <w:t xml:space="preserve"> and </w:t>
      </w:r>
      <w:proofErr w:type="spellStart"/>
      <w:r w:rsidR="00BC26F3" w:rsidRPr="00046D34">
        <w:t>Hordyk</w:t>
      </w:r>
      <w:proofErr w:type="spellEnd"/>
      <w:r w:rsidR="00BC26F3" w:rsidRPr="00046D34">
        <w:t xml:space="preserve"> 2019)</w:t>
      </w:r>
      <w:r w:rsidRPr="00046D34">
        <w:t xml:space="preserve"> and </w:t>
      </w:r>
      <w:proofErr w:type="spellStart"/>
      <w:r w:rsidRPr="00046D34">
        <w:t>MSEtool</w:t>
      </w:r>
      <w:proofErr w:type="spellEnd"/>
      <w:r w:rsidRPr="00046D34">
        <w:t xml:space="preserve"> </w:t>
      </w:r>
      <w:r w:rsidR="003127BE" w:rsidRPr="00046D34">
        <w:t>platforms</w:t>
      </w:r>
      <w:r w:rsidR="00CA3BC2" w:rsidRPr="00046D34">
        <w:t>.</w:t>
      </w:r>
      <w:r w:rsidR="009A44FF" w:rsidRPr="00046D34">
        <w:t xml:space="preserve"> There is a variety of Management Procedures available through both </w:t>
      </w:r>
      <w:proofErr w:type="spellStart"/>
      <w:r w:rsidR="009A44FF" w:rsidRPr="00046D34">
        <w:t>DLMtool</w:t>
      </w:r>
      <w:proofErr w:type="spellEnd"/>
      <w:r w:rsidR="009A44FF" w:rsidRPr="00046D34">
        <w:t xml:space="preserve"> (108) and </w:t>
      </w:r>
      <w:proofErr w:type="spellStart"/>
      <w:r w:rsidR="009A44FF" w:rsidRPr="00046D34">
        <w:t>MSEtool</w:t>
      </w:r>
      <w:proofErr w:type="spellEnd"/>
      <w:r w:rsidR="009A44FF" w:rsidRPr="00046D34">
        <w:t xml:space="preserve"> (9) platforms, but selection of applicable MPs and their respective testing metrics requires input from Resource Management in the form of tangible management objectives. Examples of additional simple, custom MPs include:</w:t>
      </w:r>
    </w:p>
    <w:p w:rsidR="009A44FF" w:rsidRPr="00046D34" w:rsidRDefault="009A44FF" w:rsidP="00046D34">
      <w:pPr>
        <w:pStyle w:val="ListBullet"/>
      </w:pPr>
      <w:r w:rsidRPr="00046D34">
        <w:t xml:space="preserve">Custom MP #1: Explore survey time series to identify periods where shifts in productivity are evident. Summarize median or </w:t>
      </w:r>
      <w:proofErr w:type="spellStart"/>
      <w:r w:rsidRPr="00046D34">
        <w:t>geomean</w:t>
      </w:r>
      <w:proofErr w:type="spellEnd"/>
      <w:r w:rsidRPr="00046D34">
        <w:t xml:space="preserve"> index values for each period, with accompanying quantiles. Compare a recent median or </w:t>
      </w:r>
      <w:proofErr w:type="spellStart"/>
      <w:r w:rsidRPr="00046D34">
        <w:t>geomean</w:t>
      </w:r>
      <w:proofErr w:type="spellEnd"/>
      <w:r w:rsidRPr="00046D34">
        <w:t xml:space="preserve"> survey value to that of an earlier time period in the series, adjusting the advice based on which quantile the current value falls in. This MP would fit under a management objective dealing with rebuilding the stock. </w:t>
      </w:r>
    </w:p>
    <w:p w:rsidR="009A44FF" w:rsidRPr="00046D34" w:rsidRDefault="009A44FF" w:rsidP="00046D34">
      <w:pPr>
        <w:pStyle w:val="ListBullet"/>
      </w:pPr>
      <w:r w:rsidRPr="00046D34">
        <w:t>Custom MP #2: Explore survey indicators (e.g. kg/tow, total biomass, etc</w:t>
      </w:r>
      <w:r w:rsidR="00581903" w:rsidRPr="00046D34">
        <w:t>.</w:t>
      </w:r>
      <w:r w:rsidRPr="00046D34">
        <w:t>) on a multi-annual scale, in an effort to separate overall trend from annual noise. Quantify the annual noise in the form of quantile values for a recent time period, or periods the general trends appear stable. If recent survey values continue to oscillate within the ‘noise’ quantiles, leave advice as status quo. If several consecutive survey years fall either above or below the ‘noise’ quantiles, adjust TAC accordingly. This MP would fit under a management objective dealing with stabilizing TAC advice.</w:t>
      </w:r>
    </w:p>
    <w:p w:rsidR="003C4C0F" w:rsidRDefault="003C4C0F" w:rsidP="003C4C0F">
      <w:pPr>
        <w:pStyle w:val="Heading2"/>
        <w:rPr>
          <w:rStyle w:val="BodyTextChar3"/>
          <w:sz w:val="22"/>
          <w:szCs w:val="22"/>
        </w:rPr>
      </w:pPr>
      <w:bookmarkStart w:id="5" w:name="_Toc43212361"/>
      <w:r>
        <w:rPr>
          <w:rStyle w:val="BodyTextChar3"/>
          <w:sz w:val="22"/>
          <w:szCs w:val="22"/>
        </w:rPr>
        <w:t>OPERATING MODEL</w:t>
      </w:r>
      <w:bookmarkEnd w:id="5"/>
    </w:p>
    <w:p w:rsidR="0035623D" w:rsidRPr="00046D34" w:rsidRDefault="001D2E19" w:rsidP="003C4C0F">
      <w:pPr>
        <w:pStyle w:val="BodyText"/>
      </w:pPr>
      <w:r w:rsidRPr="00046D34">
        <w:t>The Operating Model</w:t>
      </w:r>
      <w:r w:rsidR="00E31965" w:rsidRPr="00046D34">
        <w:t>s</w:t>
      </w:r>
      <w:r w:rsidRPr="00046D34">
        <w:t xml:space="preserve"> (OM)</w:t>
      </w:r>
      <w:r w:rsidR="009C49D4" w:rsidRPr="00046D34">
        <w:t xml:space="preserve"> </w:t>
      </w:r>
      <w:r w:rsidR="00AB7AFB" w:rsidRPr="00046D34">
        <w:t xml:space="preserve">define the ways the simulated populations will respond to different catch amounts. A range of OMs will be created to account for different hypotheses about what is driving the current poor performance of standard fishery stock assessment models. </w:t>
      </w:r>
      <w:r w:rsidR="00CF505E" w:rsidRPr="00046D34">
        <w:t xml:space="preserve">The OMs </w:t>
      </w:r>
      <w:r w:rsidR="009C49D4" w:rsidRPr="00046D34">
        <w:t>depend</w:t>
      </w:r>
      <w:r w:rsidR="00AB0E0C" w:rsidRPr="00046D34">
        <w:t xml:space="preserve"> on user-specified parameters</w:t>
      </w:r>
      <w:r w:rsidR="00E31965" w:rsidRPr="00046D34">
        <w:t xml:space="preserve">, which can be categorized into one </w:t>
      </w:r>
      <w:r w:rsidR="009C49D4" w:rsidRPr="00046D34">
        <w:t xml:space="preserve">of </w:t>
      </w:r>
      <w:r w:rsidR="00E31965" w:rsidRPr="00046D34">
        <w:t>four objects</w:t>
      </w:r>
      <w:r w:rsidR="00AB0E0C" w:rsidRPr="00046D34">
        <w:t xml:space="preserve">: </w:t>
      </w:r>
    </w:p>
    <w:p w:rsidR="0035623D" w:rsidRPr="00046D34" w:rsidRDefault="00AB0E0C" w:rsidP="00046D34">
      <w:pPr>
        <w:pStyle w:val="ListBullet"/>
        <w:rPr>
          <w:rStyle w:val="BodyTextChar3"/>
          <w:sz w:val="22"/>
          <w:szCs w:val="20"/>
        </w:rPr>
      </w:pPr>
      <w:r w:rsidRPr="00046D34">
        <w:rPr>
          <w:rStyle w:val="BodyTextChar3"/>
          <w:sz w:val="22"/>
          <w:szCs w:val="20"/>
        </w:rPr>
        <w:t>Stock</w:t>
      </w:r>
      <w:r w:rsidR="0035623D" w:rsidRPr="00046D34">
        <w:rPr>
          <w:rStyle w:val="BodyTextChar3"/>
          <w:sz w:val="22"/>
          <w:szCs w:val="20"/>
        </w:rPr>
        <w:t>: popula</w:t>
      </w:r>
      <w:r w:rsidR="0033649D" w:rsidRPr="00046D34">
        <w:rPr>
          <w:rStyle w:val="BodyTextChar3"/>
          <w:sz w:val="22"/>
          <w:szCs w:val="20"/>
        </w:rPr>
        <w:t>tion dynamics of the fish stock</w:t>
      </w:r>
    </w:p>
    <w:p w:rsidR="0035623D" w:rsidRPr="00046D34" w:rsidRDefault="00AB0E0C" w:rsidP="00046D34">
      <w:pPr>
        <w:pStyle w:val="ListBullet"/>
        <w:rPr>
          <w:rStyle w:val="BodyTextChar3"/>
          <w:sz w:val="22"/>
          <w:szCs w:val="20"/>
        </w:rPr>
      </w:pPr>
      <w:r w:rsidRPr="00046D34">
        <w:rPr>
          <w:rStyle w:val="BodyTextChar3"/>
          <w:sz w:val="22"/>
          <w:szCs w:val="20"/>
        </w:rPr>
        <w:t>Fleet</w:t>
      </w:r>
      <w:r w:rsidR="0033649D" w:rsidRPr="00046D34">
        <w:rPr>
          <w:rStyle w:val="BodyTextChar3"/>
          <w:sz w:val="22"/>
          <w:szCs w:val="20"/>
        </w:rPr>
        <w:t>: fishery characteristics</w:t>
      </w:r>
    </w:p>
    <w:p w:rsidR="0035623D" w:rsidRPr="00046D34" w:rsidRDefault="00AB0E0C" w:rsidP="00046D34">
      <w:pPr>
        <w:pStyle w:val="ListBullet"/>
        <w:rPr>
          <w:rStyle w:val="BodyTextChar3"/>
          <w:sz w:val="22"/>
          <w:szCs w:val="20"/>
        </w:rPr>
      </w:pPr>
      <w:r w:rsidRPr="00046D34">
        <w:rPr>
          <w:rStyle w:val="BodyTextChar3"/>
          <w:sz w:val="22"/>
          <w:szCs w:val="20"/>
        </w:rPr>
        <w:t>Observation</w:t>
      </w:r>
      <w:r w:rsidR="0035623D" w:rsidRPr="00046D34">
        <w:rPr>
          <w:rStyle w:val="BodyTextChar3"/>
          <w:sz w:val="22"/>
          <w:szCs w:val="20"/>
        </w:rPr>
        <w:t>: the observa</w:t>
      </w:r>
      <w:r w:rsidR="0033649D" w:rsidRPr="00046D34">
        <w:rPr>
          <w:rStyle w:val="BodyTextChar3"/>
          <w:sz w:val="22"/>
          <w:szCs w:val="20"/>
        </w:rPr>
        <w:t>tion process of data collection</w:t>
      </w:r>
    </w:p>
    <w:p w:rsidR="00B1399F" w:rsidRPr="00046D34" w:rsidRDefault="0035623D" w:rsidP="00046D34">
      <w:pPr>
        <w:pStyle w:val="ListBullet"/>
      </w:pPr>
      <w:r w:rsidRPr="00046D34">
        <w:t>Implementation: how the manage</w:t>
      </w:r>
      <w:r w:rsidR="0033649D" w:rsidRPr="00046D34">
        <w:t>ment procedures are implemented</w:t>
      </w:r>
    </w:p>
    <w:p w:rsidR="00561C46" w:rsidRPr="00046D34" w:rsidRDefault="0035623D" w:rsidP="003C4C0F">
      <w:pPr>
        <w:pStyle w:val="BodyText"/>
      </w:pPr>
      <w:r w:rsidRPr="00046D34">
        <w:t xml:space="preserve">Additional details on the nature of each object are available in Carruthers and </w:t>
      </w:r>
      <w:proofErr w:type="spellStart"/>
      <w:r w:rsidRPr="00046D34">
        <w:t>Hordyk</w:t>
      </w:r>
      <w:proofErr w:type="spellEnd"/>
      <w:r w:rsidRPr="00046D34">
        <w:t xml:space="preserve"> (201</w:t>
      </w:r>
      <w:r w:rsidR="00E31965" w:rsidRPr="00046D34">
        <w:t>9</w:t>
      </w:r>
      <w:r w:rsidRPr="00046D34">
        <w:t>)</w:t>
      </w:r>
      <w:r w:rsidR="009C49D4" w:rsidRPr="00046D34">
        <w:t xml:space="preserve">. </w:t>
      </w:r>
      <w:r w:rsidR="009A44FF" w:rsidRPr="00046D34">
        <w:t>Although many of the parameters in the Stock object can be found in literature or derived from survey data, a number of the parameters are tied to the perceived Stock-Recruitment (SR) relationship for the stock and are</w:t>
      </w:r>
      <w:r w:rsidR="00BC66EA" w:rsidRPr="00046D34">
        <w:t>,</w:t>
      </w:r>
      <w:r w:rsidR="009A44FF" w:rsidRPr="00046D34">
        <w:t xml:space="preserve"> therefore</w:t>
      </w:r>
      <w:r w:rsidR="00BC66EA" w:rsidRPr="00046D34">
        <w:t>,</w:t>
      </w:r>
      <w:r w:rsidR="009A44FF" w:rsidRPr="00046D34">
        <w:t xml:space="preserve"> dependent either on Expert Opinion or on a population model. Eastern Georges Bank Cod assessments include two population models (VPA and ASAP) with differing assumptions about the stock dynamics, which necessitates designing three Operating Models: one to simulate stock SR dynamics as described by the 2018 VPA (OM_VPA), one to simulate the SR dynamics of the 2018 ASAP formulation (OM_ASAP) and one encompassing the range of model-dependent population parameters from both models (OM_COM).</w:t>
      </w:r>
      <w:r w:rsidR="00BC66EA" w:rsidRPr="00046D34">
        <w:t xml:space="preserve"> </w:t>
      </w:r>
      <w:r w:rsidR="00A0372F" w:rsidRPr="00046D34">
        <w:t>Model-independent p</w:t>
      </w:r>
      <w:r w:rsidR="007F05C5" w:rsidRPr="00046D34">
        <w:t xml:space="preserve">arameters (e.g. </w:t>
      </w:r>
      <w:r w:rsidR="00A0372F" w:rsidRPr="00046D34">
        <w:t xml:space="preserve">fish </w:t>
      </w:r>
      <w:r w:rsidR="007F05C5" w:rsidRPr="00046D34">
        <w:t>growth, observation error, etc.) remained consistent across the OMs.</w:t>
      </w:r>
    </w:p>
    <w:p w:rsidR="00957240" w:rsidRPr="003C4C0F" w:rsidRDefault="003C4C0F" w:rsidP="006771F2">
      <w:pPr>
        <w:pStyle w:val="Heading3"/>
        <w:rPr>
          <w:rStyle w:val="BodyTextChar3"/>
          <w:sz w:val="22"/>
        </w:rPr>
      </w:pPr>
      <w:bookmarkStart w:id="6" w:name="_Toc43212362"/>
      <w:r>
        <w:rPr>
          <w:rStyle w:val="BodyTextChar3"/>
          <w:sz w:val="22"/>
        </w:rPr>
        <w:t>Stock-Recruit Relationship</w:t>
      </w:r>
      <w:bookmarkEnd w:id="6"/>
    </w:p>
    <w:p w:rsidR="00003988" w:rsidRPr="00046D34" w:rsidRDefault="000C227A" w:rsidP="003C4C0F">
      <w:pPr>
        <w:pStyle w:val="BodyText"/>
      </w:pPr>
      <w:r w:rsidRPr="00046D34">
        <w:t xml:space="preserve">The productivity of the stock is </w:t>
      </w:r>
      <w:r w:rsidR="00FF421A" w:rsidRPr="00046D34">
        <w:t>paramete</w:t>
      </w:r>
      <w:r w:rsidRPr="00046D34">
        <w:t>rized within the Stock object</w:t>
      </w:r>
      <w:r w:rsidR="00BC66EA" w:rsidRPr="00046D34">
        <w:t>,</w:t>
      </w:r>
      <w:r w:rsidRPr="00046D34">
        <w:t xml:space="preserve"> and </w:t>
      </w:r>
      <w:r w:rsidR="00882662" w:rsidRPr="00046D34">
        <w:t xml:space="preserve">the assumptions </w:t>
      </w:r>
      <w:r w:rsidR="00634419" w:rsidRPr="00046D34">
        <w:t>about</w:t>
      </w:r>
      <w:r w:rsidR="00882662" w:rsidRPr="00046D34">
        <w:t xml:space="preserve"> several </w:t>
      </w:r>
      <w:r w:rsidR="00634419" w:rsidRPr="00046D34">
        <w:t xml:space="preserve">of the </w:t>
      </w:r>
      <w:r w:rsidR="00882662" w:rsidRPr="00046D34">
        <w:t xml:space="preserve">parameters </w:t>
      </w:r>
      <w:r w:rsidR="00634419" w:rsidRPr="00046D34">
        <w:t>can be</w:t>
      </w:r>
      <w:r w:rsidR="00FF421A" w:rsidRPr="00046D34">
        <w:t xml:space="preserve"> highly influential </w:t>
      </w:r>
      <w:r w:rsidR="00634419" w:rsidRPr="00046D34">
        <w:t xml:space="preserve">in determining </w:t>
      </w:r>
      <w:r w:rsidR="00FD525B" w:rsidRPr="00046D34">
        <w:t xml:space="preserve">the resilience </w:t>
      </w:r>
      <w:r w:rsidR="00882662" w:rsidRPr="00046D34">
        <w:t>of the stock in the simulation.</w:t>
      </w:r>
      <w:r w:rsidR="00FD525B" w:rsidRPr="00046D34">
        <w:t xml:space="preserve"> </w:t>
      </w:r>
      <w:r w:rsidR="00FD79EC" w:rsidRPr="00046D34">
        <w:t>The most prominent parameters (R</w:t>
      </w:r>
      <w:r w:rsidR="00FD79EC" w:rsidRPr="00F64983">
        <w:rPr>
          <w:rStyle w:val="BodyTextChar3"/>
          <w:rFonts w:cs="Arial"/>
          <w:sz w:val="22"/>
          <w:szCs w:val="22"/>
          <w:vertAlign w:val="subscript"/>
        </w:rPr>
        <w:t>0</w:t>
      </w:r>
      <w:r w:rsidR="00FD79EC" w:rsidRPr="00046D34">
        <w:t xml:space="preserve">, </w:t>
      </w:r>
      <w:r w:rsidR="00FD79EC" w:rsidRPr="00F64983">
        <w:rPr>
          <w:rStyle w:val="BodyTextChar3"/>
          <w:rFonts w:cs="Arial"/>
          <w:i/>
          <w:sz w:val="22"/>
          <w:szCs w:val="22"/>
        </w:rPr>
        <w:t>h</w:t>
      </w:r>
      <w:r w:rsidR="00FD79EC" w:rsidRPr="00046D34">
        <w:t xml:space="preserve"> and D) are based on the </w:t>
      </w:r>
      <w:r w:rsidR="00C65981" w:rsidRPr="00046D34">
        <w:t xml:space="preserve">perceived </w:t>
      </w:r>
      <w:r w:rsidR="00FD79EC" w:rsidRPr="00046D34">
        <w:t>SR relationship for the stock</w:t>
      </w:r>
      <w:r w:rsidR="00C65981" w:rsidRPr="00046D34">
        <w:t>. However, traditional Ricker</w:t>
      </w:r>
      <w:r w:rsidR="00BF3C1C" w:rsidRPr="00046D34">
        <w:t xml:space="preserve"> (1975)</w:t>
      </w:r>
      <w:r w:rsidR="00C65981" w:rsidRPr="00046D34">
        <w:t xml:space="preserve"> and </w:t>
      </w:r>
      <w:proofErr w:type="spellStart"/>
      <w:r w:rsidR="00C65981" w:rsidRPr="00046D34">
        <w:t>Beverton</w:t>
      </w:r>
      <w:proofErr w:type="spellEnd"/>
      <w:r w:rsidR="00C65981" w:rsidRPr="00046D34">
        <w:t>-Holt (</w:t>
      </w:r>
      <w:r w:rsidR="00BF3C1C" w:rsidRPr="00046D34">
        <w:t>1957</w:t>
      </w:r>
      <w:r w:rsidR="00C65981" w:rsidRPr="00046D34">
        <w:t>) relationships show a very poor fit to the 2018 VPA and ASAP outputs, with a straight line being a better predictor of recruitment at a given SSB (i.e. AIC</w:t>
      </w:r>
      <w:r w:rsidR="00C65981" w:rsidRPr="00F64983">
        <w:rPr>
          <w:rStyle w:val="BodyTextChar3"/>
          <w:rFonts w:cs="Arial"/>
          <w:sz w:val="22"/>
          <w:szCs w:val="22"/>
          <w:vertAlign w:val="subscript"/>
        </w:rPr>
        <w:t>ASAP_BH</w:t>
      </w:r>
      <w:r w:rsidR="00C65981" w:rsidRPr="00046D34">
        <w:t>=802, AIC</w:t>
      </w:r>
      <w:r w:rsidR="00C65981" w:rsidRPr="00F64983">
        <w:rPr>
          <w:rStyle w:val="BodyTextChar3"/>
          <w:rFonts w:cs="Arial"/>
          <w:sz w:val="22"/>
          <w:szCs w:val="22"/>
          <w:vertAlign w:val="subscript"/>
        </w:rPr>
        <w:t>ASAP_LN</w:t>
      </w:r>
      <w:r w:rsidR="00C65981" w:rsidRPr="00046D34">
        <w:t>=780).</w:t>
      </w:r>
      <w:r w:rsidR="00821FD2" w:rsidRPr="00046D34">
        <w:t xml:space="preserve"> </w:t>
      </w:r>
      <w:r w:rsidR="0072376A" w:rsidRPr="00046D34">
        <w:t xml:space="preserve">In addition, performance of the SR relationship degrades substantially at low levels of Spawning Stock Biomass (SSB), consistently and severely over-estimating recruitment </w:t>
      </w:r>
      <w:r w:rsidR="003503E5" w:rsidRPr="00046D34">
        <w:t xml:space="preserve">at low biomass levels in the most recent years </w:t>
      </w:r>
      <w:r w:rsidR="0072376A" w:rsidRPr="00046D34">
        <w:t>(</w:t>
      </w:r>
      <w:r w:rsidR="00950A8C" w:rsidRPr="00F64983">
        <w:rPr>
          <w:rStyle w:val="BodyTextChar3"/>
          <w:rFonts w:cs="Arial"/>
          <w:sz w:val="22"/>
          <w:szCs w:val="22"/>
        </w:rPr>
        <w:fldChar w:fldCharType="begin"/>
      </w:r>
      <w:r w:rsidR="00950A8C" w:rsidRPr="00F64983">
        <w:rPr>
          <w:rStyle w:val="BodyTextChar3"/>
          <w:rFonts w:cs="Arial"/>
          <w:sz w:val="22"/>
          <w:szCs w:val="22"/>
        </w:rPr>
        <w:instrText xml:space="preserve"> REF _Ref10555610 \h </w:instrText>
      </w:r>
      <w:r w:rsidR="00581903" w:rsidRPr="00F64983">
        <w:rPr>
          <w:rStyle w:val="BodyTextChar3"/>
          <w:rFonts w:cs="Arial"/>
          <w:sz w:val="22"/>
          <w:szCs w:val="22"/>
        </w:rPr>
        <w:instrText xml:space="preserve"> \* MERGEFORMAT </w:instrText>
      </w:r>
      <w:r w:rsidR="00950A8C" w:rsidRPr="00F64983">
        <w:rPr>
          <w:rStyle w:val="BodyTextChar3"/>
          <w:rFonts w:cs="Arial"/>
          <w:sz w:val="22"/>
          <w:szCs w:val="22"/>
        </w:rPr>
      </w:r>
      <w:r w:rsidR="00950A8C" w:rsidRPr="00F64983">
        <w:rPr>
          <w:rStyle w:val="BodyTextChar3"/>
          <w:rFonts w:cs="Arial"/>
          <w:sz w:val="22"/>
          <w:szCs w:val="22"/>
        </w:rPr>
        <w:fldChar w:fldCharType="separate"/>
      </w:r>
      <w:r w:rsidR="004744A1" w:rsidRPr="008E4494">
        <w:t xml:space="preserve">Figure </w:t>
      </w:r>
      <w:r w:rsidR="004744A1">
        <w:rPr>
          <w:noProof/>
        </w:rPr>
        <w:t>12</w:t>
      </w:r>
      <w:r w:rsidR="00950A8C" w:rsidRPr="00F64983">
        <w:rPr>
          <w:rStyle w:val="BodyTextChar3"/>
          <w:rFonts w:cs="Arial"/>
          <w:sz w:val="22"/>
          <w:szCs w:val="22"/>
        </w:rPr>
        <w:fldChar w:fldCharType="end"/>
      </w:r>
      <w:r w:rsidR="0072376A" w:rsidRPr="00046D34">
        <w:t>)</w:t>
      </w:r>
      <w:r w:rsidR="003503E5" w:rsidRPr="00046D34">
        <w:t xml:space="preserve">. Given the </w:t>
      </w:r>
      <w:r w:rsidR="00586C6A" w:rsidRPr="00046D34">
        <w:t xml:space="preserve">current low </w:t>
      </w:r>
      <w:r w:rsidR="003503E5" w:rsidRPr="00046D34">
        <w:t xml:space="preserve">biomass levels and the low likelihood of </w:t>
      </w:r>
      <w:r w:rsidR="005046F6" w:rsidRPr="00046D34">
        <w:t xml:space="preserve">short-term </w:t>
      </w:r>
      <w:r w:rsidR="003503E5" w:rsidRPr="00046D34">
        <w:t>projections departing from that state, the performance of Management Procedures w</w:t>
      </w:r>
      <w:r w:rsidR="00957240" w:rsidRPr="00046D34">
        <w:t>ould</w:t>
      </w:r>
      <w:r w:rsidR="003503E5" w:rsidRPr="00046D34">
        <w:t xml:space="preserve"> be </w:t>
      </w:r>
      <w:r w:rsidR="005046F6" w:rsidRPr="00046D34">
        <w:t>tested</w:t>
      </w:r>
      <w:r w:rsidR="003503E5" w:rsidRPr="00046D34">
        <w:t xml:space="preserve"> under conditions where the SR relationship is </w:t>
      </w:r>
      <w:r w:rsidR="000922A4" w:rsidRPr="00046D34">
        <w:t xml:space="preserve">known to be </w:t>
      </w:r>
      <w:r w:rsidR="0011174F" w:rsidRPr="00046D34">
        <w:t>unreliable</w:t>
      </w:r>
      <w:r w:rsidR="003503E5" w:rsidRPr="00046D34">
        <w:t>.</w:t>
      </w:r>
      <w:r w:rsidR="00A80BD6" w:rsidRPr="00046D34">
        <w:t xml:space="preserve"> </w:t>
      </w:r>
      <w:r w:rsidR="00003988" w:rsidRPr="00046D34">
        <w:t>To avoid consistent over-estimation issues during testing of the MPs, the SR relationship can be modified by shortening the time series</w:t>
      </w:r>
      <w:r w:rsidR="00FB4358" w:rsidRPr="00046D34">
        <w:t xml:space="preserve"> (‘</w:t>
      </w:r>
      <w:r w:rsidR="006B49DB" w:rsidRPr="00046D34">
        <w:t>_</w:t>
      </w:r>
      <w:r w:rsidR="00FB4358" w:rsidRPr="00046D34">
        <w:t>short’</w:t>
      </w:r>
      <w:r w:rsidR="006B49DB" w:rsidRPr="00046D34">
        <w:t xml:space="preserve"> OM</w:t>
      </w:r>
      <w:r w:rsidR="00FB4358" w:rsidRPr="00046D34">
        <w:t>)</w:t>
      </w:r>
      <w:r w:rsidR="00003988" w:rsidRPr="00046D34">
        <w:t xml:space="preserve"> or by introducing a gradual declining trend into the R</w:t>
      </w:r>
      <w:r w:rsidR="00003988" w:rsidRPr="00F64983">
        <w:rPr>
          <w:rStyle w:val="BodyTextChar3"/>
          <w:rFonts w:cs="Arial"/>
          <w:sz w:val="22"/>
          <w:szCs w:val="22"/>
          <w:vertAlign w:val="subscript"/>
        </w:rPr>
        <w:t>0</w:t>
      </w:r>
      <w:r w:rsidR="00FB4358" w:rsidRPr="00046D34">
        <w:t xml:space="preserve"> (‘</w:t>
      </w:r>
      <w:r w:rsidR="006B49DB" w:rsidRPr="00046D34">
        <w:t>_</w:t>
      </w:r>
      <w:r w:rsidR="00FB4358" w:rsidRPr="00046D34">
        <w:t>R0dec’</w:t>
      </w:r>
      <w:r w:rsidR="006B49DB" w:rsidRPr="00046D34">
        <w:t xml:space="preserve"> OM</w:t>
      </w:r>
      <w:r w:rsidR="00FB4358" w:rsidRPr="00046D34">
        <w:t>)</w:t>
      </w:r>
      <w:r w:rsidR="00003988" w:rsidRPr="00046D34">
        <w:t xml:space="preserve"> to improve predictive performance at low biomass</w:t>
      </w:r>
      <w:r w:rsidR="00FB4358" w:rsidRPr="00046D34">
        <w:t xml:space="preserve"> in recent years</w:t>
      </w:r>
      <w:r w:rsidR="00003988" w:rsidRPr="00046D34">
        <w:t>.</w:t>
      </w:r>
    </w:p>
    <w:p w:rsidR="00E50E54" w:rsidRPr="00046D34" w:rsidRDefault="00B253F0" w:rsidP="003C4C0F">
      <w:pPr>
        <w:pStyle w:val="BodyText"/>
      </w:pPr>
      <w:r w:rsidRPr="00046D34">
        <w:t>The 2018</w:t>
      </w:r>
      <w:r w:rsidR="007055F7" w:rsidRPr="00046D34">
        <w:t xml:space="preserve"> VPA and ASAP</w:t>
      </w:r>
      <w:r w:rsidRPr="00046D34">
        <w:t xml:space="preserve"> time series </w:t>
      </w:r>
      <w:r w:rsidR="007055F7" w:rsidRPr="00046D34">
        <w:t>go back to 1978</w:t>
      </w:r>
      <w:r w:rsidR="00BC66EA" w:rsidRPr="00046D34">
        <w:t>,</w:t>
      </w:r>
      <w:r w:rsidR="007055F7" w:rsidRPr="00046D34">
        <w:t xml:space="preserve"> and the cut-off point for the ‘_short’ OM </w:t>
      </w:r>
      <w:r w:rsidR="00CF505E" w:rsidRPr="00046D34">
        <w:t xml:space="preserve">can be </w:t>
      </w:r>
      <w:r w:rsidR="007055F7" w:rsidRPr="00046D34">
        <w:t xml:space="preserve">determined </w:t>
      </w:r>
      <w:r w:rsidR="0033649D" w:rsidRPr="00046D34">
        <w:t xml:space="preserve">either using </w:t>
      </w:r>
      <w:proofErr w:type="spellStart"/>
      <w:r w:rsidR="0033649D" w:rsidRPr="00046D34">
        <w:t>Rago</w:t>
      </w:r>
      <w:proofErr w:type="spellEnd"/>
      <w:r w:rsidR="0033649D" w:rsidRPr="00046D34">
        <w:t xml:space="preserve"> razor (1999</w:t>
      </w:r>
      <w:r w:rsidR="0089059A" w:rsidRPr="00046D34">
        <w:t>–</w:t>
      </w:r>
      <w:r w:rsidR="00CF505E" w:rsidRPr="00046D34">
        <w:t>2000</w:t>
      </w:r>
      <w:r w:rsidR="0033649D" w:rsidRPr="00046D34">
        <w:t>)</w:t>
      </w:r>
      <w:r w:rsidR="00CF505E" w:rsidRPr="00046D34">
        <w:t xml:space="preserve"> or </w:t>
      </w:r>
      <w:r w:rsidR="007055F7" w:rsidRPr="00046D34">
        <w:t>by examining the AIC values (</w:t>
      </w:r>
      <w:r w:rsidR="00950A8C" w:rsidRPr="00F64983">
        <w:rPr>
          <w:rStyle w:val="BodyTextChar3"/>
          <w:rFonts w:cs="Arial"/>
          <w:sz w:val="22"/>
          <w:szCs w:val="22"/>
        </w:rPr>
        <w:fldChar w:fldCharType="begin"/>
      </w:r>
      <w:r w:rsidR="00950A8C" w:rsidRPr="00F64983">
        <w:rPr>
          <w:rStyle w:val="BodyTextChar3"/>
          <w:rFonts w:cs="Arial"/>
          <w:sz w:val="22"/>
          <w:szCs w:val="22"/>
        </w:rPr>
        <w:instrText xml:space="preserve"> REF _Ref11056508 \h </w:instrText>
      </w:r>
      <w:r w:rsidR="00581903" w:rsidRPr="00F64983">
        <w:rPr>
          <w:rStyle w:val="BodyTextChar3"/>
          <w:rFonts w:cs="Arial"/>
          <w:sz w:val="22"/>
          <w:szCs w:val="22"/>
        </w:rPr>
        <w:instrText xml:space="preserve"> \* MERGEFORMAT </w:instrText>
      </w:r>
      <w:r w:rsidR="00950A8C" w:rsidRPr="00F64983">
        <w:rPr>
          <w:rStyle w:val="BodyTextChar3"/>
          <w:rFonts w:cs="Arial"/>
          <w:sz w:val="22"/>
          <w:szCs w:val="22"/>
        </w:rPr>
      </w:r>
      <w:r w:rsidR="00950A8C" w:rsidRPr="00F64983">
        <w:rPr>
          <w:rStyle w:val="BodyTextChar3"/>
          <w:rFonts w:cs="Arial"/>
          <w:sz w:val="22"/>
          <w:szCs w:val="22"/>
        </w:rPr>
        <w:fldChar w:fldCharType="separate"/>
      </w:r>
      <w:r w:rsidR="004744A1" w:rsidRPr="008E4494">
        <w:t xml:space="preserve">Figure </w:t>
      </w:r>
      <w:r w:rsidR="004744A1">
        <w:rPr>
          <w:noProof/>
        </w:rPr>
        <w:t>13</w:t>
      </w:r>
      <w:r w:rsidR="00950A8C" w:rsidRPr="00F64983">
        <w:rPr>
          <w:rStyle w:val="BodyTextChar3"/>
          <w:rFonts w:cs="Arial"/>
          <w:sz w:val="22"/>
          <w:szCs w:val="22"/>
        </w:rPr>
        <w:fldChar w:fldCharType="end"/>
      </w:r>
      <w:r w:rsidR="0033649D" w:rsidRPr="00046D34">
        <w:t>; 1991</w:t>
      </w:r>
      <w:r w:rsidR="0089059A" w:rsidRPr="00046D34">
        <w:t>–</w:t>
      </w:r>
      <w:r w:rsidR="00CF505E" w:rsidRPr="00046D34">
        <w:t>1992</w:t>
      </w:r>
      <w:r w:rsidR="007055F7" w:rsidRPr="00046D34">
        <w:t>)</w:t>
      </w:r>
      <w:r w:rsidR="00CB46DA" w:rsidRPr="00046D34">
        <w:t>, for example</w:t>
      </w:r>
      <w:r w:rsidR="007055F7" w:rsidRPr="00046D34">
        <w:t xml:space="preserve">. </w:t>
      </w:r>
      <w:r w:rsidR="00E50E54" w:rsidRPr="00046D34">
        <w:t>Annual adjustment of R</w:t>
      </w:r>
      <w:r w:rsidR="00E50E54" w:rsidRPr="00F64983">
        <w:rPr>
          <w:rStyle w:val="BodyTextChar3"/>
          <w:rFonts w:cs="Arial"/>
          <w:sz w:val="22"/>
          <w:szCs w:val="22"/>
          <w:vertAlign w:val="subscript"/>
        </w:rPr>
        <w:t>0</w:t>
      </w:r>
      <w:r w:rsidR="0085304C" w:rsidRPr="00046D34">
        <w:t xml:space="preserve"> for the ‘_R0dec’ OMs</w:t>
      </w:r>
      <w:r w:rsidR="00E50E54" w:rsidRPr="00046D34">
        <w:t xml:space="preserve"> i</w:t>
      </w:r>
      <w:r w:rsidRPr="00046D34">
        <w:t>s</w:t>
      </w:r>
      <w:r w:rsidR="00E50E54" w:rsidRPr="00046D34">
        <w:t xml:space="preserve"> not possible in the current versions of </w:t>
      </w:r>
      <w:proofErr w:type="spellStart"/>
      <w:r w:rsidR="00E50E54" w:rsidRPr="00046D34">
        <w:t>DLMtool</w:t>
      </w:r>
      <w:proofErr w:type="spellEnd"/>
      <w:r w:rsidR="00E50E54" w:rsidRPr="00046D34">
        <w:t xml:space="preserve"> and </w:t>
      </w:r>
      <w:proofErr w:type="spellStart"/>
      <w:r w:rsidR="00E50E54" w:rsidRPr="00046D34">
        <w:t>MSEtool</w:t>
      </w:r>
      <w:proofErr w:type="spellEnd"/>
      <w:r w:rsidR="00E50E54" w:rsidRPr="00046D34">
        <w:t xml:space="preserve">, </w:t>
      </w:r>
      <w:r w:rsidR="00CF505E" w:rsidRPr="00046D34">
        <w:t xml:space="preserve">but </w:t>
      </w:r>
      <w:r w:rsidR="00347F9E" w:rsidRPr="00046D34">
        <w:t xml:space="preserve">the same effect </w:t>
      </w:r>
      <w:r w:rsidR="00CF505E" w:rsidRPr="00046D34">
        <w:t>can</w:t>
      </w:r>
      <w:r w:rsidR="00CB46DA" w:rsidRPr="00046D34">
        <w:t xml:space="preserve"> be</w:t>
      </w:r>
      <w:r w:rsidR="00CF505E" w:rsidRPr="00046D34">
        <w:t xml:space="preserve"> </w:t>
      </w:r>
      <w:r w:rsidR="00E50E54" w:rsidRPr="00046D34">
        <w:t>achieved by imposing a directionality on the error parameter associated with annual recruitment (</w:t>
      </w:r>
      <w:proofErr w:type="spellStart"/>
      <w:r w:rsidR="00E50E54" w:rsidRPr="00046D34">
        <w:t>Perr</w:t>
      </w:r>
      <w:proofErr w:type="spellEnd"/>
      <w:r w:rsidR="00E50E54" w:rsidRPr="00046D34">
        <w:t xml:space="preserve">). </w:t>
      </w:r>
      <w:r w:rsidR="00CF505E" w:rsidRPr="00046D34">
        <w:t xml:space="preserve">The </w:t>
      </w:r>
      <w:proofErr w:type="spellStart"/>
      <w:r w:rsidR="00CF505E" w:rsidRPr="00046D34">
        <w:t>Perr</w:t>
      </w:r>
      <w:proofErr w:type="spellEnd"/>
      <w:r w:rsidR="00CF505E" w:rsidRPr="00046D34">
        <w:t xml:space="preserve"> parameter can</w:t>
      </w:r>
      <w:r w:rsidR="00CB46DA" w:rsidRPr="00046D34">
        <w:t xml:space="preserve"> be informed by estimating a random walk in R</w:t>
      </w:r>
      <w:r w:rsidR="00CB46DA" w:rsidRPr="00F64983">
        <w:rPr>
          <w:rStyle w:val="BodyTextChar3"/>
          <w:rFonts w:cs="Arial"/>
          <w:sz w:val="22"/>
          <w:szCs w:val="22"/>
          <w:vertAlign w:val="subscript"/>
        </w:rPr>
        <w:t>0</w:t>
      </w:r>
      <w:r w:rsidR="00CB46DA" w:rsidRPr="00046D34">
        <w:t xml:space="preserve">, modified from Tableau et al. 2019. </w:t>
      </w:r>
      <w:r w:rsidR="00746F29" w:rsidRPr="00046D34">
        <w:t>However, s</w:t>
      </w:r>
      <w:r w:rsidR="00E50E54" w:rsidRPr="00046D34">
        <w:t>ince this parameter is treated as ‘error’</w:t>
      </w:r>
      <w:r w:rsidR="00746F29" w:rsidRPr="00046D34">
        <w:t xml:space="preserve"> </w:t>
      </w:r>
      <w:r w:rsidR="00763604" w:rsidRPr="00046D34">
        <w:t xml:space="preserve">within the OM </w:t>
      </w:r>
      <w:r w:rsidR="00746F29" w:rsidRPr="00046D34">
        <w:t>and not an actual decline in R</w:t>
      </w:r>
      <w:r w:rsidR="00746F29" w:rsidRPr="00F64983">
        <w:rPr>
          <w:rStyle w:val="BodyTextChar3"/>
          <w:rFonts w:cs="Arial"/>
          <w:sz w:val="22"/>
          <w:szCs w:val="22"/>
          <w:vertAlign w:val="subscript"/>
        </w:rPr>
        <w:t>0</w:t>
      </w:r>
      <w:r w:rsidR="00746F29" w:rsidRPr="00046D34">
        <w:t xml:space="preserve"> for the population, </w:t>
      </w:r>
      <w:r w:rsidR="00E50E54" w:rsidRPr="00046D34">
        <w:t xml:space="preserve">Reference Points are not automatically </w:t>
      </w:r>
      <w:r w:rsidR="00746F29" w:rsidRPr="00046D34">
        <w:t xml:space="preserve">adjusted in the simulation. As a result, </w:t>
      </w:r>
      <w:r w:rsidR="003E2E58" w:rsidRPr="00046D34">
        <w:t>several standard performance metrics will not be useable when MPs are tested against them in the ‘_R0dec’ OM.</w:t>
      </w:r>
    </w:p>
    <w:p w:rsidR="00746F29" w:rsidRPr="00354AAF" w:rsidRDefault="004835CB" w:rsidP="006771F2">
      <w:pPr>
        <w:pStyle w:val="Heading3"/>
        <w:rPr>
          <w:rStyle w:val="BodyTextChar3"/>
          <w:sz w:val="22"/>
          <w:szCs w:val="22"/>
        </w:rPr>
      </w:pPr>
      <w:bookmarkStart w:id="7" w:name="_Toc43212363"/>
      <w:r w:rsidRPr="00354AAF">
        <w:rPr>
          <w:rStyle w:val="BodyTextChar3"/>
          <w:sz w:val="22"/>
          <w:szCs w:val="22"/>
        </w:rPr>
        <w:t>Depletion</w:t>
      </w:r>
      <w:r w:rsidR="000F5A81" w:rsidRPr="00354AAF">
        <w:rPr>
          <w:rStyle w:val="BodyTextChar3"/>
          <w:sz w:val="22"/>
          <w:szCs w:val="22"/>
        </w:rPr>
        <w:t xml:space="preserve"> and Unfished Recruitment</w:t>
      </w:r>
      <w:bookmarkEnd w:id="7"/>
    </w:p>
    <w:p w:rsidR="00CF4F05" w:rsidRPr="00046D34" w:rsidRDefault="00056CEB" w:rsidP="003C4C0F">
      <w:pPr>
        <w:pStyle w:val="BodyText"/>
      </w:pPr>
      <w:r w:rsidRPr="00046D34">
        <w:t xml:space="preserve">The stock depletion parameter (D) </w:t>
      </w:r>
      <w:r w:rsidR="000F5A81" w:rsidRPr="00046D34">
        <w:t>and unfished recruitment (R</w:t>
      </w:r>
      <w:r w:rsidR="000F5A81" w:rsidRPr="00F64983">
        <w:rPr>
          <w:rStyle w:val="BodyTextChar3"/>
          <w:sz w:val="22"/>
          <w:szCs w:val="22"/>
          <w:vertAlign w:val="subscript"/>
        </w:rPr>
        <w:t>0</w:t>
      </w:r>
      <w:r w:rsidR="000F5A81" w:rsidRPr="00046D34">
        <w:t>) are</w:t>
      </w:r>
      <w:r w:rsidRPr="00046D34">
        <w:t xml:space="preserve"> </w:t>
      </w:r>
      <w:r w:rsidR="009A44FF" w:rsidRPr="00046D34">
        <w:t xml:space="preserve">also model-dependent parameters, with D defined </w:t>
      </w:r>
      <w:r w:rsidRPr="00046D34">
        <w:t xml:space="preserve">as </w:t>
      </w:r>
      <w:proofErr w:type="spellStart"/>
      <w:r w:rsidRPr="00046D34">
        <w:t>SSB</w:t>
      </w:r>
      <w:r w:rsidRPr="00F64983">
        <w:rPr>
          <w:rStyle w:val="BodyTextChar3"/>
          <w:sz w:val="22"/>
          <w:szCs w:val="22"/>
          <w:vertAlign w:val="subscript"/>
        </w:rPr>
        <w:t>current</w:t>
      </w:r>
      <w:proofErr w:type="spellEnd"/>
      <w:r w:rsidRPr="00046D34">
        <w:t>/</w:t>
      </w:r>
      <w:proofErr w:type="spellStart"/>
      <w:r w:rsidRPr="00046D34">
        <w:t>SSB</w:t>
      </w:r>
      <w:r w:rsidRPr="00F64983">
        <w:rPr>
          <w:rStyle w:val="BodyTextChar3"/>
          <w:sz w:val="22"/>
          <w:szCs w:val="22"/>
          <w:vertAlign w:val="subscript"/>
        </w:rPr>
        <w:t>unfished</w:t>
      </w:r>
      <w:proofErr w:type="spellEnd"/>
      <w:r w:rsidRPr="00046D34">
        <w:t>.</w:t>
      </w:r>
      <w:r w:rsidR="005E7D9B" w:rsidRPr="00046D34">
        <w:t xml:space="preserve"> </w:t>
      </w:r>
      <w:r w:rsidRPr="00046D34">
        <w:t xml:space="preserve">For the ‘_short’ OM, </w:t>
      </w:r>
      <w:r w:rsidR="00CF4F05" w:rsidRPr="00046D34">
        <w:t>both D and R</w:t>
      </w:r>
      <w:r w:rsidR="00CF4F05" w:rsidRPr="00F64983">
        <w:rPr>
          <w:rStyle w:val="BodyTextChar3"/>
          <w:sz w:val="22"/>
          <w:szCs w:val="22"/>
          <w:vertAlign w:val="subscript"/>
        </w:rPr>
        <w:t>0</w:t>
      </w:r>
      <w:r w:rsidR="00CF4F05" w:rsidRPr="00046D34">
        <w:t xml:space="preserve"> can be </w:t>
      </w:r>
      <w:r w:rsidRPr="00046D34">
        <w:t xml:space="preserve">derived from the </w:t>
      </w:r>
      <w:r w:rsidR="00CB46DA" w:rsidRPr="00046D34">
        <w:t xml:space="preserve">SR </w:t>
      </w:r>
      <w:r w:rsidRPr="00046D34">
        <w:t xml:space="preserve">relationship. For the ‘_R0dec’ </w:t>
      </w:r>
      <w:r w:rsidR="0071566E" w:rsidRPr="00046D34">
        <w:t xml:space="preserve">OM, </w:t>
      </w:r>
      <w:r w:rsidR="000F5A81" w:rsidRPr="00046D34">
        <w:t>both D and R</w:t>
      </w:r>
      <w:r w:rsidR="000F5A81" w:rsidRPr="00F64983">
        <w:rPr>
          <w:rStyle w:val="BodyTextChar3"/>
          <w:sz w:val="22"/>
          <w:szCs w:val="22"/>
          <w:vertAlign w:val="subscript"/>
        </w:rPr>
        <w:t>0</w:t>
      </w:r>
      <w:r w:rsidR="000F5A81" w:rsidRPr="00046D34">
        <w:t xml:space="preserve"> </w:t>
      </w:r>
      <w:r w:rsidR="00CF4F05" w:rsidRPr="00046D34">
        <w:t xml:space="preserve">can be </w:t>
      </w:r>
      <w:r w:rsidR="0071566E" w:rsidRPr="00046D34">
        <w:t xml:space="preserve">calculated based on the </w:t>
      </w:r>
      <w:r w:rsidR="00CB46DA" w:rsidRPr="00046D34">
        <w:t xml:space="preserve">early time series </w:t>
      </w:r>
      <w:r w:rsidR="0071566E" w:rsidRPr="00046D34">
        <w:t>SR relationship, as the simulation does not recognize a decrease in R</w:t>
      </w:r>
      <w:r w:rsidR="0071566E" w:rsidRPr="00F64983">
        <w:rPr>
          <w:rStyle w:val="BodyTextChar3"/>
          <w:sz w:val="22"/>
          <w:szCs w:val="22"/>
          <w:vertAlign w:val="subscript"/>
        </w:rPr>
        <w:t>0</w:t>
      </w:r>
      <w:r w:rsidR="0071566E" w:rsidRPr="00046D34">
        <w:t xml:space="preserve"> and optimizes terminal year depletion to the SR relationship before recruitment error (</w:t>
      </w:r>
      <w:proofErr w:type="spellStart"/>
      <w:r w:rsidR="0071566E" w:rsidRPr="00046D34">
        <w:t>Perr</w:t>
      </w:r>
      <w:proofErr w:type="spellEnd"/>
      <w:r w:rsidR="0071566E" w:rsidRPr="00046D34">
        <w:t>) is applied.</w:t>
      </w:r>
      <w:r w:rsidR="00CB46DA" w:rsidRPr="00046D34">
        <w:t xml:space="preserve"> </w:t>
      </w:r>
      <w:r w:rsidR="00CF4F05" w:rsidRPr="00046D34">
        <w:t xml:space="preserve">As an alternative, </w:t>
      </w:r>
      <w:r w:rsidR="00CB46DA" w:rsidRPr="00046D34">
        <w:t xml:space="preserve">the depletion parameter </w:t>
      </w:r>
      <w:r w:rsidR="00CF4F05" w:rsidRPr="00046D34">
        <w:t>can also be estimated using yield per recruit analysis.</w:t>
      </w:r>
    </w:p>
    <w:p w:rsidR="004835CB" w:rsidRPr="00046D34" w:rsidRDefault="00FB470C" w:rsidP="003C4C0F">
      <w:pPr>
        <w:pStyle w:val="BodyText"/>
      </w:pPr>
      <w:r w:rsidRPr="00046D34">
        <w:t>Total b</w:t>
      </w:r>
      <w:r w:rsidR="00A71C6E" w:rsidRPr="00046D34">
        <w:t xml:space="preserve">iomass </w:t>
      </w:r>
      <w:r w:rsidR="004835CB" w:rsidRPr="00046D34">
        <w:t xml:space="preserve">depletion values </w:t>
      </w:r>
      <w:r w:rsidR="00CF4F05" w:rsidRPr="00046D34">
        <w:t>can</w:t>
      </w:r>
      <w:r w:rsidR="004835CB" w:rsidRPr="00046D34">
        <w:t xml:space="preserve"> also </w:t>
      </w:r>
      <w:r w:rsidR="00CF4F05" w:rsidRPr="00046D34">
        <w:t xml:space="preserve">be </w:t>
      </w:r>
      <w:r w:rsidR="004835CB" w:rsidRPr="00046D34">
        <w:t>estimated from the three available surveys</w:t>
      </w:r>
      <w:r w:rsidR="00BC66EA" w:rsidRPr="00046D34">
        <w:t xml:space="preserve"> [DFO, National Marine Fisheries Service (NMFS)</w:t>
      </w:r>
      <w:r w:rsidR="004835CB" w:rsidRPr="00046D34">
        <w:t xml:space="preserve"> Spring and NMFS Fall</w:t>
      </w:r>
      <w:r w:rsidR="00BC66EA" w:rsidRPr="00046D34">
        <w:t>]</w:t>
      </w:r>
      <w:r w:rsidR="00A71C6E" w:rsidRPr="00046D34">
        <w:t xml:space="preserve"> by comparing the mean biomass of the first</w:t>
      </w:r>
      <w:r w:rsidR="0033649D" w:rsidRPr="00046D34">
        <w:t xml:space="preserve"> five years in the series (1978</w:t>
      </w:r>
      <w:r w:rsidR="0089059A" w:rsidRPr="00046D34">
        <w:t>–</w:t>
      </w:r>
      <w:r w:rsidR="00A71C6E" w:rsidRPr="00046D34">
        <w:t>1982</w:t>
      </w:r>
      <w:r w:rsidR="0033649D" w:rsidRPr="00046D34">
        <w:t xml:space="preserve"> for NMFS, 1986</w:t>
      </w:r>
      <w:r w:rsidR="0089059A" w:rsidRPr="00046D34">
        <w:t>–</w:t>
      </w:r>
      <w:r w:rsidR="00BC66EA" w:rsidRPr="00046D34">
        <w:t>1990 for DFO)</w:t>
      </w:r>
      <w:r w:rsidR="00A71C6E" w:rsidRPr="00046D34">
        <w:t xml:space="preserve"> to the mean biomass of the last </w:t>
      </w:r>
      <w:r w:rsidR="0033649D" w:rsidRPr="00046D34">
        <w:t>five years of each series (2014</w:t>
      </w:r>
      <w:r w:rsidR="0089059A" w:rsidRPr="00046D34">
        <w:t>–</w:t>
      </w:r>
      <w:r w:rsidR="00A71C6E" w:rsidRPr="00046D34">
        <w:t>2018</w:t>
      </w:r>
      <w:r w:rsidR="0033649D" w:rsidRPr="00046D34">
        <w:t xml:space="preserve"> for fall, 2015</w:t>
      </w:r>
      <w:r w:rsidR="0089059A" w:rsidRPr="00046D34">
        <w:t>–</w:t>
      </w:r>
      <w:r w:rsidR="00A71C6E" w:rsidRPr="00046D34">
        <w:t>2019 for spring)</w:t>
      </w:r>
      <w:r w:rsidR="004835CB" w:rsidRPr="00046D34">
        <w:t xml:space="preserve">. </w:t>
      </w:r>
      <w:r w:rsidR="00A71C6E" w:rsidRPr="00046D34">
        <w:t xml:space="preserve">As the population was already undergoing fishing at the beginning of each survey series, these values are considered the minimum </w:t>
      </w:r>
      <w:r w:rsidR="005E7D9B" w:rsidRPr="00046D34">
        <w:t xml:space="preserve">biomass </w:t>
      </w:r>
      <w:r w:rsidR="00A71C6E" w:rsidRPr="00046D34">
        <w:t xml:space="preserve">depletion </w:t>
      </w:r>
      <w:r w:rsidR="00F24E66" w:rsidRPr="00046D34">
        <w:t xml:space="preserve">estimates </w:t>
      </w:r>
      <w:r w:rsidR="00A71C6E" w:rsidRPr="00046D34">
        <w:t xml:space="preserve">for </w:t>
      </w:r>
      <w:r w:rsidR="00F24E66" w:rsidRPr="00046D34">
        <w:t>E</w:t>
      </w:r>
      <w:r w:rsidR="00BC66EA" w:rsidRPr="00046D34">
        <w:t>astern Georges Bank C</w:t>
      </w:r>
      <w:r w:rsidR="00A71C6E" w:rsidRPr="00046D34">
        <w:t>od</w:t>
      </w:r>
      <w:r w:rsidR="005E7D9B" w:rsidRPr="00046D34">
        <w:t xml:space="preserve"> (</w:t>
      </w:r>
      <w:r w:rsidR="00950A8C" w:rsidRPr="00F64983">
        <w:rPr>
          <w:rStyle w:val="BodyTextChar3"/>
          <w:sz w:val="22"/>
          <w:szCs w:val="22"/>
        </w:rPr>
        <w:fldChar w:fldCharType="begin"/>
      </w:r>
      <w:r w:rsidR="00950A8C" w:rsidRPr="00F64983">
        <w:rPr>
          <w:rStyle w:val="BodyTextChar3"/>
          <w:sz w:val="22"/>
          <w:szCs w:val="22"/>
        </w:rPr>
        <w:instrText xml:space="preserve"> REF _Ref11071434 \h </w:instrText>
      </w:r>
      <w:r w:rsidR="00581903" w:rsidRPr="00F64983">
        <w:rPr>
          <w:rStyle w:val="BodyTextChar3"/>
          <w:sz w:val="22"/>
          <w:szCs w:val="22"/>
        </w:rPr>
        <w:instrText xml:space="preserve"> \* MERGEFORMAT </w:instrText>
      </w:r>
      <w:r w:rsidR="00950A8C" w:rsidRPr="00F64983">
        <w:rPr>
          <w:rStyle w:val="BodyTextChar3"/>
          <w:sz w:val="22"/>
          <w:szCs w:val="22"/>
        </w:rPr>
      </w:r>
      <w:r w:rsidR="00950A8C" w:rsidRPr="00F64983">
        <w:rPr>
          <w:rStyle w:val="BodyTextChar3"/>
          <w:sz w:val="22"/>
          <w:szCs w:val="22"/>
        </w:rPr>
        <w:fldChar w:fldCharType="separate"/>
      </w:r>
      <w:r w:rsidR="004744A1" w:rsidRPr="004744A1">
        <w:rPr>
          <w:rFonts w:cs="Arial"/>
          <w:bCs/>
          <w:iCs/>
          <w:u w:color="000000"/>
        </w:rPr>
        <w:t xml:space="preserve">Table </w:t>
      </w:r>
      <w:r w:rsidR="004744A1" w:rsidRPr="004744A1">
        <w:rPr>
          <w:rFonts w:cs="Arial"/>
          <w:bCs/>
          <w:iCs/>
          <w:noProof/>
          <w:u w:color="000000"/>
        </w:rPr>
        <w:t>3</w:t>
      </w:r>
      <w:r w:rsidR="00950A8C" w:rsidRPr="00F64983">
        <w:rPr>
          <w:rStyle w:val="BodyTextChar3"/>
          <w:sz w:val="22"/>
          <w:szCs w:val="22"/>
        </w:rPr>
        <w:fldChar w:fldCharType="end"/>
      </w:r>
      <w:r w:rsidR="00950A8C" w:rsidRPr="00046D34">
        <w:t>)</w:t>
      </w:r>
      <w:r w:rsidR="00A71C6E" w:rsidRPr="00046D34">
        <w:t>.</w:t>
      </w:r>
      <w:r w:rsidR="0071566E" w:rsidRPr="00046D34">
        <w:t xml:space="preserve"> </w:t>
      </w:r>
    </w:p>
    <w:p w:rsidR="003C4C0F" w:rsidRPr="006771F2" w:rsidRDefault="003C4C0F" w:rsidP="006771F2">
      <w:pPr>
        <w:pStyle w:val="Heading3"/>
        <w:rPr>
          <w:rStyle w:val="BodyTextChar3"/>
        </w:rPr>
      </w:pPr>
      <w:bookmarkStart w:id="8" w:name="_Toc43212364"/>
      <w:r w:rsidRPr="006771F2">
        <w:rPr>
          <w:rStyle w:val="BodyTextChar3"/>
        </w:rPr>
        <w:t>Age-Length Key</w:t>
      </w:r>
      <w:bookmarkEnd w:id="8"/>
    </w:p>
    <w:p w:rsidR="009A44FF" w:rsidRPr="00046D34" w:rsidRDefault="009A44FF" w:rsidP="003C4C0F">
      <w:pPr>
        <w:pStyle w:val="BodyText"/>
      </w:pPr>
      <w:r w:rsidRPr="00046D34">
        <w:t>Growth parameters (</w:t>
      </w:r>
      <w:proofErr w:type="spellStart"/>
      <w:r w:rsidRPr="00046D34">
        <w:t>L</w:t>
      </w:r>
      <w:r w:rsidRPr="00F64983">
        <w:rPr>
          <w:rStyle w:val="BodyTextChar3"/>
          <w:rFonts w:cs="Arial"/>
          <w:sz w:val="22"/>
          <w:szCs w:val="22"/>
          <w:vertAlign w:val="subscript"/>
        </w:rPr>
        <w:t>inf</w:t>
      </w:r>
      <w:proofErr w:type="spellEnd"/>
      <w:r w:rsidRPr="00046D34">
        <w:t>, K, t</w:t>
      </w:r>
      <w:r w:rsidRPr="00F64983">
        <w:rPr>
          <w:rStyle w:val="BodyTextChar3"/>
          <w:rFonts w:cs="Arial"/>
          <w:sz w:val="22"/>
          <w:szCs w:val="22"/>
          <w:vertAlign w:val="subscript"/>
        </w:rPr>
        <w:t>0</w:t>
      </w:r>
      <w:r w:rsidRPr="00046D34">
        <w:t xml:space="preserve">) are considered model-independent and </w:t>
      </w:r>
      <w:r w:rsidR="00CB46DA" w:rsidRPr="00046D34">
        <w:t>can be</w:t>
      </w:r>
      <w:r w:rsidRPr="00046D34">
        <w:t xml:space="preserve"> calculated using all available US and DFO survey data from Eastern Georges Bank since 1978 (N=31,000). Seasonal growth progression </w:t>
      </w:r>
      <w:r w:rsidR="00CB46DA" w:rsidRPr="00046D34">
        <w:t>is</w:t>
      </w:r>
      <w:r w:rsidRPr="00046D34">
        <w:t xml:space="preserve"> accounted for by assigning a partial age, based on the day and month in which the fish was caught, and </w:t>
      </w:r>
      <w:r w:rsidR="00BC66EA" w:rsidRPr="00046D34">
        <w:t>assuming</w:t>
      </w:r>
      <w:r w:rsidRPr="00046D34">
        <w:t xml:space="preserve"> a Februar</w:t>
      </w:r>
      <w:r w:rsidR="00BC66EA" w:rsidRPr="00046D34">
        <w:t xml:space="preserve">y 1 birthdate. Temporal trends </w:t>
      </w:r>
      <w:r w:rsidRPr="00046D34">
        <w:t xml:space="preserve">in growth parameters </w:t>
      </w:r>
      <w:r w:rsidR="00CB46DA" w:rsidRPr="00046D34">
        <w:t>can be</w:t>
      </w:r>
      <w:r w:rsidRPr="00046D34">
        <w:t xml:space="preserve"> identified by fitting annual growth curves and tracking the trend in </w:t>
      </w:r>
      <w:proofErr w:type="spellStart"/>
      <w:r w:rsidRPr="00046D34">
        <w:t>VonBertallanfy</w:t>
      </w:r>
      <w:proofErr w:type="spellEnd"/>
      <w:r w:rsidRPr="00046D34">
        <w:t xml:space="preserve"> parameters over time (</w:t>
      </w:r>
      <w:r w:rsidRPr="00F64983">
        <w:rPr>
          <w:rStyle w:val="BodyTextChar3"/>
          <w:rFonts w:cs="Arial"/>
          <w:sz w:val="22"/>
          <w:szCs w:val="22"/>
        </w:rPr>
        <w:fldChar w:fldCharType="begin"/>
      </w:r>
      <w:r w:rsidRPr="00F64983">
        <w:rPr>
          <w:rStyle w:val="BodyTextChar3"/>
          <w:rFonts w:cs="Arial"/>
          <w:sz w:val="22"/>
          <w:szCs w:val="22"/>
        </w:rPr>
        <w:instrText xml:space="preserve"> REF _Ref11674310 \h  \* MERGEFORMAT </w:instrText>
      </w:r>
      <w:r w:rsidRPr="00F64983">
        <w:rPr>
          <w:rStyle w:val="BodyTextChar3"/>
          <w:rFonts w:cs="Arial"/>
          <w:sz w:val="22"/>
          <w:szCs w:val="22"/>
        </w:rPr>
      </w:r>
      <w:r w:rsidRPr="00F64983">
        <w:rPr>
          <w:rStyle w:val="BodyTextChar3"/>
          <w:rFonts w:cs="Arial"/>
          <w:sz w:val="22"/>
          <w:szCs w:val="22"/>
        </w:rPr>
        <w:fldChar w:fldCharType="separate"/>
      </w:r>
      <w:r w:rsidR="004744A1" w:rsidRPr="008E4494">
        <w:t xml:space="preserve">Figure </w:t>
      </w:r>
      <w:r w:rsidR="004744A1">
        <w:rPr>
          <w:noProof/>
        </w:rPr>
        <w:t>14</w:t>
      </w:r>
      <w:r w:rsidRPr="00F64983">
        <w:rPr>
          <w:rStyle w:val="BodyTextChar3"/>
          <w:rFonts w:cs="Arial"/>
          <w:sz w:val="22"/>
          <w:szCs w:val="22"/>
        </w:rPr>
        <w:fldChar w:fldCharType="end"/>
      </w:r>
      <w:r w:rsidRPr="00046D34">
        <w:t xml:space="preserve">). </w:t>
      </w:r>
    </w:p>
    <w:p w:rsidR="009A44FF" w:rsidRPr="00046D34" w:rsidRDefault="009A44FF" w:rsidP="003C4C0F">
      <w:pPr>
        <w:pStyle w:val="BodyText"/>
      </w:pPr>
      <w:r w:rsidRPr="00046D34">
        <w:t>In general, the growth curve remained consistent t</w:t>
      </w:r>
      <w:r w:rsidR="0033649D" w:rsidRPr="00046D34">
        <w:t>hroughout the early years (1978</w:t>
      </w:r>
      <w:r w:rsidR="0089059A" w:rsidRPr="00046D34">
        <w:t>–</w:t>
      </w:r>
      <w:r w:rsidR="00BC66EA" w:rsidRPr="00046D34">
        <w:t>1996)</w:t>
      </w:r>
      <w:r w:rsidRPr="00046D34">
        <w:t xml:space="preserve"> and changed in th</w:t>
      </w:r>
      <w:r w:rsidR="0033649D" w:rsidRPr="00046D34">
        <w:t>e most recent time period (2003</w:t>
      </w:r>
      <w:r w:rsidR="0089059A" w:rsidRPr="00046D34">
        <w:t>–</w:t>
      </w:r>
      <w:r w:rsidRPr="00046D34">
        <w:t>2019) with the disappearance of both older fish and larger young fish from the survey data (</w:t>
      </w:r>
      <w:r w:rsidRPr="00F64983">
        <w:rPr>
          <w:rStyle w:val="BodyTextChar3"/>
          <w:rFonts w:cs="Arial"/>
          <w:sz w:val="22"/>
          <w:szCs w:val="22"/>
        </w:rPr>
        <w:fldChar w:fldCharType="begin"/>
      </w:r>
      <w:r w:rsidRPr="00F64983">
        <w:rPr>
          <w:rStyle w:val="BodyTextChar3"/>
          <w:rFonts w:cs="Arial"/>
          <w:sz w:val="22"/>
          <w:szCs w:val="22"/>
        </w:rPr>
        <w:instrText xml:space="preserve"> REF _Ref11674310 \h  \* MERGEFORMAT </w:instrText>
      </w:r>
      <w:r w:rsidRPr="00F64983">
        <w:rPr>
          <w:rStyle w:val="BodyTextChar3"/>
          <w:rFonts w:cs="Arial"/>
          <w:sz w:val="22"/>
          <w:szCs w:val="22"/>
        </w:rPr>
      </w:r>
      <w:r w:rsidRPr="00F64983">
        <w:rPr>
          <w:rStyle w:val="BodyTextChar3"/>
          <w:rFonts w:cs="Arial"/>
          <w:sz w:val="22"/>
          <w:szCs w:val="22"/>
        </w:rPr>
        <w:fldChar w:fldCharType="separate"/>
      </w:r>
      <w:r w:rsidR="004744A1" w:rsidRPr="008E4494">
        <w:t xml:space="preserve">Figure </w:t>
      </w:r>
      <w:r w:rsidR="004744A1">
        <w:rPr>
          <w:noProof/>
        </w:rPr>
        <w:t>14</w:t>
      </w:r>
      <w:r w:rsidRPr="00F64983">
        <w:rPr>
          <w:rStyle w:val="BodyTextChar3"/>
          <w:rFonts w:cs="Arial"/>
          <w:sz w:val="22"/>
          <w:szCs w:val="22"/>
        </w:rPr>
        <w:fldChar w:fldCharType="end"/>
      </w:r>
      <w:r w:rsidR="00941B15" w:rsidRPr="00046D34">
        <w:t xml:space="preserve">; </w:t>
      </w:r>
      <w:r w:rsidRPr="00F64983">
        <w:rPr>
          <w:rStyle w:val="BodyTextChar3"/>
          <w:rFonts w:cs="Arial"/>
          <w:sz w:val="22"/>
          <w:szCs w:val="22"/>
        </w:rPr>
        <w:fldChar w:fldCharType="begin"/>
      </w:r>
      <w:r w:rsidRPr="00F64983">
        <w:rPr>
          <w:rStyle w:val="BodyTextChar3"/>
          <w:rFonts w:cs="Arial"/>
          <w:sz w:val="22"/>
          <w:szCs w:val="22"/>
        </w:rPr>
        <w:instrText xml:space="preserve"> REF _Ref11674364 \h  \* MERGEFORMAT </w:instrText>
      </w:r>
      <w:r w:rsidRPr="00F64983">
        <w:rPr>
          <w:rStyle w:val="BodyTextChar3"/>
          <w:rFonts w:cs="Arial"/>
          <w:sz w:val="22"/>
          <w:szCs w:val="22"/>
        </w:rPr>
      </w:r>
      <w:r w:rsidRPr="00F64983">
        <w:rPr>
          <w:rStyle w:val="BodyTextChar3"/>
          <w:rFonts w:cs="Arial"/>
          <w:sz w:val="22"/>
          <w:szCs w:val="22"/>
        </w:rPr>
        <w:fldChar w:fldCharType="separate"/>
      </w:r>
      <w:r w:rsidR="004744A1" w:rsidRPr="008E4494">
        <w:t xml:space="preserve">Figure </w:t>
      </w:r>
      <w:r w:rsidR="004744A1">
        <w:rPr>
          <w:noProof/>
        </w:rPr>
        <w:t>15</w:t>
      </w:r>
      <w:r w:rsidRPr="00F64983">
        <w:rPr>
          <w:rStyle w:val="BodyTextChar3"/>
          <w:rFonts w:cs="Arial"/>
          <w:sz w:val="22"/>
          <w:szCs w:val="22"/>
        </w:rPr>
        <w:fldChar w:fldCharType="end"/>
      </w:r>
      <w:r w:rsidRPr="00046D34">
        <w:t>). Growth curves fit to data collected between 1997 and 2002 showed a strong departure from the other two periods and are characterized by extreme values for all three parameters (</w:t>
      </w:r>
      <w:r w:rsidRPr="00F64983">
        <w:rPr>
          <w:rStyle w:val="BodyTextChar3"/>
          <w:rFonts w:cs="Arial"/>
          <w:sz w:val="22"/>
          <w:szCs w:val="22"/>
        </w:rPr>
        <w:fldChar w:fldCharType="begin"/>
      </w:r>
      <w:r w:rsidRPr="00F64983">
        <w:rPr>
          <w:rStyle w:val="BodyTextChar3"/>
          <w:rFonts w:cs="Arial"/>
          <w:sz w:val="22"/>
          <w:szCs w:val="22"/>
        </w:rPr>
        <w:instrText xml:space="preserve"> REF _Ref11674310 \h </w:instrText>
      </w:r>
      <w:r w:rsidR="00597041" w:rsidRPr="00F64983">
        <w:rPr>
          <w:rStyle w:val="BodyTextChar3"/>
          <w:rFonts w:cs="Arial"/>
          <w:sz w:val="22"/>
          <w:szCs w:val="22"/>
        </w:rPr>
        <w:instrText xml:space="preserve"> \* MERGEFORMAT </w:instrText>
      </w:r>
      <w:r w:rsidRPr="00F64983">
        <w:rPr>
          <w:rStyle w:val="BodyTextChar3"/>
          <w:rFonts w:cs="Arial"/>
          <w:sz w:val="22"/>
          <w:szCs w:val="22"/>
        </w:rPr>
      </w:r>
      <w:r w:rsidRPr="00F64983">
        <w:rPr>
          <w:rStyle w:val="BodyTextChar3"/>
          <w:rFonts w:cs="Arial"/>
          <w:sz w:val="22"/>
          <w:szCs w:val="22"/>
        </w:rPr>
        <w:fldChar w:fldCharType="separate"/>
      </w:r>
      <w:r w:rsidR="004744A1" w:rsidRPr="008E4494">
        <w:t xml:space="preserve">Figure </w:t>
      </w:r>
      <w:r w:rsidR="004744A1">
        <w:rPr>
          <w:noProof/>
        </w:rPr>
        <w:t>14</w:t>
      </w:r>
      <w:r w:rsidRPr="00F64983">
        <w:rPr>
          <w:rStyle w:val="BodyTextChar3"/>
          <w:rFonts w:cs="Arial"/>
          <w:sz w:val="22"/>
          <w:szCs w:val="22"/>
        </w:rPr>
        <w:fldChar w:fldCharType="end"/>
      </w:r>
      <w:r w:rsidRPr="00046D34">
        <w:t xml:space="preserve">). This unexpected change is thought to be a function of sampling (i.e. the absence of &lt;25 cm or &lt;10 in fish from the survey data during that time; </w:t>
      </w:r>
      <w:r w:rsidRPr="00F64983">
        <w:rPr>
          <w:rStyle w:val="BodyTextChar3"/>
          <w:rFonts w:cs="Arial"/>
          <w:sz w:val="22"/>
          <w:szCs w:val="22"/>
        </w:rPr>
        <w:fldChar w:fldCharType="begin"/>
      </w:r>
      <w:r w:rsidRPr="00F64983">
        <w:rPr>
          <w:rStyle w:val="BodyTextChar3"/>
          <w:rFonts w:cs="Arial"/>
          <w:sz w:val="22"/>
          <w:szCs w:val="22"/>
        </w:rPr>
        <w:instrText xml:space="preserve"> REF _Ref11674415 \h </w:instrText>
      </w:r>
      <w:r w:rsidR="00597041" w:rsidRPr="00F64983">
        <w:rPr>
          <w:rStyle w:val="BodyTextChar3"/>
          <w:rFonts w:cs="Arial"/>
          <w:sz w:val="22"/>
          <w:szCs w:val="22"/>
        </w:rPr>
        <w:instrText xml:space="preserve"> \* MERGEFORMAT </w:instrText>
      </w:r>
      <w:r w:rsidRPr="00F64983">
        <w:rPr>
          <w:rStyle w:val="BodyTextChar3"/>
          <w:rFonts w:cs="Arial"/>
          <w:sz w:val="22"/>
          <w:szCs w:val="22"/>
        </w:rPr>
      </w:r>
      <w:r w:rsidRPr="00F64983">
        <w:rPr>
          <w:rStyle w:val="BodyTextChar3"/>
          <w:rFonts w:cs="Arial"/>
          <w:sz w:val="22"/>
          <w:szCs w:val="22"/>
        </w:rPr>
        <w:fldChar w:fldCharType="separate"/>
      </w:r>
      <w:r w:rsidR="004744A1" w:rsidRPr="008E4494">
        <w:t xml:space="preserve">Figure </w:t>
      </w:r>
      <w:r w:rsidR="004744A1">
        <w:rPr>
          <w:noProof/>
        </w:rPr>
        <w:t>16</w:t>
      </w:r>
      <w:r w:rsidRPr="00F64983">
        <w:rPr>
          <w:rStyle w:val="BodyTextChar3"/>
          <w:rFonts w:cs="Arial"/>
          <w:sz w:val="22"/>
          <w:szCs w:val="22"/>
        </w:rPr>
        <w:fldChar w:fldCharType="end"/>
      </w:r>
      <w:r w:rsidR="0044003D" w:rsidRPr="00046D34">
        <w:t>)</w:t>
      </w:r>
      <w:r w:rsidRPr="00046D34">
        <w:t xml:space="preserve"> rather than an actual change </w:t>
      </w:r>
      <w:r w:rsidR="0044003D" w:rsidRPr="00046D34">
        <w:t xml:space="preserve">in growth dynamics of the fish </w:t>
      </w:r>
      <w:r w:rsidRPr="00046D34">
        <w:t>and was</w:t>
      </w:r>
      <w:r w:rsidR="0044003D" w:rsidRPr="00046D34">
        <w:t>,</w:t>
      </w:r>
      <w:r w:rsidRPr="00046D34">
        <w:t xml:space="preserve"> therefore</w:t>
      </w:r>
      <w:r w:rsidR="0044003D" w:rsidRPr="00046D34">
        <w:t>,</w:t>
      </w:r>
      <w:r w:rsidRPr="00046D34">
        <w:t xml:space="preserve"> excluded from growth parameter calculations. </w:t>
      </w:r>
    </w:p>
    <w:p w:rsidR="009A44FF" w:rsidRPr="00046D34" w:rsidRDefault="009A44FF" w:rsidP="003C4C0F">
      <w:pPr>
        <w:pStyle w:val="BodyText"/>
      </w:pPr>
      <w:r w:rsidRPr="00046D34">
        <w:t xml:space="preserve">The final growth parameters for all OMs </w:t>
      </w:r>
      <w:r w:rsidR="00CB46DA" w:rsidRPr="00046D34">
        <w:t>can be</w:t>
      </w:r>
      <w:r w:rsidRPr="00046D34">
        <w:t xml:space="preserve"> set in two stages, meant to reflect the loss of both older and large younger fish in the </w:t>
      </w:r>
      <w:r w:rsidR="00CB46DA" w:rsidRPr="00046D34">
        <w:t>later</w:t>
      </w:r>
      <w:r w:rsidRPr="00046D34">
        <w:t xml:space="preserve"> years (</w:t>
      </w:r>
      <w:r w:rsidRPr="00F64983">
        <w:rPr>
          <w:rStyle w:val="BodyTextChar3"/>
          <w:rFonts w:cs="Arial"/>
          <w:b/>
          <w:i/>
          <w:sz w:val="22"/>
          <w:szCs w:val="22"/>
        </w:rPr>
        <w:fldChar w:fldCharType="begin"/>
      </w:r>
      <w:r w:rsidRPr="00F64983">
        <w:rPr>
          <w:rStyle w:val="BodyTextChar3"/>
          <w:rFonts w:cs="Arial"/>
          <w:sz w:val="22"/>
          <w:szCs w:val="22"/>
        </w:rPr>
        <w:instrText xml:space="preserve"> REF _Ref11674713 \h </w:instrText>
      </w:r>
      <w:r w:rsidR="00597041" w:rsidRPr="00F64983">
        <w:rPr>
          <w:rStyle w:val="BodyTextChar3"/>
          <w:rFonts w:cs="Arial"/>
          <w:b/>
          <w:i/>
          <w:sz w:val="22"/>
          <w:szCs w:val="22"/>
        </w:rPr>
        <w:instrText xml:space="preserve"> \* MERGEFORMAT </w:instrText>
      </w:r>
      <w:r w:rsidRPr="00F64983">
        <w:rPr>
          <w:rStyle w:val="BodyTextChar3"/>
          <w:rFonts w:cs="Arial"/>
          <w:b/>
          <w:i/>
          <w:sz w:val="22"/>
          <w:szCs w:val="22"/>
        </w:rPr>
      </w:r>
      <w:r w:rsidRPr="00F64983">
        <w:rPr>
          <w:rStyle w:val="BodyTextChar3"/>
          <w:rFonts w:cs="Arial"/>
          <w:b/>
          <w:i/>
          <w:sz w:val="22"/>
          <w:szCs w:val="22"/>
        </w:rPr>
        <w:fldChar w:fldCharType="separate"/>
      </w:r>
      <w:r w:rsidR="004744A1" w:rsidRPr="008E4494">
        <w:t xml:space="preserve">Table </w:t>
      </w:r>
      <w:r w:rsidR="004744A1">
        <w:rPr>
          <w:noProof/>
        </w:rPr>
        <w:t>4</w:t>
      </w:r>
      <w:r w:rsidRPr="00F64983">
        <w:rPr>
          <w:rStyle w:val="BodyTextChar3"/>
          <w:rFonts w:cs="Arial"/>
          <w:b/>
          <w:i/>
          <w:sz w:val="22"/>
          <w:szCs w:val="22"/>
        </w:rPr>
        <w:fldChar w:fldCharType="end"/>
      </w:r>
      <w:r w:rsidR="00CB46DA" w:rsidRPr="00046D34">
        <w:t>), with the latter stage applied to the forecast analyses</w:t>
      </w:r>
      <w:r w:rsidRPr="00046D34">
        <w:t>.</w:t>
      </w:r>
    </w:p>
    <w:p w:rsidR="009A44FF" w:rsidRPr="00354AAF" w:rsidRDefault="009A44FF" w:rsidP="006771F2">
      <w:pPr>
        <w:pStyle w:val="Heading3"/>
        <w:rPr>
          <w:rStyle w:val="BodyTextChar3"/>
          <w:sz w:val="22"/>
          <w:szCs w:val="22"/>
        </w:rPr>
      </w:pPr>
      <w:bookmarkStart w:id="9" w:name="_Toc43212365"/>
      <w:r w:rsidRPr="00354AAF">
        <w:rPr>
          <w:rStyle w:val="BodyTextChar3"/>
          <w:sz w:val="22"/>
          <w:szCs w:val="22"/>
        </w:rPr>
        <w:t>Total, Natural and Fishing Mortality</w:t>
      </w:r>
      <w:bookmarkEnd w:id="9"/>
    </w:p>
    <w:p w:rsidR="009A44FF" w:rsidRDefault="009A44FF" w:rsidP="003C4C0F">
      <w:pPr>
        <w:pStyle w:val="BodyText"/>
      </w:pPr>
      <w:r>
        <w:t xml:space="preserve">The natural mortality (M) parameterization in each OM can be used to simulate one of the two causes of disparity between Z and </w:t>
      </w:r>
      <w:proofErr w:type="spellStart"/>
      <w:r>
        <w:t>relF</w:t>
      </w:r>
      <w:proofErr w:type="spellEnd"/>
      <w:r>
        <w:t xml:space="preserve">, and matched with changes to the fishing pressure parameters, which represent the second possible cause of the disparity. As a starting point, three options exist for parameterization of the M-F dynamics: </w:t>
      </w:r>
    </w:p>
    <w:p w:rsidR="009A44FF" w:rsidRDefault="009A44FF" w:rsidP="003C4C0F">
      <w:pPr>
        <w:pStyle w:val="ListBullet"/>
      </w:pPr>
      <w:r>
        <w:t>‘_</w:t>
      </w:r>
      <w:proofErr w:type="spellStart"/>
      <w:r>
        <w:t>dM</w:t>
      </w:r>
      <w:proofErr w:type="spellEnd"/>
      <w:r>
        <w:t xml:space="preserve">’ OM: Reported landings are assumed to be generally accurate, while the M-at-age matrix is specified to adjust through time in accordance with the divergence between Z and </w:t>
      </w:r>
      <w:proofErr w:type="spellStart"/>
      <w:r>
        <w:t>relF</w:t>
      </w:r>
      <w:proofErr w:type="spellEnd"/>
      <w:r>
        <w:t xml:space="preserve">. </w:t>
      </w:r>
    </w:p>
    <w:p w:rsidR="009A44FF" w:rsidRDefault="009A44FF" w:rsidP="003C4C0F">
      <w:pPr>
        <w:pStyle w:val="ListBullet"/>
      </w:pPr>
      <w:r>
        <w:t>‘_</w:t>
      </w:r>
      <w:proofErr w:type="spellStart"/>
      <w:r>
        <w:t>dF</w:t>
      </w:r>
      <w:proofErr w:type="spellEnd"/>
      <w:r>
        <w:t xml:space="preserve">’ OM: Natural mortality is assumed to remain stable throughout the simulation time period and have a small amount of realistic annual variation, while the fishing pressure is adjusted to account for the increase in Z. Currently, the increase in fishing pressure will be simulated through an increase in landings, which assumes the same selectivity as the combined Canadian/US fleets. As an alternative, it may be possible to simulate a similar effect through the Observation Object Parameters (e.g. Cobs).  </w:t>
      </w:r>
    </w:p>
    <w:p w:rsidR="009A44FF" w:rsidRDefault="009A44FF" w:rsidP="003C4C0F">
      <w:pPr>
        <w:pStyle w:val="ListBullet"/>
      </w:pPr>
      <w:r>
        <w:t>‘_</w:t>
      </w:r>
      <w:proofErr w:type="spellStart"/>
      <w:r>
        <w:t>dMF</w:t>
      </w:r>
      <w:proofErr w:type="spellEnd"/>
      <w:r>
        <w:t xml:space="preserve">’ OM: Both natural mortality and reported landings are adjusted incrementally so that their combined effect corresponds to the divergence between Z and </w:t>
      </w:r>
      <w:proofErr w:type="spellStart"/>
      <w:r>
        <w:t>relF</w:t>
      </w:r>
      <w:proofErr w:type="spellEnd"/>
      <w:r>
        <w:t xml:space="preserve">. Currently, the respective changes in M and F would account for equal proportions of the increase, but this assumption can be adjusted if additional information becomes available. </w:t>
      </w:r>
    </w:p>
    <w:p w:rsidR="00AF7E2A" w:rsidRPr="00561C46" w:rsidRDefault="009A44FF" w:rsidP="003C4C0F">
      <w:pPr>
        <w:pStyle w:val="BodyText"/>
      </w:pPr>
      <w:r w:rsidRPr="00561C46">
        <w:t>The ‘_</w:t>
      </w:r>
      <w:proofErr w:type="spellStart"/>
      <w:r w:rsidRPr="00561C46">
        <w:t>dM</w:t>
      </w:r>
      <w:proofErr w:type="spellEnd"/>
      <w:r w:rsidRPr="00561C46">
        <w:t>’ and ‘_</w:t>
      </w:r>
      <w:proofErr w:type="spellStart"/>
      <w:r w:rsidRPr="00561C46">
        <w:t>dF</w:t>
      </w:r>
      <w:proofErr w:type="spellEnd"/>
      <w:r w:rsidRPr="00561C46">
        <w:t xml:space="preserve">’ Operating Models are </w:t>
      </w:r>
      <w:r>
        <w:t>considered</w:t>
      </w:r>
      <w:r w:rsidRPr="00561C46">
        <w:t xml:space="preserve"> extreme cases where the source of the disparity is allocated entirely to either M or F. Although the ‘_</w:t>
      </w:r>
      <w:proofErr w:type="spellStart"/>
      <w:r w:rsidRPr="00561C46">
        <w:t>dMF</w:t>
      </w:r>
      <w:proofErr w:type="spellEnd"/>
      <w:r w:rsidRPr="00561C46">
        <w:t xml:space="preserve">’ Operating Model makes an arbitrary assumption that both M and F contribute equally to the increase in Z, the purpose of this OM is to provide a test environment in-between the two extremes for the Management Procedures, rather than </w:t>
      </w:r>
      <w:r>
        <w:t xml:space="preserve">accurately </w:t>
      </w:r>
      <w:r w:rsidRPr="00561C46">
        <w:t>reflect contributions of F and M to total Z.</w:t>
      </w:r>
      <w:r w:rsidR="00AF7E2A" w:rsidRPr="00561C46">
        <w:t xml:space="preserve"> </w:t>
      </w:r>
    </w:p>
    <w:p w:rsidR="00473DA7" w:rsidRPr="003C4C0F" w:rsidRDefault="00473DA7" w:rsidP="006771F2">
      <w:pPr>
        <w:pStyle w:val="Heading3"/>
        <w:rPr>
          <w:rStyle w:val="BodyTextChar3"/>
        </w:rPr>
      </w:pPr>
      <w:bookmarkStart w:id="10" w:name="_Toc43212366"/>
      <w:r w:rsidRPr="003C4C0F">
        <w:rPr>
          <w:rStyle w:val="BodyTextChar3"/>
        </w:rPr>
        <w:t xml:space="preserve">Outstanding parameters </w:t>
      </w:r>
      <w:r w:rsidR="003127BE" w:rsidRPr="003C4C0F">
        <w:rPr>
          <w:rStyle w:val="BodyTextChar3"/>
        </w:rPr>
        <w:t>and additional considerations</w:t>
      </w:r>
      <w:bookmarkEnd w:id="10"/>
    </w:p>
    <w:p w:rsidR="00473DA7" w:rsidRPr="00046D34" w:rsidRDefault="003127BE" w:rsidP="003C4C0F">
      <w:pPr>
        <w:pStyle w:val="BodyText"/>
      </w:pPr>
      <w:r w:rsidRPr="00046D34">
        <w:t>Other biological parameters (i.e. m</w:t>
      </w:r>
      <w:r w:rsidR="00473DA7" w:rsidRPr="00046D34">
        <w:t>aturity</w:t>
      </w:r>
      <w:r w:rsidRPr="00046D34">
        <w:t>,</w:t>
      </w:r>
      <w:r w:rsidR="0044003D" w:rsidRPr="00046D34">
        <w:t xml:space="preserve"> length-weight relationship</w:t>
      </w:r>
      <w:r w:rsidRPr="00046D34">
        <w:t>)</w:t>
      </w:r>
      <w:r w:rsidR="00473DA7" w:rsidRPr="00046D34">
        <w:t xml:space="preserve"> for all OMs can be derived from combined survey data</w:t>
      </w:r>
      <w:r w:rsidRPr="00046D34">
        <w:t xml:space="preserve">. </w:t>
      </w:r>
      <w:r w:rsidR="00473DA7" w:rsidRPr="00046D34">
        <w:t xml:space="preserve">Fishery selectivity has been a model-dependent parameter in previous applications of </w:t>
      </w:r>
      <w:proofErr w:type="spellStart"/>
      <w:r w:rsidR="00473DA7" w:rsidRPr="00046D34">
        <w:t>DLMtool</w:t>
      </w:r>
      <w:proofErr w:type="spellEnd"/>
      <w:r w:rsidR="00473DA7" w:rsidRPr="00046D34">
        <w:t xml:space="preserve">, but </w:t>
      </w:r>
      <w:r w:rsidRPr="00046D34">
        <w:t>avenues of model-independent estimation</w:t>
      </w:r>
      <w:r w:rsidR="00473DA7" w:rsidRPr="00046D34">
        <w:t xml:space="preserve"> should be explored.</w:t>
      </w:r>
    </w:p>
    <w:p w:rsidR="00355820" w:rsidRPr="00046D34" w:rsidRDefault="000617EC" w:rsidP="003C4C0F">
      <w:pPr>
        <w:pStyle w:val="BodyText"/>
      </w:pPr>
      <w:r w:rsidRPr="00BC26F3">
        <w:rPr>
          <w:rFonts w:cs="Arial"/>
          <w:szCs w:val="22"/>
        </w:rPr>
        <w:t xml:space="preserve">The </w:t>
      </w:r>
      <w:proofErr w:type="spellStart"/>
      <w:r w:rsidRPr="00BC26F3">
        <w:rPr>
          <w:rFonts w:cs="Arial"/>
          <w:szCs w:val="22"/>
        </w:rPr>
        <w:t>DLMtool</w:t>
      </w:r>
      <w:proofErr w:type="spellEnd"/>
      <w:r w:rsidRPr="00BC26F3">
        <w:rPr>
          <w:rFonts w:cs="Arial"/>
          <w:szCs w:val="22"/>
        </w:rPr>
        <w:t xml:space="preserve"> approach </w:t>
      </w:r>
      <w:r w:rsidRPr="00046D34">
        <w:t xml:space="preserve">is intended to simulate a range of population dynamics and fishing pressures thought to </w:t>
      </w:r>
      <w:r w:rsidR="0044003D" w:rsidRPr="00046D34">
        <w:t>affect Eastern Georges Bank C</w:t>
      </w:r>
      <w:r w:rsidRPr="00046D34">
        <w:t xml:space="preserve">od, and test performance of interim methods of providing catch advice against that range of uncertainty; this approach is not intended as a substitute for a </w:t>
      </w:r>
      <w:r w:rsidR="00FA1090" w:rsidRPr="00046D34">
        <w:t>stock assessment, nor</w:t>
      </w:r>
      <w:r w:rsidRPr="00046D34">
        <w:t xml:space="preserve"> does it evaluate competing drivers of stock dynamics to identify the most likely ones. Although </w:t>
      </w:r>
      <w:proofErr w:type="spellStart"/>
      <w:r w:rsidRPr="00046D34">
        <w:t>DLMtool</w:t>
      </w:r>
      <w:proofErr w:type="spellEnd"/>
      <w:r w:rsidRPr="00046D34">
        <w:t xml:space="preserve"> can test various simple MPs against a range of uncertainty in drivers of stock dynamics, there is no guarantee that it will find a single procedure robust to the entire range of simulated uncertainty. </w:t>
      </w:r>
      <w:r w:rsidR="007E6C47" w:rsidRPr="00046D34">
        <w:t xml:space="preserve">In addition, conditions of changing population dynamics can affect traditional reference points, so the nature of performance metrics selected to evaluate Management Procedures requires careful consideration and input from Resource Management. These and other </w:t>
      </w:r>
      <w:r w:rsidR="00FA1090" w:rsidRPr="00046D34">
        <w:t xml:space="preserve">preliminary </w:t>
      </w:r>
      <w:r w:rsidR="007E6C47" w:rsidRPr="00046D34">
        <w:t xml:space="preserve">considerations with respect to the </w:t>
      </w:r>
      <w:r w:rsidR="00C366D1" w:rsidRPr="00046D34">
        <w:t xml:space="preserve">application of the </w:t>
      </w:r>
      <w:proofErr w:type="spellStart"/>
      <w:r w:rsidR="007E6C47" w:rsidRPr="00046D34">
        <w:t>DLMtool</w:t>
      </w:r>
      <w:proofErr w:type="spellEnd"/>
      <w:r w:rsidR="007E6C47" w:rsidRPr="00046D34">
        <w:t xml:space="preserve"> approach </w:t>
      </w:r>
      <w:r w:rsidR="00C366D1" w:rsidRPr="00046D34">
        <w:t xml:space="preserve">to EGB Cod </w:t>
      </w:r>
      <w:r w:rsidR="007E6C47" w:rsidRPr="00046D34">
        <w:t>are summarized in the table below:</w:t>
      </w:r>
    </w:p>
    <w:tbl>
      <w:tblPr>
        <w:tblStyle w:val="TableGrid"/>
        <w:tblW w:w="0" w:type="auto"/>
        <w:tblLook w:val="04A0" w:firstRow="1" w:lastRow="0" w:firstColumn="1" w:lastColumn="0" w:noHBand="0" w:noVBand="1"/>
      </w:tblPr>
      <w:tblGrid>
        <w:gridCol w:w="4669"/>
        <w:gridCol w:w="4681"/>
      </w:tblGrid>
      <w:tr w:rsidR="00405167" w:rsidRPr="007E6C47" w:rsidTr="003C4C0F">
        <w:tc>
          <w:tcPr>
            <w:tcW w:w="4669" w:type="dxa"/>
          </w:tcPr>
          <w:p w:rsidR="005B302E" w:rsidRPr="007E6C47" w:rsidRDefault="005B302E" w:rsidP="005A72BE">
            <w:pPr>
              <w:rPr>
                <w:rFonts w:cs="Arial"/>
                <w:szCs w:val="22"/>
              </w:rPr>
            </w:pPr>
            <w:r w:rsidRPr="007E6C47">
              <w:rPr>
                <w:rFonts w:cs="Arial"/>
                <w:szCs w:val="22"/>
              </w:rPr>
              <w:t>Pros</w:t>
            </w:r>
          </w:p>
        </w:tc>
        <w:tc>
          <w:tcPr>
            <w:tcW w:w="4681" w:type="dxa"/>
          </w:tcPr>
          <w:p w:rsidR="005B302E" w:rsidRPr="007E6C47" w:rsidRDefault="005B302E" w:rsidP="005A72BE">
            <w:pPr>
              <w:rPr>
                <w:rFonts w:cs="Arial"/>
                <w:szCs w:val="22"/>
              </w:rPr>
            </w:pPr>
            <w:r w:rsidRPr="007E6C47">
              <w:rPr>
                <w:rFonts w:cs="Arial"/>
                <w:szCs w:val="22"/>
              </w:rPr>
              <w:t>Cons</w:t>
            </w:r>
          </w:p>
        </w:tc>
      </w:tr>
      <w:tr w:rsidR="00405167" w:rsidRPr="007E6C47" w:rsidTr="003C4C0F">
        <w:tc>
          <w:tcPr>
            <w:tcW w:w="4669" w:type="dxa"/>
          </w:tcPr>
          <w:p w:rsidR="005B302E" w:rsidRPr="007E6C47" w:rsidRDefault="00C366D1" w:rsidP="00C366D1">
            <w:pPr>
              <w:rPr>
                <w:rFonts w:cs="Arial"/>
                <w:szCs w:val="22"/>
              </w:rPr>
            </w:pPr>
            <w:r>
              <w:rPr>
                <w:rFonts w:cs="Arial"/>
                <w:szCs w:val="22"/>
              </w:rPr>
              <w:t>Flexible platform so able to account for a range of uncertainties in stock dynamics.</w:t>
            </w:r>
          </w:p>
        </w:tc>
        <w:tc>
          <w:tcPr>
            <w:tcW w:w="4681" w:type="dxa"/>
          </w:tcPr>
          <w:p w:rsidR="005B302E" w:rsidRPr="007E6C47" w:rsidRDefault="001145EE" w:rsidP="001145EE">
            <w:pPr>
              <w:rPr>
                <w:rFonts w:cs="Arial"/>
                <w:szCs w:val="22"/>
              </w:rPr>
            </w:pPr>
            <w:r w:rsidRPr="007E6C47">
              <w:rPr>
                <w:rFonts w:cs="Arial"/>
                <w:szCs w:val="22"/>
              </w:rPr>
              <w:t>Number of OMs required to encompass the whole range of uncertainty involved could result in a workload issue</w:t>
            </w:r>
            <w:r w:rsidR="007E6C47">
              <w:rPr>
                <w:rFonts w:cs="Arial"/>
                <w:szCs w:val="22"/>
              </w:rPr>
              <w:t>.</w:t>
            </w:r>
          </w:p>
        </w:tc>
      </w:tr>
      <w:tr w:rsidR="00405167" w:rsidRPr="007E6C47" w:rsidTr="003C4C0F">
        <w:tc>
          <w:tcPr>
            <w:tcW w:w="4669" w:type="dxa"/>
          </w:tcPr>
          <w:p w:rsidR="005B302E" w:rsidRPr="007E6C47" w:rsidRDefault="00FA1090" w:rsidP="00FA1090">
            <w:pPr>
              <w:rPr>
                <w:rFonts w:cs="Arial"/>
                <w:szCs w:val="22"/>
              </w:rPr>
            </w:pPr>
            <w:r>
              <w:rPr>
                <w:rFonts w:cs="Arial"/>
                <w:szCs w:val="22"/>
              </w:rPr>
              <w:t>Allows specification of custom MPs.</w:t>
            </w:r>
          </w:p>
        </w:tc>
        <w:tc>
          <w:tcPr>
            <w:tcW w:w="4681" w:type="dxa"/>
          </w:tcPr>
          <w:p w:rsidR="005B302E" w:rsidRPr="007E6C47" w:rsidRDefault="001145EE" w:rsidP="00405167">
            <w:pPr>
              <w:rPr>
                <w:rFonts w:cs="Arial"/>
                <w:szCs w:val="22"/>
              </w:rPr>
            </w:pPr>
            <w:r w:rsidRPr="007E6C47">
              <w:rPr>
                <w:rFonts w:cs="Arial"/>
                <w:szCs w:val="22"/>
              </w:rPr>
              <w:t>Does not incorporate a stock assessment model</w:t>
            </w:r>
            <w:r w:rsidR="00405167" w:rsidRPr="007E6C47">
              <w:rPr>
                <w:rFonts w:cs="Arial"/>
                <w:szCs w:val="22"/>
              </w:rPr>
              <w:t>, so available MPs tend to be simple, index-based approaches.</w:t>
            </w:r>
          </w:p>
        </w:tc>
      </w:tr>
      <w:tr w:rsidR="00FA1090" w:rsidRPr="007E6C47" w:rsidTr="003C4C0F">
        <w:tc>
          <w:tcPr>
            <w:tcW w:w="4669" w:type="dxa"/>
          </w:tcPr>
          <w:p w:rsidR="00FA1090" w:rsidRPr="007E6C47" w:rsidRDefault="00C366D1" w:rsidP="00C366D1">
            <w:pPr>
              <w:rPr>
                <w:rFonts w:cs="Arial"/>
                <w:szCs w:val="22"/>
              </w:rPr>
            </w:pPr>
            <w:r>
              <w:rPr>
                <w:rFonts w:cs="Arial"/>
                <w:szCs w:val="22"/>
              </w:rPr>
              <w:t xml:space="preserve">Does not require </w:t>
            </w:r>
            <w:r w:rsidRPr="007E6C47">
              <w:rPr>
                <w:rFonts w:cs="Arial"/>
                <w:szCs w:val="22"/>
              </w:rPr>
              <w:t xml:space="preserve">a single ‘correct’ </w:t>
            </w:r>
            <w:r>
              <w:rPr>
                <w:rFonts w:cs="Arial"/>
                <w:szCs w:val="22"/>
              </w:rPr>
              <w:t xml:space="preserve">view of stock dynamics </w:t>
            </w:r>
            <w:r w:rsidRPr="007E6C47">
              <w:rPr>
                <w:rFonts w:cs="Arial"/>
                <w:szCs w:val="22"/>
              </w:rPr>
              <w:t>to be identified</w:t>
            </w:r>
            <w:r>
              <w:rPr>
                <w:rFonts w:cs="Arial"/>
                <w:szCs w:val="22"/>
              </w:rPr>
              <w:t xml:space="preserve"> among candidates</w:t>
            </w:r>
            <w:r w:rsidRPr="007E6C47">
              <w:rPr>
                <w:rFonts w:cs="Arial"/>
                <w:szCs w:val="22"/>
              </w:rPr>
              <w:t>.</w:t>
            </w:r>
          </w:p>
        </w:tc>
        <w:tc>
          <w:tcPr>
            <w:tcW w:w="4681" w:type="dxa"/>
          </w:tcPr>
          <w:p w:rsidR="00FA1090" w:rsidRPr="007E6C47" w:rsidRDefault="00FA1090" w:rsidP="001145EE">
            <w:pPr>
              <w:rPr>
                <w:rFonts w:cs="Arial"/>
                <w:szCs w:val="22"/>
              </w:rPr>
            </w:pPr>
            <w:r w:rsidRPr="007E6C47">
              <w:rPr>
                <w:rFonts w:cs="Arial"/>
                <w:szCs w:val="22"/>
              </w:rPr>
              <w:t>Does not evaluate competing views of stock dynamics</w:t>
            </w:r>
            <w:r w:rsidR="00C366D1">
              <w:rPr>
                <w:rFonts w:cs="Arial"/>
                <w:szCs w:val="22"/>
              </w:rPr>
              <w:t>, so unable</w:t>
            </w:r>
            <w:r w:rsidRPr="007E6C47">
              <w:rPr>
                <w:rFonts w:cs="Arial"/>
                <w:szCs w:val="22"/>
              </w:rPr>
              <w:t xml:space="preserve"> to identify a single ‘correct’ one</w:t>
            </w:r>
            <w:r w:rsidR="00C366D1">
              <w:rPr>
                <w:rFonts w:cs="Arial"/>
                <w:szCs w:val="22"/>
              </w:rPr>
              <w:t>.</w:t>
            </w:r>
          </w:p>
        </w:tc>
      </w:tr>
      <w:tr w:rsidR="00FA1090" w:rsidRPr="007E6C47" w:rsidTr="003C4C0F">
        <w:tc>
          <w:tcPr>
            <w:tcW w:w="4669" w:type="dxa"/>
          </w:tcPr>
          <w:p w:rsidR="00FA1090" w:rsidRPr="007E6C47" w:rsidRDefault="003C5E54" w:rsidP="001145EE">
            <w:pPr>
              <w:rPr>
                <w:rFonts w:cs="Arial"/>
                <w:szCs w:val="22"/>
              </w:rPr>
            </w:pPr>
            <w:r w:rsidRPr="007E6C47">
              <w:rPr>
                <w:rFonts w:cs="Arial"/>
                <w:szCs w:val="22"/>
              </w:rPr>
              <w:t>Integrates input from both Science and Resource Management to produce candidate MPs and the metrics used to evaluate their performance.</w:t>
            </w:r>
          </w:p>
        </w:tc>
        <w:tc>
          <w:tcPr>
            <w:tcW w:w="4681" w:type="dxa"/>
          </w:tcPr>
          <w:p w:rsidR="00FA1090" w:rsidRPr="007E6C47" w:rsidRDefault="00FA1090" w:rsidP="001145EE">
            <w:pPr>
              <w:rPr>
                <w:rFonts w:cs="Arial"/>
                <w:szCs w:val="22"/>
              </w:rPr>
            </w:pPr>
            <w:r w:rsidRPr="007E6C47">
              <w:rPr>
                <w:rFonts w:cs="Arial"/>
                <w:szCs w:val="22"/>
              </w:rPr>
              <w:t>R</w:t>
            </w:r>
            <w:r w:rsidR="0044003D">
              <w:rPr>
                <w:rFonts w:cs="Arial"/>
                <w:szCs w:val="22"/>
              </w:rPr>
              <w:t>isk of not finding any MPs that</w:t>
            </w:r>
            <w:r w:rsidRPr="007E6C47">
              <w:rPr>
                <w:rFonts w:cs="Arial"/>
                <w:szCs w:val="22"/>
              </w:rPr>
              <w:t xml:space="preserve"> are robust to the uncertainties involved</w:t>
            </w:r>
            <w:r>
              <w:rPr>
                <w:rFonts w:cs="Arial"/>
                <w:szCs w:val="22"/>
              </w:rPr>
              <w:t>.</w:t>
            </w:r>
          </w:p>
        </w:tc>
      </w:tr>
      <w:tr w:rsidR="00FA1090" w:rsidRPr="007E6C47" w:rsidTr="003C4C0F">
        <w:tc>
          <w:tcPr>
            <w:tcW w:w="4669" w:type="dxa"/>
          </w:tcPr>
          <w:p w:rsidR="00FA1090" w:rsidRPr="007E6C47" w:rsidRDefault="0037617A" w:rsidP="0037617A">
            <w:pPr>
              <w:jc w:val="center"/>
              <w:rPr>
                <w:rFonts w:cs="Arial"/>
                <w:szCs w:val="22"/>
              </w:rPr>
            </w:pPr>
            <w:r>
              <w:rPr>
                <w:rFonts w:cs="Arial"/>
                <w:szCs w:val="22"/>
              </w:rPr>
              <w:t>-</w:t>
            </w:r>
          </w:p>
        </w:tc>
        <w:tc>
          <w:tcPr>
            <w:tcW w:w="4681" w:type="dxa"/>
          </w:tcPr>
          <w:p w:rsidR="00FA1090" w:rsidRPr="007E6C47" w:rsidRDefault="003C5E54" w:rsidP="003C5E54">
            <w:pPr>
              <w:rPr>
                <w:rFonts w:cs="Arial"/>
                <w:szCs w:val="22"/>
              </w:rPr>
            </w:pPr>
            <w:r>
              <w:rPr>
                <w:rFonts w:cs="Arial"/>
                <w:szCs w:val="22"/>
              </w:rPr>
              <w:t xml:space="preserve">Assumptions about highly influential parameters </w:t>
            </w:r>
            <w:r w:rsidR="00FA1090">
              <w:rPr>
                <w:rFonts w:cs="Arial"/>
                <w:szCs w:val="22"/>
              </w:rPr>
              <w:t xml:space="preserve">can affect appropriateness of the simulation and lead to variable outcomes for the simulated stock. </w:t>
            </w:r>
          </w:p>
        </w:tc>
      </w:tr>
      <w:tr w:rsidR="00FA1090" w:rsidRPr="007E6C47" w:rsidTr="003C4C0F">
        <w:tc>
          <w:tcPr>
            <w:tcW w:w="4669" w:type="dxa"/>
          </w:tcPr>
          <w:p w:rsidR="00FA1090" w:rsidRPr="007E6C47" w:rsidRDefault="0037617A" w:rsidP="0037617A">
            <w:pPr>
              <w:jc w:val="center"/>
              <w:rPr>
                <w:rFonts w:cs="Arial"/>
                <w:szCs w:val="22"/>
              </w:rPr>
            </w:pPr>
            <w:r>
              <w:rPr>
                <w:rFonts w:cs="Arial"/>
                <w:szCs w:val="22"/>
              </w:rPr>
              <w:t>-</w:t>
            </w:r>
          </w:p>
        </w:tc>
        <w:tc>
          <w:tcPr>
            <w:tcW w:w="4681" w:type="dxa"/>
          </w:tcPr>
          <w:p w:rsidR="00FA1090" w:rsidRPr="007E6C47" w:rsidRDefault="00FA1090" w:rsidP="005A72BE">
            <w:pPr>
              <w:rPr>
                <w:rFonts w:cs="Arial"/>
                <w:szCs w:val="22"/>
              </w:rPr>
            </w:pPr>
            <w:r w:rsidRPr="007E6C47">
              <w:rPr>
                <w:rFonts w:cs="Arial"/>
                <w:szCs w:val="22"/>
              </w:rPr>
              <w:t xml:space="preserve">The nature of case-specific parameterization may </w:t>
            </w:r>
            <w:r>
              <w:rPr>
                <w:rFonts w:cs="Arial"/>
                <w:szCs w:val="22"/>
              </w:rPr>
              <w:t xml:space="preserve">limit the use of some MP </w:t>
            </w:r>
            <w:r w:rsidRPr="007E6C47">
              <w:rPr>
                <w:rFonts w:cs="Arial"/>
                <w:szCs w:val="22"/>
              </w:rPr>
              <w:t>performance metrics</w:t>
            </w:r>
            <w:r>
              <w:rPr>
                <w:rFonts w:cs="Arial"/>
                <w:szCs w:val="22"/>
              </w:rPr>
              <w:t>.</w:t>
            </w:r>
          </w:p>
        </w:tc>
      </w:tr>
    </w:tbl>
    <w:p w:rsidR="00F72B69" w:rsidRPr="00821FD2" w:rsidRDefault="00F72B69" w:rsidP="005B596A">
      <w:pPr>
        <w:pStyle w:val="Heading1"/>
      </w:pPr>
      <w:bookmarkStart w:id="11" w:name="_Toc43212367"/>
      <w:r w:rsidRPr="00821FD2">
        <w:t>REFERENCES</w:t>
      </w:r>
      <w:r w:rsidR="001A62C4">
        <w:t xml:space="preserve"> CITED</w:t>
      </w:r>
      <w:bookmarkEnd w:id="11"/>
    </w:p>
    <w:p w:rsidR="00E31965" w:rsidRDefault="00E31965" w:rsidP="001A62C4">
      <w:pPr>
        <w:pStyle w:val="citation"/>
      </w:pPr>
      <w:r>
        <w:t>Andrushchenko</w:t>
      </w:r>
      <w:r w:rsidR="0016246A">
        <w:t xml:space="preserve">, I., </w:t>
      </w:r>
      <w:r w:rsidR="0016246A">
        <w:rPr>
          <w:rFonts w:cs="Arial"/>
        </w:rPr>
        <w:t xml:space="preserve">C.M. </w:t>
      </w:r>
      <w:proofErr w:type="spellStart"/>
      <w:r w:rsidR="0016246A">
        <w:rPr>
          <w:rFonts w:cs="Arial"/>
        </w:rPr>
        <w:t>Legault</w:t>
      </w:r>
      <w:proofErr w:type="spellEnd"/>
      <w:r w:rsidR="0016246A">
        <w:rPr>
          <w:rFonts w:cs="Arial"/>
        </w:rPr>
        <w:t>,</w:t>
      </w:r>
      <w:r w:rsidR="0016246A" w:rsidRPr="0016246A">
        <w:rPr>
          <w:rFonts w:cs="Arial"/>
        </w:rPr>
        <w:t xml:space="preserve"> </w:t>
      </w:r>
      <w:r w:rsidR="0016246A">
        <w:rPr>
          <w:rFonts w:cs="Arial"/>
        </w:rPr>
        <w:t>R. Martin,  E.N. Brooks,</w:t>
      </w:r>
      <w:r w:rsidR="0016246A" w:rsidDel="0016246A">
        <w:t xml:space="preserve"> </w:t>
      </w:r>
      <w:r w:rsidR="0016246A">
        <w:rPr>
          <w:rFonts w:cs="Arial"/>
        </w:rPr>
        <w:t>and Y. Wang</w:t>
      </w:r>
      <w:r>
        <w:t>. 2018. Assessment of Eastern Georges Bank Atlantic Cod for 2018. TRAC Ref. Doc. 2018/01: 101p.</w:t>
      </w:r>
    </w:p>
    <w:p w:rsidR="0043543C" w:rsidRPr="006771F2" w:rsidRDefault="0043543C" w:rsidP="001A62C4">
      <w:pPr>
        <w:pStyle w:val="citation"/>
      </w:pPr>
      <w:r w:rsidRPr="00354AAF">
        <w:t xml:space="preserve">Barrett M., </w:t>
      </w:r>
      <w:proofErr w:type="spellStart"/>
      <w:r w:rsidRPr="00354AAF">
        <w:t>Legault</w:t>
      </w:r>
      <w:proofErr w:type="spellEnd"/>
      <w:r w:rsidRPr="00354AAF">
        <w:t xml:space="preserve"> C.M., Irvine </w:t>
      </w:r>
      <w:proofErr w:type="spellStart"/>
      <w:r w:rsidRPr="00354AAF">
        <w:t>F.,</w:t>
      </w:r>
      <w:r w:rsidR="006771F2" w:rsidRPr="00354AAF">
        <w:t>and</w:t>
      </w:r>
      <w:proofErr w:type="spellEnd"/>
      <w:r w:rsidR="006771F2" w:rsidRPr="00354AAF">
        <w:t xml:space="preserve"> Andrushchenko I. 2020. Data Update for Eastern Georges Bank Cod in 2019. TRAC Ref. Doc. 2019/03: 31p.</w:t>
      </w:r>
    </w:p>
    <w:p w:rsidR="00D43CD2" w:rsidRDefault="0044003D" w:rsidP="001A62C4">
      <w:pPr>
        <w:pStyle w:val="citation"/>
      </w:pPr>
      <w:proofErr w:type="spellStart"/>
      <w:r>
        <w:t>Beverton</w:t>
      </w:r>
      <w:proofErr w:type="spellEnd"/>
      <w:r>
        <w:t xml:space="preserve"> R. J.H., Holt S.</w:t>
      </w:r>
      <w:r w:rsidR="00D43CD2" w:rsidRPr="00D43CD2">
        <w:t>J.</w:t>
      </w:r>
      <w:r w:rsidR="00D43CD2">
        <w:t xml:space="preserve"> 1957</w:t>
      </w:r>
      <w:r w:rsidR="00D43CD2" w:rsidRPr="00D43CD2">
        <w:t>. On the dynamics of exploited fish populations, Fishery Investigation Series II, Vol. XIX. UK. 533 pp</w:t>
      </w:r>
      <w:r w:rsidR="00D43CD2">
        <w:t>.</w:t>
      </w:r>
    </w:p>
    <w:p w:rsidR="00AB7AFB" w:rsidRDefault="0044003D" w:rsidP="001A62C4">
      <w:pPr>
        <w:pStyle w:val="citation"/>
      </w:pPr>
      <w:r>
        <w:t>Brooks, E.N., and K.</w:t>
      </w:r>
      <w:r w:rsidR="00AB7AFB">
        <w:t>J. Curran. 201</w:t>
      </w:r>
      <w:r>
        <w:t>6. Proceedings of the TRAC for E</w:t>
      </w:r>
      <w:r w:rsidR="00AB7AFB">
        <w:t>astern Georges Bank Cod and Haddock, and Georges Bank Yellowtail Flounder. 2016/01.</w:t>
      </w:r>
    </w:p>
    <w:p w:rsidR="00E31965" w:rsidRDefault="00E31965" w:rsidP="001A62C4">
      <w:pPr>
        <w:pStyle w:val="citation"/>
        <w:rPr>
          <w:rStyle w:val="Hyperlink"/>
        </w:rPr>
      </w:pPr>
      <w:r>
        <w:t xml:space="preserve">Carruthers, T., and A. </w:t>
      </w:r>
      <w:proofErr w:type="spellStart"/>
      <w:r>
        <w:t>Hordyk</w:t>
      </w:r>
      <w:proofErr w:type="spellEnd"/>
      <w:r>
        <w:t xml:space="preserve">. 2019. </w:t>
      </w:r>
      <w:hyperlink r:id="rId18" w:history="1">
        <w:r w:rsidRPr="0043543C">
          <w:rPr>
            <w:rStyle w:val="Hyperlink"/>
          </w:rPr>
          <w:t>Data-Limited Methods Toolkit (</w:t>
        </w:r>
        <w:proofErr w:type="spellStart"/>
        <w:r w:rsidRPr="0043543C">
          <w:rPr>
            <w:rStyle w:val="Hyperlink"/>
          </w:rPr>
          <w:t>DLMtool</w:t>
        </w:r>
        <w:proofErr w:type="spellEnd"/>
        <w:r w:rsidRPr="0043543C">
          <w:rPr>
            <w:rStyle w:val="Hyperlink"/>
          </w:rPr>
          <w:t xml:space="preserve"> 5.3) User Guide</w:t>
        </w:r>
      </w:hyperlink>
      <w:r>
        <w:t xml:space="preserve">. </w:t>
      </w:r>
    </w:p>
    <w:p w:rsidR="00597041" w:rsidRDefault="008130E4" w:rsidP="00354AAF">
      <w:pPr>
        <w:pStyle w:val="citation"/>
      </w:pPr>
      <w:proofErr w:type="spellStart"/>
      <w:r w:rsidRPr="00370C64">
        <w:t>Claytor</w:t>
      </w:r>
      <w:proofErr w:type="spellEnd"/>
      <w:r w:rsidRPr="00370C64">
        <w:t>, R., and L. O’Brien. 2013. Transboundary Resources Assessment Committee Eastern</w:t>
      </w:r>
      <w:r w:rsidR="00354AAF">
        <w:t xml:space="preserve"> </w:t>
      </w:r>
      <w:r w:rsidRPr="00370C64">
        <w:t>Georges Bank cod benchmark assessment. TRAC Proceedings 2013/01.</w:t>
      </w:r>
    </w:p>
    <w:p w:rsidR="00597041" w:rsidRDefault="00597041" w:rsidP="001A62C4">
      <w:pPr>
        <w:pStyle w:val="citation"/>
      </w:pPr>
      <w:r w:rsidRPr="00597041">
        <w:t>ICES. 2007. Report of the Working Group on Methods of Fish Stock Assessments (WGMG), 13–22 March 2007, Woods Hole, USA. ICES CM 2007/RMC:04. 145 pp.</w:t>
      </w:r>
    </w:p>
    <w:p w:rsidR="00E31965" w:rsidRDefault="00AD5D8E" w:rsidP="001A62C4">
      <w:pPr>
        <w:pStyle w:val="citation"/>
      </w:pPr>
      <w:proofErr w:type="spellStart"/>
      <w:r w:rsidRPr="00AD5D8E">
        <w:t>Legault</w:t>
      </w:r>
      <w:proofErr w:type="spellEnd"/>
      <w:r w:rsidRPr="00AD5D8E">
        <w:t>, C.M. and M.C. Palmer. 2016. In what direction should the fishing mortality target change when natural mortality increases within an assessment? Canadian Journal of Fisheries and Aquatic Sciences. 73: 349</w:t>
      </w:r>
      <w:r w:rsidR="0089059A">
        <w:t>–</w:t>
      </w:r>
      <w:r w:rsidRPr="00AD5D8E">
        <w:t>357. doi:10.1139/cjfas-2015</w:t>
      </w:r>
      <w:r w:rsidR="000F423B">
        <w:t>–</w:t>
      </w:r>
      <w:r w:rsidRPr="00AD5D8E">
        <w:t>0232</w:t>
      </w:r>
    </w:p>
    <w:p w:rsidR="00597041" w:rsidRDefault="00597041" w:rsidP="001A62C4">
      <w:pPr>
        <w:pStyle w:val="citation"/>
      </w:pPr>
      <w:proofErr w:type="spellStart"/>
      <w:r w:rsidRPr="00597041">
        <w:t>Legault</w:t>
      </w:r>
      <w:proofErr w:type="spellEnd"/>
      <w:r w:rsidRPr="00597041">
        <w:t xml:space="preserve"> C</w:t>
      </w:r>
      <w:r w:rsidR="0044003D">
        <w:t>.</w:t>
      </w:r>
      <w:r w:rsidRPr="00597041">
        <w:t>M</w:t>
      </w:r>
      <w:r w:rsidR="0044003D">
        <w:t>.</w:t>
      </w:r>
      <w:r w:rsidRPr="00597041">
        <w:t>, Chair. 2009. Report of the Retrospective Working Group, January 14</w:t>
      </w:r>
      <w:r w:rsidR="0089059A">
        <w:t>–</w:t>
      </w:r>
      <w:r w:rsidRPr="00597041">
        <w:t xml:space="preserve">16, 2008, Woods Hole, Massachusetts. US </w:t>
      </w:r>
      <w:proofErr w:type="spellStart"/>
      <w:r w:rsidRPr="00597041">
        <w:t>Dept</w:t>
      </w:r>
      <w:proofErr w:type="spellEnd"/>
      <w:r w:rsidRPr="00597041">
        <w:t xml:space="preserve"> </w:t>
      </w:r>
      <w:proofErr w:type="spellStart"/>
      <w:r w:rsidRPr="00597041">
        <w:t>Commer</w:t>
      </w:r>
      <w:proofErr w:type="spellEnd"/>
      <w:r w:rsidRPr="00597041">
        <w:t>, Nort</w:t>
      </w:r>
      <w:r w:rsidR="0089059A">
        <w:t xml:space="preserve">heast Fish </w:t>
      </w:r>
      <w:proofErr w:type="spellStart"/>
      <w:r w:rsidR="0089059A">
        <w:t>Sci</w:t>
      </w:r>
      <w:proofErr w:type="spellEnd"/>
      <w:r w:rsidR="0089059A">
        <w:t xml:space="preserve"> Cent Ref Doc. 09</w:t>
      </w:r>
      <w:r w:rsidR="0089059A">
        <w:noBreakHyphen/>
      </w:r>
      <w:r w:rsidRPr="00597041">
        <w:t>01; 30 p. Available from: National Marine Fisheries Service, 166 Water Street, Woods Hole, MA 02543-1026, or online at http://www.nefsc.noaa.gov/nefsc/publications/</w:t>
      </w:r>
    </w:p>
    <w:p w:rsidR="008130E4" w:rsidRDefault="008130E4" w:rsidP="001A62C4">
      <w:pPr>
        <w:pStyle w:val="citation"/>
        <w:rPr>
          <w:rFonts w:cs="Arial"/>
        </w:rPr>
      </w:pPr>
      <w:r>
        <w:rPr>
          <w:rFonts w:cs="Arial"/>
        </w:rPr>
        <w:t xml:space="preserve">Martin, R., C.M. </w:t>
      </w:r>
      <w:proofErr w:type="spellStart"/>
      <w:r>
        <w:rPr>
          <w:rFonts w:cs="Arial"/>
        </w:rPr>
        <w:t>Legault</w:t>
      </w:r>
      <w:proofErr w:type="spellEnd"/>
      <w:r>
        <w:rPr>
          <w:rFonts w:cs="Arial"/>
        </w:rPr>
        <w:t>, Y. Wang, and E.N. Brooks. 2017. Assessment of Eastern Georges Bank Atlantic Cod for 2017. TRAC Ref. Doc. 2017/01: 112p.</w:t>
      </w:r>
    </w:p>
    <w:p w:rsidR="00597041" w:rsidRPr="00597041" w:rsidRDefault="00597041" w:rsidP="001A62C4">
      <w:pPr>
        <w:pStyle w:val="citation"/>
        <w:rPr>
          <w:rFonts w:cs="Arial"/>
        </w:rPr>
      </w:pPr>
      <w:r w:rsidRPr="00597041">
        <w:rPr>
          <w:rFonts w:cs="Arial"/>
        </w:rPr>
        <w:t xml:space="preserve">Northeast Fisheries Science Center (NEFSC). 2017a. 62nd Northeast Regional Stock Assessment Workshop (62nd SAW) Assessment Summary Report. US </w:t>
      </w:r>
      <w:proofErr w:type="spellStart"/>
      <w:r w:rsidRPr="00597041">
        <w:rPr>
          <w:rFonts w:cs="Arial"/>
        </w:rPr>
        <w:t>Dept</w:t>
      </w:r>
      <w:proofErr w:type="spellEnd"/>
      <w:r w:rsidRPr="00597041">
        <w:rPr>
          <w:rFonts w:cs="Arial"/>
        </w:rPr>
        <w:t xml:space="preserve"> </w:t>
      </w:r>
      <w:proofErr w:type="spellStart"/>
      <w:r w:rsidRPr="00597041">
        <w:rPr>
          <w:rFonts w:cs="Arial"/>
        </w:rPr>
        <w:t>Commer</w:t>
      </w:r>
      <w:proofErr w:type="spellEnd"/>
      <w:r w:rsidRPr="00597041">
        <w:rPr>
          <w:rFonts w:cs="Arial"/>
        </w:rPr>
        <w:t xml:space="preserve">, Northeast Fish </w:t>
      </w:r>
      <w:proofErr w:type="spellStart"/>
      <w:r w:rsidRPr="00597041">
        <w:rPr>
          <w:rFonts w:cs="Arial"/>
        </w:rPr>
        <w:t>Sci</w:t>
      </w:r>
      <w:proofErr w:type="spellEnd"/>
      <w:r w:rsidRPr="00597041">
        <w:rPr>
          <w:rFonts w:cs="Arial"/>
        </w:rPr>
        <w:t xml:space="preserve"> Cent Ref Doc. 17-01; 37 p. </w:t>
      </w:r>
      <w:proofErr w:type="spellStart"/>
      <w:r w:rsidRPr="00597041">
        <w:rPr>
          <w:rFonts w:cs="Arial"/>
        </w:rPr>
        <w:t>doi</w:t>
      </w:r>
      <w:proofErr w:type="spellEnd"/>
      <w:r w:rsidRPr="00597041">
        <w:rPr>
          <w:rFonts w:cs="Arial"/>
        </w:rPr>
        <w:t>: 10.7289/V5/RD-NEFSC-17-01</w:t>
      </w:r>
      <w:r w:rsidR="0016246A">
        <w:rPr>
          <w:rFonts w:cs="Arial"/>
        </w:rPr>
        <w:t>.</w:t>
      </w:r>
    </w:p>
    <w:p w:rsidR="00597041" w:rsidRDefault="00597041" w:rsidP="001A62C4">
      <w:pPr>
        <w:pStyle w:val="citation"/>
        <w:rPr>
          <w:rFonts w:cs="Arial"/>
        </w:rPr>
      </w:pPr>
      <w:r w:rsidRPr="00597041">
        <w:rPr>
          <w:rFonts w:cs="Arial"/>
        </w:rPr>
        <w:t xml:space="preserve">Northeast Fisheries Science Center (NEFSC). 2017b. 62nd Northeast Regional Stock Assessment Workshop (62nd SAW) Assessment Report. US </w:t>
      </w:r>
      <w:proofErr w:type="spellStart"/>
      <w:r w:rsidRPr="00597041">
        <w:rPr>
          <w:rFonts w:cs="Arial"/>
        </w:rPr>
        <w:t>Dept</w:t>
      </w:r>
      <w:proofErr w:type="spellEnd"/>
      <w:r w:rsidRPr="00597041">
        <w:rPr>
          <w:rFonts w:cs="Arial"/>
        </w:rPr>
        <w:t xml:space="preserve"> </w:t>
      </w:r>
      <w:proofErr w:type="spellStart"/>
      <w:r w:rsidRPr="00597041">
        <w:rPr>
          <w:rFonts w:cs="Arial"/>
        </w:rPr>
        <w:t>Commer</w:t>
      </w:r>
      <w:proofErr w:type="spellEnd"/>
      <w:r w:rsidRPr="00597041">
        <w:rPr>
          <w:rFonts w:cs="Arial"/>
        </w:rPr>
        <w:t xml:space="preserve">, Northeast Fish </w:t>
      </w:r>
      <w:proofErr w:type="spellStart"/>
      <w:r w:rsidRPr="00597041">
        <w:rPr>
          <w:rFonts w:cs="Arial"/>
        </w:rPr>
        <w:t>Sci</w:t>
      </w:r>
      <w:proofErr w:type="spellEnd"/>
      <w:r w:rsidRPr="00597041">
        <w:rPr>
          <w:rFonts w:cs="Arial"/>
        </w:rPr>
        <w:t xml:space="preserve"> Cent Ref Doc. 17-03; 822 p. </w:t>
      </w:r>
      <w:proofErr w:type="spellStart"/>
      <w:r w:rsidRPr="00597041">
        <w:rPr>
          <w:rFonts w:cs="Arial"/>
        </w:rPr>
        <w:t>doi</w:t>
      </w:r>
      <w:proofErr w:type="spellEnd"/>
      <w:r w:rsidRPr="00597041">
        <w:rPr>
          <w:rFonts w:cs="Arial"/>
        </w:rPr>
        <w:t>: 10.7289/V5/RD-NEFSC-17-03.</w:t>
      </w:r>
    </w:p>
    <w:p w:rsidR="00BF3C1C" w:rsidRDefault="00BF3C1C" w:rsidP="001A62C4">
      <w:pPr>
        <w:pStyle w:val="citation"/>
        <w:rPr>
          <w:rFonts w:cs="Arial"/>
        </w:rPr>
      </w:pPr>
      <w:r w:rsidRPr="00BF3C1C">
        <w:rPr>
          <w:rFonts w:cs="Arial"/>
        </w:rPr>
        <w:t>Ricker, W. 1975. Computation and interpretation of biological statistics of fish populations. Technical Report</w:t>
      </w:r>
      <w:r>
        <w:rPr>
          <w:rFonts w:cs="Arial"/>
        </w:rPr>
        <w:t xml:space="preserve"> </w:t>
      </w:r>
      <w:r w:rsidRPr="00BF3C1C">
        <w:rPr>
          <w:rFonts w:cs="Arial"/>
        </w:rPr>
        <w:t>Bulletin 191, Bulletin of the Fisheries Research Board of Canada</w:t>
      </w:r>
      <w:r>
        <w:rPr>
          <w:rFonts w:cs="Arial"/>
        </w:rPr>
        <w:t xml:space="preserve">. </w:t>
      </w:r>
    </w:p>
    <w:p w:rsidR="00597041" w:rsidRPr="00BB07C8" w:rsidRDefault="0044003D" w:rsidP="001A62C4">
      <w:pPr>
        <w:pStyle w:val="citation"/>
        <w:rPr>
          <w:rFonts w:cs="Arial"/>
        </w:rPr>
      </w:pPr>
      <w:proofErr w:type="spellStart"/>
      <w:r>
        <w:rPr>
          <w:rFonts w:cs="Arial"/>
        </w:rPr>
        <w:t>Szuwalski</w:t>
      </w:r>
      <w:proofErr w:type="spellEnd"/>
      <w:r>
        <w:rPr>
          <w:rFonts w:cs="Arial"/>
        </w:rPr>
        <w:t xml:space="preserve">, C.S. </w:t>
      </w:r>
      <w:proofErr w:type="spellStart"/>
      <w:r>
        <w:rPr>
          <w:rFonts w:cs="Arial"/>
        </w:rPr>
        <w:t>Ianelli</w:t>
      </w:r>
      <w:proofErr w:type="spellEnd"/>
      <w:r>
        <w:rPr>
          <w:rFonts w:cs="Arial"/>
        </w:rPr>
        <w:t>, J.</w:t>
      </w:r>
      <w:r w:rsidR="00597041" w:rsidRPr="00597041">
        <w:rPr>
          <w:rFonts w:cs="Arial"/>
        </w:rPr>
        <w:t>N. and Punt, Andre´ E. 2018. Reducing retrospective patterns in stock assessment and impacts on management performance. ICES Journal of Marine Science 75: 596</w:t>
      </w:r>
      <w:r w:rsidR="0089059A">
        <w:rPr>
          <w:rFonts w:cs="Arial"/>
        </w:rPr>
        <w:t>–</w:t>
      </w:r>
      <w:r w:rsidR="00597041" w:rsidRPr="00597041">
        <w:rPr>
          <w:rFonts w:cs="Arial"/>
        </w:rPr>
        <w:t>609. doi:10.1093/</w:t>
      </w:r>
      <w:proofErr w:type="spellStart"/>
      <w:r w:rsidR="00597041" w:rsidRPr="00597041">
        <w:rPr>
          <w:rFonts w:cs="Arial"/>
        </w:rPr>
        <w:t>icesjms</w:t>
      </w:r>
      <w:proofErr w:type="spellEnd"/>
      <w:r w:rsidR="00597041" w:rsidRPr="00597041">
        <w:rPr>
          <w:rFonts w:cs="Arial"/>
        </w:rPr>
        <w:t>/fsx159.</w:t>
      </w:r>
    </w:p>
    <w:p w:rsidR="008130E4" w:rsidRPr="00BB07C8" w:rsidRDefault="008130E4" w:rsidP="001A62C4">
      <w:pPr>
        <w:pStyle w:val="citation"/>
        <w:rPr>
          <w:rFonts w:cs="Arial"/>
        </w:rPr>
      </w:pPr>
      <w:r w:rsidRPr="00BB07C8">
        <w:rPr>
          <w:rFonts w:cs="Arial"/>
        </w:rPr>
        <w:t>Wang, Y., and L. O’Brien. 2013b. 2013 Benchmark Assessment of Eastern Georges Bank Atlantic Cod. TRAC Ref. Doc. 2013/07</w:t>
      </w:r>
      <w:r w:rsidRPr="00BB07C8">
        <w:rPr>
          <w:rFonts w:cs="Arial"/>
          <w:i/>
        </w:rPr>
        <w:t xml:space="preserve"> </w:t>
      </w:r>
      <w:r w:rsidRPr="00BB07C8">
        <w:rPr>
          <w:rFonts w:cs="Arial"/>
        </w:rPr>
        <w:t>62 p.</w:t>
      </w:r>
      <w:r w:rsidRPr="00BB07C8">
        <w:rPr>
          <w:rFonts w:cs="Arial"/>
          <w:i/>
        </w:rPr>
        <w:t xml:space="preserve"> </w:t>
      </w:r>
    </w:p>
    <w:p w:rsidR="00BC26F3" w:rsidRDefault="00BC26F3">
      <w:pPr>
        <w:rPr>
          <w:b/>
          <w:bCs/>
        </w:rPr>
      </w:pPr>
      <w:bookmarkStart w:id="12" w:name="_Ref434415577"/>
      <w:r>
        <w:rPr>
          <w:b/>
          <w:bCs/>
        </w:rPr>
        <w:br w:type="page"/>
      </w:r>
    </w:p>
    <w:p w:rsidR="00ED4C90" w:rsidRDefault="00ED4C90" w:rsidP="00821FD2">
      <w:pPr>
        <w:pStyle w:val="Heading1"/>
      </w:pPr>
      <w:bookmarkStart w:id="13" w:name="_Toc43212368"/>
      <w:r w:rsidRPr="00821FD2">
        <w:t>TABLES</w:t>
      </w:r>
      <w:bookmarkEnd w:id="13"/>
    </w:p>
    <w:p w:rsidR="005A72BE" w:rsidRPr="00F64983" w:rsidRDefault="005A72BE" w:rsidP="001A62C4">
      <w:pPr>
        <w:pStyle w:val="Caption-Table"/>
      </w:pPr>
      <w:bookmarkStart w:id="14" w:name="_Ref13037561"/>
      <w:r w:rsidRPr="00F64983">
        <w:t xml:space="preserve">Table </w:t>
      </w:r>
      <w:r w:rsidRPr="00F64983">
        <w:fldChar w:fldCharType="begin"/>
      </w:r>
      <w:r w:rsidRPr="00F64983">
        <w:instrText xml:space="preserve"> SEQ Table \* ARABIC </w:instrText>
      </w:r>
      <w:r w:rsidRPr="00F64983">
        <w:fldChar w:fldCharType="separate"/>
      </w:r>
      <w:r w:rsidR="004744A1">
        <w:rPr>
          <w:noProof/>
        </w:rPr>
        <w:t>1</w:t>
      </w:r>
      <w:r w:rsidRPr="00F64983">
        <w:fldChar w:fldCharType="end"/>
      </w:r>
      <w:bookmarkEnd w:id="14"/>
      <w:r w:rsidRPr="00F64983">
        <w:t xml:space="preserve">. </w:t>
      </w:r>
      <w:proofErr w:type="spellStart"/>
      <w:r w:rsidRPr="00F64983">
        <w:t>Mohn</w:t>
      </w:r>
      <w:r w:rsidR="0044003D">
        <w:t>’s</w:t>
      </w:r>
      <w:proofErr w:type="spellEnd"/>
      <w:r w:rsidR="0044003D">
        <w:t xml:space="preserve"> rho for recent ASAP runs of Eastern Georges Bank C</w:t>
      </w:r>
      <w:r w:rsidRPr="00F64983">
        <w:t xml:space="preserve">od and </w:t>
      </w:r>
      <w:r w:rsidR="0044003D">
        <w:t>Witch F</w:t>
      </w:r>
      <w:r w:rsidRPr="00F64983">
        <w:t>lounder.</w:t>
      </w:r>
    </w:p>
    <w:tbl>
      <w:tblPr>
        <w:tblW w:w="5580" w:type="dxa"/>
        <w:jc w:val="center"/>
        <w:tblLook w:val="04A0" w:firstRow="1" w:lastRow="0" w:firstColumn="1" w:lastColumn="0" w:noHBand="0" w:noVBand="1"/>
      </w:tblPr>
      <w:tblGrid>
        <w:gridCol w:w="1660"/>
        <w:gridCol w:w="1960"/>
        <w:gridCol w:w="1960"/>
      </w:tblGrid>
      <w:tr w:rsidR="005A72BE" w:rsidRPr="00F64983" w:rsidTr="001A62C4">
        <w:trPr>
          <w:trHeight w:val="300"/>
          <w:tblHeader/>
          <w:jc w:val="center"/>
        </w:trPr>
        <w:tc>
          <w:tcPr>
            <w:tcW w:w="1660" w:type="dxa"/>
            <w:tcBorders>
              <w:top w:val="nil"/>
              <w:left w:val="nil"/>
              <w:bottom w:val="single" w:sz="4" w:space="0" w:color="auto"/>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Metric</w:t>
            </w:r>
          </w:p>
        </w:tc>
        <w:tc>
          <w:tcPr>
            <w:tcW w:w="1960" w:type="dxa"/>
            <w:tcBorders>
              <w:top w:val="nil"/>
              <w:left w:val="nil"/>
              <w:bottom w:val="single" w:sz="4" w:space="0" w:color="auto"/>
              <w:right w:val="nil"/>
            </w:tcBorders>
            <w:shd w:val="clear" w:color="auto" w:fill="auto"/>
            <w:noWrap/>
            <w:vAlign w:val="bottom"/>
            <w:hideMark/>
          </w:tcPr>
          <w:p w:rsidR="005A72BE" w:rsidRPr="00F64983" w:rsidRDefault="0044003D" w:rsidP="005A72BE">
            <w:pPr>
              <w:jc w:val="center"/>
              <w:rPr>
                <w:rFonts w:cs="Arial"/>
                <w:color w:val="000000"/>
                <w:sz w:val="20"/>
              </w:rPr>
            </w:pPr>
            <w:r>
              <w:rPr>
                <w:rFonts w:cs="Arial"/>
                <w:color w:val="000000"/>
                <w:sz w:val="20"/>
              </w:rPr>
              <w:t>EGB C</w:t>
            </w:r>
            <w:r w:rsidR="005A72BE" w:rsidRPr="00F64983">
              <w:rPr>
                <w:rFonts w:cs="Arial"/>
                <w:color w:val="000000"/>
                <w:sz w:val="20"/>
              </w:rPr>
              <w:t>od</w:t>
            </w:r>
          </w:p>
        </w:tc>
        <w:tc>
          <w:tcPr>
            <w:tcW w:w="1960" w:type="dxa"/>
            <w:tcBorders>
              <w:top w:val="nil"/>
              <w:left w:val="nil"/>
              <w:bottom w:val="single" w:sz="4" w:space="0" w:color="auto"/>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Witch Flounder</w:t>
            </w:r>
          </w:p>
        </w:tc>
      </w:tr>
      <w:tr w:rsidR="005A72BE" w:rsidRPr="00F64983" w:rsidTr="005A72BE">
        <w:trPr>
          <w:trHeight w:val="300"/>
          <w:jc w:val="center"/>
        </w:trPr>
        <w:tc>
          <w:tcPr>
            <w:tcW w:w="1660"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F</w:t>
            </w:r>
          </w:p>
        </w:tc>
        <w:tc>
          <w:tcPr>
            <w:tcW w:w="196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-0.41</w:t>
            </w:r>
          </w:p>
        </w:tc>
        <w:tc>
          <w:tcPr>
            <w:tcW w:w="196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-0.46</w:t>
            </w:r>
          </w:p>
        </w:tc>
      </w:tr>
      <w:tr w:rsidR="005A72BE" w:rsidRPr="00F64983" w:rsidTr="005A72BE">
        <w:trPr>
          <w:trHeight w:val="300"/>
          <w:jc w:val="center"/>
        </w:trPr>
        <w:tc>
          <w:tcPr>
            <w:tcW w:w="1660"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SSB</w:t>
            </w:r>
          </w:p>
        </w:tc>
        <w:tc>
          <w:tcPr>
            <w:tcW w:w="196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0.76</w:t>
            </w:r>
          </w:p>
        </w:tc>
        <w:tc>
          <w:tcPr>
            <w:tcW w:w="196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0.64</w:t>
            </w:r>
          </w:p>
        </w:tc>
      </w:tr>
      <w:tr w:rsidR="005A72BE" w:rsidRPr="00F64983" w:rsidTr="005A72BE">
        <w:trPr>
          <w:trHeight w:val="300"/>
          <w:jc w:val="center"/>
        </w:trPr>
        <w:tc>
          <w:tcPr>
            <w:tcW w:w="1660"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Recruitment</w:t>
            </w:r>
          </w:p>
        </w:tc>
        <w:tc>
          <w:tcPr>
            <w:tcW w:w="196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-0.31</w:t>
            </w:r>
          </w:p>
        </w:tc>
        <w:tc>
          <w:tcPr>
            <w:tcW w:w="196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0.39</w:t>
            </w:r>
          </w:p>
        </w:tc>
      </w:tr>
    </w:tbl>
    <w:p w:rsidR="005A72BE" w:rsidRPr="00F64983" w:rsidRDefault="005A72BE" w:rsidP="00944DAB">
      <w:pPr>
        <w:pStyle w:val="Caption-Table"/>
      </w:pPr>
      <w:bookmarkStart w:id="15" w:name="_Ref13037779"/>
      <w:r w:rsidRPr="00F64983">
        <w:t xml:space="preserve">Table </w:t>
      </w:r>
      <w:r w:rsidRPr="00F64983">
        <w:fldChar w:fldCharType="begin"/>
      </w:r>
      <w:r w:rsidRPr="00F64983">
        <w:instrText xml:space="preserve"> SEQ Table \* ARABIC </w:instrText>
      </w:r>
      <w:r w:rsidRPr="00F64983">
        <w:fldChar w:fldCharType="separate"/>
      </w:r>
      <w:r w:rsidR="004744A1">
        <w:rPr>
          <w:noProof/>
        </w:rPr>
        <w:t>2</w:t>
      </w:r>
      <w:r w:rsidRPr="00F64983">
        <w:fldChar w:fldCharType="end"/>
      </w:r>
      <w:bookmarkEnd w:id="15"/>
      <w:r w:rsidRPr="00F64983">
        <w:t>. Catch advice (</w:t>
      </w:r>
      <w:proofErr w:type="spellStart"/>
      <w:r w:rsidRPr="00F64983">
        <w:t>mt</w:t>
      </w:r>
      <w:proofErr w:type="spellEnd"/>
      <w:r w:rsidRPr="00F64983">
        <w:t>) for a range of possible scenarios for addressing the retrospe</w:t>
      </w:r>
      <w:r w:rsidR="0033649D">
        <w:t>ctive pattern in the Witch F</w:t>
      </w:r>
      <w:r w:rsidRPr="00F64983">
        <w:t>lounder assessment from SARC 62. Adjusted catch for scenarios that used catch multipliers divide the projected catch by the catch multiplier for that scenario. Adjusted catch for the natural mortality multipliers do not change because the natural mortality rate is applied in the projections.</w:t>
      </w:r>
    </w:p>
    <w:tbl>
      <w:tblPr>
        <w:tblW w:w="6400" w:type="dxa"/>
        <w:jc w:val="center"/>
        <w:tblLook w:val="04A0" w:firstRow="1" w:lastRow="0" w:firstColumn="1" w:lastColumn="0" w:noHBand="0" w:noVBand="1"/>
      </w:tblPr>
      <w:tblGrid>
        <w:gridCol w:w="1995"/>
        <w:gridCol w:w="1205"/>
        <w:gridCol w:w="1600"/>
        <w:gridCol w:w="1600"/>
      </w:tblGrid>
      <w:tr w:rsidR="005A72BE" w:rsidRPr="00F64983" w:rsidTr="00944DAB">
        <w:trPr>
          <w:trHeight w:val="300"/>
          <w:tblHeader/>
          <w:jc w:val="center"/>
        </w:trPr>
        <w:tc>
          <w:tcPr>
            <w:tcW w:w="1995" w:type="dxa"/>
            <w:tcBorders>
              <w:top w:val="nil"/>
              <w:left w:val="nil"/>
              <w:bottom w:val="single" w:sz="4" w:space="0" w:color="auto"/>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Source</w:t>
            </w:r>
          </w:p>
        </w:tc>
        <w:tc>
          <w:tcPr>
            <w:tcW w:w="1205" w:type="dxa"/>
            <w:tcBorders>
              <w:top w:val="nil"/>
              <w:left w:val="nil"/>
              <w:bottom w:val="single" w:sz="4" w:space="0" w:color="auto"/>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Year</w:t>
            </w:r>
          </w:p>
        </w:tc>
        <w:tc>
          <w:tcPr>
            <w:tcW w:w="1600" w:type="dxa"/>
            <w:tcBorders>
              <w:top w:val="nil"/>
              <w:left w:val="nil"/>
              <w:bottom w:val="single" w:sz="4" w:space="0" w:color="auto"/>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Catch</w:t>
            </w:r>
          </w:p>
        </w:tc>
        <w:tc>
          <w:tcPr>
            <w:tcW w:w="1600" w:type="dxa"/>
            <w:tcBorders>
              <w:top w:val="nil"/>
              <w:left w:val="nil"/>
              <w:bottom w:val="single" w:sz="4" w:space="0" w:color="auto"/>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Adjusted Catch</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Base</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2016</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708</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432</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Base</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2017</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888</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542</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Base</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2018</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1090</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666</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2000 Cx5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2016</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1511</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302</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2000 Cx5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2017</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2129</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426</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2000 Cx5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2018</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2757</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551</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2005 Cx3</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2016</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885</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295</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2005 Cx3</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2017</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1245</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415</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2005 Cx3</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2018</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1610</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537</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2010 Cx2.5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2016</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666</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266</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2010 Cx2.5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2017</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949</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379</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2010 Cx2.5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2018</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1228</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491</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2005 Old Cx3</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2016</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1715</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572</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2005 Old Cx3</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2017</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1886</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629</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2005 Old Cx3</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2018</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2103</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701</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2005 Young Cx2</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2016</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444</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222</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2005 Young Cx2</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2017</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619</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309</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2005 Young Cx2</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2018</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868</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434</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2000 Mx2.5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2016</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525</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525</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2000 Mx2.5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2017</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601</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601</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2000 Mx2.5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2018</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672</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672</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2005 Mx2.5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2016</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406</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406</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2005 Mx2.5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2017</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467</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467</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2005 Mx2.5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2018</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519</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519</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2010 Mx3.5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2016</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246</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246</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2010 Mx3.5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2017</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244</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244</w:t>
            </w:r>
          </w:p>
        </w:tc>
      </w:tr>
      <w:tr w:rsidR="005A72BE" w:rsidRPr="00F64983" w:rsidTr="005A72BE">
        <w:trPr>
          <w:trHeight w:val="300"/>
          <w:jc w:val="center"/>
        </w:trPr>
        <w:tc>
          <w:tcPr>
            <w:tcW w:w="1995" w:type="dxa"/>
            <w:tcBorders>
              <w:top w:val="nil"/>
              <w:left w:val="nil"/>
              <w:bottom w:val="nil"/>
              <w:right w:val="nil"/>
            </w:tcBorders>
            <w:shd w:val="clear" w:color="auto" w:fill="auto"/>
            <w:noWrap/>
            <w:vAlign w:val="bottom"/>
            <w:hideMark/>
          </w:tcPr>
          <w:p w:rsidR="005A72BE" w:rsidRPr="00F64983" w:rsidRDefault="005A72BE" w:rsidP="005A72BE">
            <w:pPr>
              <w:rPr>
                <w:rFonts w:cs="Arial"/>
                <w:color w:val="000000"/>
                <w:sz w:val="20"/>
              </w:rPr>
            </w:pPr>
            <w:r w:rsidRPr="00F64983">
              <w:rPr>
                <w:rFonts w:cs="Arial"/>
                <w:color w:val="000000"/>
                <w:sz w:val="20"/>
              </w:rPr>
              <w:t>2010 Mx3.5</w:t>
            </w:r>
          </w:p>
        </w:tc>
        <w:tc>
          <w:tcPr>
            <w:tcW w:w="1205"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2018</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240</w:t>
            </w:r>
          </w:p>
        </w:tc>
        <w:tc>
          <w:tcPr>
            <w:tcW w:w="1600" w:type="dxa"/>
            <w:tcBorders>
              <w:top w:val="nil"/>
              <w:left w:val="nil"/>
              <w:bottom w:val="nil"/>
              <w:right w:val="nil"/>
            </w:tcBorders>
            <w:shd w:val="clear" w:color="auto" w:fill="auto"/>
            <w:noWrap/>
            <w:vAlign w:val="bottom"/>
            <w:hideMark/>
          </w:tcPr>
          <w:p w:rsidR="005A72BE" w:rsidRPr="00F64983" w:rsidRDefault="005A72BE" w:rsidP="005A72BE">
            <w:pPr>
              <w:jc w:val="center"/>
              <w:rPr>
                <w:rFonts w:cs="Arial"/>
                <w:color w:val="000000"/>
                <w:sz w:val="20"/>
              </w:rPr>
            </w:pPr>
            <w:r w:rsidRPr="00F64983">
              <w:rPr>
                <w:rFonts w:cs="Arial"/>
                <w:color w:val="000000"/>
                <w:sz w:val="20"/>
              </w:rPr>
              <w:t>240</w:t>
            </w:r>
          </w:p>
        </w:tc>
      </w:tr>
    </w:tbl>
    <w:p w:rsidR="005A72BE" w:rsidRPr="00F64983" w:rsidRDefault="005A72BE" w:rsidP="005A72BE">
      <w:pPr>
        <w:rPr>
          <w:rFonts w:cs="Arial"/>
          <w:sz w:val="20"/>
        </w:rPr>
      </w:pPr>
      <w:r w:rsidRPr="00F64983">
        <w:rPr>
          <w:rFonts w:cs="Arial"/>
          <w:sz w:val="20"/>
        </w:rPr>
        <w:br w:type="page"/>
      </w:r>
    </w:p>
    <w:p w:rsidR="005E7D9B" w:rsidRPr="008E4494" w:rsidRDefault="005E7D9B" w:rsidP="00944DAB">
      <w:pPr>
        <w:pStyle w:val="Caption-Table"/>
        <w:rPr>
          <w:u w:color="000000"/>
        </w:rPr>
      </w:pPr>
      <w:bookmarkStart w:id="16" w:name="_Ref11071434"/>
      <w:r w:rsidRPr="008E4494">
        <w:rPr>
          <w:u w:color="000000"/>
        </w:rPr>
        <w:t xml:space="preserve">Table </w:t>
      </w:r>
      <w:r w:rsidRPr="008E4494">
        <w:rPr>
          <w:u w:color="000000"/>
        </w:rPr>
        <w:fldChar w:fldCharType="begin"/>
      </w:r>
      <w:r w:rsidRPr="008E4494">
        <w:rPr>
          <w:u w:color="000000"/>
        </w:rPr>
        <w:instrText xml:space="preserve"> SEQ Table \* ARABIC </w:instrText>
      </w:r>
      <w:r w:rsidRPr="008E4494">
        <w:rPr>
          <w:u w:color="000000"/>
        </w:rPr>
        <w:fldChar w:fldCharType="separate"/>
      </w:r>
      <w:r w:rsidR="004744A1">
        <w:rPr>
          <w:noProof/>
          <w:u w:color="000000"/>
        </w:rPr>
        <w:t>3</w:t>
      </w:r>
      <w:r w:rsidRPr="008E4494">
        <w:rPr>
          <w:u w:color="000000"/>
        </w:rPr>
        <w:fldChar w:fldCharType="end"/>
      </w:r>
      <w:bookmarkEnd w:id="16"/>
      <w:r w:rsidRPr="008E4494">
        <w:rPr>
          <w:u w:color="000000"/>
        </w:rPr>
        <w:t xml:space="preserve">. Relative depletion estimates based on the three available survey series. </w:t>
      </w:r>
      <w:proofErr w:type="spellStart"/>
      <w:r w:rsidRPr="008E4494">
        <w:rPr>
          <w:u w:color="000000"/>
        </w:rPr>
        <w:t>B</w:t>
      </w:r>
      <w:r w:rsidRPr="008E4494">
        <w:rPr>
          <w:u w:color="000000"/>
          <w:vertAlign w:val="subscript"/>
        </w:rPr>
        <w:t>initial</w:t>
      </w:r>
      <w:proofErr w:type="spellEnd"/>
      <w:r w:rsidRPr="008E4494">
        <w:rPr>
          <w:u w:color="000000"/>
        </w:rPr>
        <w:t xml:space="preserve"> and </w:t>
      </w:r>
      <w:proofErr w:type="spellStart"/>
      <w:r w:rsidRPr="008E4494">
        <w:rPr>
          <w:u w:color="000000"/>
        </w:rPr>
        <w:t>B</w:t>
      </w:r>
      <w:r w:rsidRPr="008E4494">
        <w:rPr>
          <w:u w:color="000000"/>
          <w:vertAlign w:val="subscript"/>
        </w:rPr>
        <w:t>final</w:t>
      </w:r>
      <w:proofErr w:type="spellEnd"/>
      <w:r w:rsidRPr="008E4494">
        <w:rPr>
          <w:u w:color="000000"/>
        </w:rPr>
        <w:t xml:space="preserve"> correspond to mean biomass over the </w:t>
      </w:r>
      <w:proofErr w:type="spellStart"/>
      <w:r w:rsidRPr="008E4494">
        <w:rPr>
          <w:u w:color="000000"/>
        </w:rPr>
        <w:t>Y</w:t>
      </w:r>
      <w:r w:rsidRPr="008E4494">
        <w:rPr>
          <w:u w:color="000000"/>
          <w:vertAlign w:val="subscript"/>
        </w:rPr>
        <w:t>initial</w:t>
      </w:r>
      <w:proofErr w:type="spellEnd"/>
      <w:r w:rsidRPr="008E4494">
        <w:rPr>
          <w:u w:color="000000"/>
        </w:rPr>
        <w:t xml:space="preserve"> and </w:t>
      </w:r>
      <w:proofErr w:type="spellStart"/>
      <w:r w:rsidRPr="008E4494">
        <w:rPr>
          <w:u w:color="000000"/>
        </w:rPr>
        <w:t>Y</w:t>
      </w:r>
      <w:r w:rsidRPr="008E4494">
        <w:rPr>
          <w:u w:color="000000"/>
          <w:vertAlign w:val="subscript"/>
        </w:rPr>
        <w:t>final</w:t>
      </w:r>
      <w:proofErr w:type="spellEnd"/>
      <w:r w:rsidRPr="008E4494">
        <w:rPr>
          <w:u w:color="000000"/>
        </w:rPr>
        <w:t xml:space="preserve"> year ranges, respectively.</w:t>
      </w:r>
    </w:p>
    <w:tbl>
      <w:tblPr>
        <w:tblW w:w="7130" w:type="dxa"/>
        <w:jc w:val="center"/>
        <w:tblLook w:val="04A0" w:firstRow="1" w:lastRow="0" w:firstColumn="1" w:lastColumn="0" w:noHBand="0" w:noVBand="1"/>
      </w:tblPr>
      <w:tblGrid>
        <w:gridCol w:w="794"/>
        <w:gridCol w:w="951"/>
        <w:gridCol w:w="1135"/>
        <w:gridCol w:w="1359"/>
        <w:gridCol w:w="973"/>
        <w:gridCol w:w="973"/>
        <w:gridCol w:w="945"/>
      </w:tblGrid>
      <w:tr w:rsidR="00A71C6E" w:rsidRPr="00597A58" w:rsidTr="00944DAB">
        <w:trPr>
          <w:trHeight w:val="106"/>
          <w:tblHeader/>
          <w:jc w:val="center"/>
        </w:trPr>
        <w:tc>
          <w:tcPr>
            <w:tcW w:w="794" w:type="dxa"/>
            <w:tcBorders>
              <w:top w:val="single" w:sz="8" w:space="0" w:color="auto"/>
              <w:left w:val="nil"/>
              <w:bottom w:val="single" w:sz="8" w:space="0" w:color="auto"/>
              <w:right w:val="nil"/>
            </w:tcBorders>
            <w:shd w:val="clear" w:color="auto" w:fill="auto"/>
            <w:noWrap/>
            <w:vAlign w:val="bottom"/>
            <w:hideMark/>
          </w:tcPr>
          <w:p w:rsidR="00A71C6E" w:rsidRPr="00597A58" w:rsidRDefault="005E7D9B" w:rsidP="00376B31">
            <w:pPr>
              <w:jc w:val="center"/>
              <w:rPr>
                <w:rFonts w:cs="Arial"/>
                <w:b/>
                <w:bCs/>
                <w:sz w:val="16"/>
                <w:szCs w:val="16"/>
                <w:lang w:eastAsia="en-CA"/>
              </w:rPr>
            </w:pPr>
            <w:bookmarkStart w:id="17" w:name="_Ref516664529"/>
            <w:bookmarkEnd w:id="12"/>
            <w:r>
              <w:rPr>
                <w:rFonts w:cs="Arial"/>
                <w:b/>
                <w:bCs/>
                <w:sz w:val="16"/>
                <w:szCs w:val="16"/>
                <w:lang w:eastAsia="en-CA"/>
              </w:rPr>
              <w:t>Agency</w:t>
            </w:r>
          </w:p>
        </w:tc>
        <w:tc>
          <w:tcPr>
            <w:tcW w:w="951" w:type="dxa"/>
            <w:tcBorders>
              <w:top w:val="single" w:sz="8" w:space="0" w:color="auto"/>
              <w:left w:val="nil"/>
              <w:bottom w:val="single" w:sz="8" w:space="0" w:color="auto"/>
              <w:right w:val="nil"/>
            </w:tcBorders>
            <w:shd w:val="clear" w:color="auto" w:fill="auto"/>
            <w:noWrap/>
            <w:vAlign w:val="bottom"/>
            <w:hideMark/>
          </w:tcPr>
          <w:p w:rsidR="00A71C6E" w:rsidRPr="00597A58" w:rsidRDefault="00A71C6E" w:rsidP="00376B31">
            <w:pPr>
              <w:jc w:val="center"/>
              <w:rPr>
                <w:rFonts w:cs="Arial"/>
                <w:b/>
                <w:bCs/>
                <w:sz w:val="16"/>
                <w:szCs w:val="16"/>
                <w:lang w:eastAsia="en-CA"/>
              </w:rPr>
            </w:pPr>
            <w:r>
              <w:rPr>
                <w:rFonts w:cs="Arial"/>
                <w:b/>
                <w:bCs/>
                <w:sz w:val="16"/>
                <w:szCs w:val="16"/>
                <w:lang w:eastAsia="en-CA"/>
              </w:rPr>
              <w:t>Season</w:t>
            </w:r>
          </w:p>
        </w:tc>
        <w:tc>
          <w:tcPr>
            <w:tcW w:w="1135" w:type="dxa"/>
            <w:tcBorders>
              <w:top w:val="single" w:sz="8" w:space="0" w:color="auto"/>
              <w:left w:val="nil"/>
              <w:bottom w:val="single" w:sz="8" w:space="0" w:color="auto"/>
              <w:right w:val="nil"/>
            </w:tcBorders>
            <w:shd w:val="clear" w:color="auto" w:fill="auto"/>
            <w:noWrap/>
            <w:vAlign w:val="bottom"/>
            <w:hideMark/>
          </w:tcPr>
          <w:p w:rsidR="00A71C6E" w:rsidRPr="00597A58" w:rsidRDefault="00A71C6E" w:rsidP="00376B31">
            <w:pPr>
              <w:jc w:val="center"/>
              <w:rPr>
                <w:rFonts w:cs="Arial"/>
                <w:b/>
                <w:bCs/>
                <w:sz w:val="16"/>
                <w:szCs w:val="16"/>
                <w:lang w:eastAsia="en-CA"/>
              </w:rPr>
            </w:pPr>
            <w:proofErr w:type="spellStart"/>
            <w:r>
              <w:rPr>
                <w:rFonts w:cs="Arial"/>
                <w:b/>
                <w:bCs/>
                <w:sz w:val="16"/>
                <w:szCs w:val="16"/>
                <w:lang w:eastAsia="en-CA"/>
              </w:rPr>
              <w:t>Y</w:t>
            </w:r>
            <w:r w:rsidRPr="005E7D9B">
              <w:rPr>
                <w:rFonts w:cs="Arial"/>
                <w:b/>
                <w:bCs/>
                <w:sz w:val="16"/>
                <w:szCs w:val="16"/>
                <w:vertAlign w:val="subscript"/>
                <w:lang w:eastAsia="en-CA"/>
              </w:rPr>
              <w:t>initial</w:t>
            </w:r>
            <w:proofErr w:type="spellEnd"/>
          </w:p>
        </w:tc>
        <w:tc>
          <w:tcPr>
            <w:tcW w:w="1359" w:type="dxa"/>
            <w:tcBorders>
              <w:top w:val="single" w:sz="8" w:space="0" w:color="auto"/>
              <w:left w:val="nil"/>
              <w:bottom w:val="single" w:sz="8" w:space="0" w:color="auto"/>
              <w:right w:val="nil"/>
            </w:tcBorders>
            <w:shd w:val="clear" w:color="auto" w:fill="auto"/>
            <w:noWrap/>
            <w:vAlign w:val="bottom"/>
            <w:hideMark/>
          </w:tcPr>
          <w:p w:rsidR="00A71C6E" w:rsidRPr="00597A58" w:rsidRDefault="00A71C6E" w:rsidP="00376B31">
            <w:pPr>
              <w:jc w:val="center"/>
              <w:rPr>
                <w:rFonts w:cs="Arial"/>
                <w:b/>
                <w:bCs/>
                <w:sz w:val="16"/>
                <w:szCs w:val="16"/>
                <w:lang w:eastAsia="en-CA"/>
              </w:rPr>
            </w:pPr>
            <w:proofErr w:type="spellStart"/>
            <w:r>
              <w:rPr>
                <w:rFonts w:cs="Arial"/>
                <w:b/>
                <w:bCs/>
                <w:sz w:val="16"/>
                <w:szCs w:val="16"/>
                <w:lang w:eastAsia="en-CA"/>
              </w:rPr>
              <w:t>Y</w:t>
            </w:r>
            <w:r w:rsidRPr="005E7D9B">
              <w:rPr>
                <w:rFonts w:cs="Arial"/>
                <w:b/>
                <w:bCs/>
                <w:sz w:val="16"/>
                <w:szCs w:val="16"/>
                <w:vertAlign w:val="subscript"/>
                <w:lang w:eastAsia="en-CA"/>
              </w:rPr>
              <w:t>final</w:t>
            </w:r>
            <w:proofErr w:type="spellEnd"/>
          </w:p>
        </w:tc>
        <w:tc>
          <w:tcPr>
            <w:tcW w:w="973" w:type="dxa"/>
            <w:tcBorders>
              <w:top w:val="single" w:sz="8" w:space="0" w:color="auto"/>
              <w:left w:val="nil"/>
              <w:bottom w:val="single" w:sz="8" w:space="0" w:color="auto"/>
              <w:right w:val="nil"/>
            </w:tcBorders>
            <w:shd w:val="clear" w:color="auto" w:fill="auto"/>
            <w:noWrap/>
            <w:vAlign w:val="bottom"/>
            <w:hideMark/>
          </w:tcPr>
          <w:p w:rsidR="00A71C6E" w:rsidRPr="00597A58" w:rsidRDefault="005E7D9B" w:rsidP="00376B31">
            <w:pPr>
              <w:jc w:val="center"/>
              <w:rPr>
                <w:rFonts w:cs="Arial"/>
                <w:b/>
                <w:bCs/>
                <w:sz w:val="16"/>
                <w:szCs w:val="16"/>
                <w:lang w:eastAsia="en-CA"/>
              </w:rPr>
            </w:pPr>
            <w:proofErr w:type="spellStart"/>
            <w:r>
              <w:rPr>
                <w:rFonts w:cs="Arial"/>
                <w:b/>
                <w:bCs/>
                <w:sz w:val="16"/>
                <w:szCs w:val="16"/>
                <w:lang w:eastAsia="en-CA"/>
              </w:rPr>
              <w:t>B</w:t>
            </w:r>
            <w:r w:rsidR="00A71C6E" w:rsidRPr="005E7D9B">
              <w:rPr>
                <w:rFonts w:cs="Arial"/>
                <w:b/>
                <w:bCs/>
                <w:sz w:val="16"/>
                <w:szCs w:val="16"/>
                <w:vertAlign w:val="subscript"/>
                <w:lang w:eastAsia="en-CA"/>
              </w:rPr>
              <w:t>initial</w:t>
            </w:r>
            <w:proofErr w:type="spellEnd"/>
          </w:p>
        </w:tc>
        <w:tc>
          <w:tcPr>
            <w:tcW w:w="973" w:type="dxa"/>
            <w:tcBorders>
              <w:top w:val="single" w:sz="8" w:space="0" w:color="auto"/>
              <w:left w:val="nil"/>
              <w:bottom w:val="single" w:sz="8" w:space="0" w:color="auto"/>
              <w:right w:val="nil"/>
            </w:tcBorders>
            <w:shd w:val="clear" w:color="auto" w:fill="auto"/>
            <w:noWrap/>
            <w:vAlign w:val="bottom"/>
            <w:hideMark/>
          </w:tcPr>
          <w:p w:rsidR="00A71C6E" w:rsidRPr="00597A58" w:rsidRDefault="005E7D9B" w:rsidP="00376B31">
            <w:pPr>
              <w:jc w:val="center"/>
              <w:rPr>
                <w:rFonts w:cs="Arial"/>
                <w:b/>
                <w:bCs/>
                <w:sz w:val="16"/>
                <w:szCs w:val="16"/>
                <w:lang w:eastAsia="en-CA"/>
              </w:rPr>
            </w:pPr>
            <w:proofErr w:type="spellStart"/>
            <w:r>
              <w:rPr>
                <w:rFonts w:cs="Arial"/>
                <w:b/>
                <w:bCs/>
                <w:sz w:val="16"/>
                <w:szCs w:val="16"/>
                <w:lang w:eastAsia="en-CA"/>
              </w:rPr>
              <w:t>B</w:t>
            </w:r>
            <w:r w:rsidR="00A71C6E" w:rsidRPr="005E7D9B">
              <w:rPr>
                <w:rFonts w:cs="Arial"/>
                <w:b/>
                <w:bCs/>
                <w:sz w:val="16"/>
                <w:szCs w:val="16"/>
                <w:vertAlign w:val="subscript"/>
                <w:lang w:eastAsia="en-CA"/>
              </w:rPr>
              <w:t>final</w:t>
            </w:r>
            <w:proofErr w:type="spellEnd"/>
          </w:p>
        </w:tc>
        <w:tc>
          <w:tcPr>
            <w:tcW w:w="945" w:type="dxa"/>
            <w:tcBorders>
              <w:top w:val="single" w:sz="8" w:space="0" w:color="auto"/>
              <w:left w:val="nil"/>
              <w:bottom w:val="single" w:sz="8" w:space="0" w:color="auto"/>
              <w:right w:val="nil"/>
            </w:tcBorders>
            <w:shd w:val="clear" w:color="auto" w:fill="auto"/>
            <w:noWrap/>
            <w:vAlign w:val="bottom"/>
            <w:hideMark/>
          </w:tcPr>
          <w:p w:rsidR="00A71C6E" w:rsidRPr="00597A58" w:rsidRDefault="00A71C6E" w:rsidP="00376B31">
            <w:pPr>
              <w:jc w:val="center"/>
              <w:rPr>
                <w:rFonts w:cs="Arial"/>
                <w:b/>
                <w:bCs/>
                <w:sz w:val="16"/>
                <w:szCs w:val="16"/>
                <w:lang w:eastAsia="en-CA"/>
              </w:rPr>
            </w:pPr>
            <w:r>
              <w:rPr>
                <w:rFonts w:cs="Arial"/>
                <w:b/>
                <w:bCs/>
                <w:sz w:val="16"/>
                <w:szCs w:val="16"/>
                <w:lang w:eastAsia="en-CA"/>
              </w:rPr>
              <w:t>Depletion</w:t>
            </w:r>
          </w:p>
        </w:tc>
      </w:tr>
      <w:tr w:rsidR="00A71C6E" w:rsidRPr="00597A58" w:rsidTr="0089059A">
        <w:trPr>
          <w:trHeight w:val="180"/>
          <w:jc w:val="center"/>
        </w:trPr>
        <w:tc>
          <w:tcPr>
            <w:tcW w:w="794" w:type="dxa"/>
            <w:tcBorders>
              <w:top w:val="nil"/>
              <w:left w:val="nil"/>
              <w:bottom w:val="nil"/>
              <w:right w:val="nil"/>
            </w:tcBorders>
            <w:shd w:val="clear" w:color="auto" w:fill="auto"/>
            <w:noWrap/>
            <w:vAlign w:val="bottom"/>
            <w:hideMark/>
          </w:tcPr>
          <w:p w:rsidR="00A71C6E" w:rsidRPr="00A71C6E" w:rsidRDefault="00A71C6E" w:rsidP="00376B31">
            <w:pPr>
              <w:jc w:val="center"/>
              <w:rPr>
                <w:rFonts w:cs="Arial"/>
                <w:bCs/>
                <w:sz w:val="16"/>
                <w:szCs w:val="16"/>
                <w:lang w:eastAsia="en-CA"/>
              </w:rPr>
            </w:pPr>
            <w:r w:rsidRPr="00A71C6E">
              <w:rPr>
                <w:rFonts w:cs="Arial"/>
                <w:bCs/>
                <w:sz w:val="16"/>
                <w:szCs w:val="16"/>
                <w:lang w:eastAsia="en-CA"/>
              </w:rPr>
              <w:t>DFO</w:t>
            </w:r>
          </w:p>
        </w:tc>
        <w:tc>
          <w:tcPr>
            <w:tcW w:w="951" w:type="dxa"/>
            <w:tcBorders>
              <w:top w:val="nil"/>
              <w:left w:val="nil"/>
              <w:bottom w:val="nil"/>
              <w:right w:val="nil"/>
            </w:tcBorders>
            <w:shd w:val="clear" w:color="auto" w:fill="auto"/>
            <w:noWrap/>
            <w:vAlign w:val="bottom"/>
            <w:hideMark/>
          </w:tcPr>
          <w:p w:rsidR="00A71C6E" w:rsidRPr="00A71C6E" w:rsidRDefault="00A71C6E" w:rsidP="00376B31">
            <w:pPr>
              <w:jc w:val="center"/>
              <w:rPr>
                <w:rFonts w:cs="Arial"/>
                <w:bCs/>
                <w:sz w:val="16"/>
                <w:szCs w:val="16"/>
                <w:lang w:eastAsia="en-CA"/>
              </w:rPr>
            </w:pPr>
            <w:r w:rsidRPr="00A71C6E">
              <w:rPr>
                <w:rFonts w:cs="Arial"/>
                <w:bCs/>
                <w:sz w:val="16"/>
                <w:szCs w:val="16"/>
                <w:lang w:eastAsia="en-CA"/>
              </w:rPr>
              <w:t>Spring</w:t>
            </w:r>
          </w:p>
        </w:tc>
        <w:tc>
          <w:tcPr>
            <w:tcW w:w="1135" w:type="dxa"/>
            <w:tcBorders>
              <w:top w:val="nil"/>
              <w:left w:val="nil"/>
              <w:bottom w:val="nil"/>
              <w:right w:val="nil"/>
            </w:tcBorders>
            <w:shd w:val="clear" w:color="auto" w:fill="auto"/>
            <w:noWrap/>
            <w:vAlign w:val="bottom"/>
            <w:hideMark/>
          </w:tcPr>
          <w:p w:rsidR="00A71C6E" w:rsidRPr="00A71C6E" w:rsidRDefault="00A71C6E" w:rsidP="00376B31">
            <w:pPr>
              <w:jc w:val="center"/>
              <w:rPr>
                <w:rFonts w:cs="Arial"/>
                <w:bCs/>
                <w:sz w:val="16"/>
                <w:szCs w:val="16"/>
                <w:lang w:eastAsia="en-CA"/>
              </w:rPr>
            </w:pPr>
            <w:r>
              <w:rPr>
                <w:rFonts w:cs="Arial"/>
                <w:bCs/>
                <w:sz w:val="16"/>
                <w:szCs w:val="16"/>
                <w:lang w:eastAsia="en-CA"/>
              </w:rPr>
              <w:t>1986</w:t>
            </w:r>
            <w:r w:rsidR="0089059A">
              <w:rPr>
                <w:rFonts w:cs="Arial"/>
                <w:bCs/>
                <w:sz w:val="16"/>
                <w:szCs w:val="16"/>
                <w:lang w:eastAsia="en-CA"/>
              </w:rPr>
              <w:t>–</w:t>
            </w:r>
            <w:r>
              <w:rPr>
                <w:rFonts w:cs="Arial"/>
                <w:bCs/>
                <w:sz w:val="16"/>
                <w:szCs w:val="16"/>
                <w:lang w:eastAsia="en-CA"/>
              </w:rPr>
              <w:t>1990</w:t>
            </w:r>
          </w:p>
        </w:tc>
        <w:tc>
          <w:tcPr>
            <w:tcW w:w="1359" w:type="dxa"/>
            <w:tcBorders>
              <w:top w:val="nil"/>
              <w:left w:val="nil"/>
              <w:bottom w:val="nil"/>
              <w:right w:val="nil"/>
            </w:tcBorders>
            <w:shd w:val="clear" w:color="auto" w:fill="auto"/>
            <w:noWrap/>
            <w:vAlign w:val="bottom"/>
            <w:hideMark/>
          </w:tcPr>
          <w:p w:rsidR="00A71C6E" w:rsidRPr="00A71C6E" w:rsidRDefault="00A71C6E" w:rsidP="00376B31">
            <w:pPr>
              <w:jc w:val="center"/>
              <w:rPr>
                <w:rFonts w:cs="Arial"/>
                <w:bCs/>
                <w:sz w:val="16"/>
                <w:szCs w:val="16"/>
                <w:lang w:eastAsia="en-CA"/>
              </w:rPr>
            </w:pPr>
            <w:r>
              <w:rPr>
                <w:rFonts w:cs="Arial"/>
                <w:bCs/>
                <w:sz w:val="16"/>
                <w:szCs w:val="16"/>
                <w:lang w:eastAsia="en-CA"/>
              </w:rPr>
              <w:t>2015</w:t>
            </w:r>
            <w:r w:rsidR="0089059A">
              <w:rPr>
                <w:rFonts w:cs="Arial"/>
                <w:bCs/>
                <w:sz w:val="16"/>
                <w:szCs w:val="16"/>
                <w:lang w:eastAsia="en-CA"/>
              </w:rPr>
              <w:t>–</w:t>
            </w:r>
            <w:r>
              <w:rPr>
                <w:rFonts w:cs="Arial"/>
                <w:bCs/>
                <w:sz w:val="16"/>
                <w:szCs w:val="16"/>
                <w:lang w:eastAsia="en-CA"/>
              </w:rPr>
              <w:t>2019</w:t>
            </w:r>
          </w:p>
        </w:tc>
        <w:tc>
          <w:tcPr>
            <w:tcW w:w="973" w:type="dxa"/>
            <w:tcBorders>
              <w:top w:val="nil"/>
              <w:left w:val="nil"/>
              <w:bottom w:val="nil"/>
              <w:right w:val="nil"/>
            </w:tcBorders>
            <w:shd w:val="clear" w:color="auto" w:fill="auto"/>
            <w:noWrap/>
            <w:vAlign w:val="bottom"/>
            <w:hideMark/>
          </w:tcPr>
          <w:p w:rsidR="00A71C6E" w:rsidRPr="00A71C6E" w:rsidRDefault="00A71C6E" w:rsidP="00376B31">
            <w:pPr>
              <w:jc w:val="center"/>
              <w:rPr>
                <w:rFonts w:cs="Arial"/>
                <w:bCs/>
                <w:sz w:val="16"/>
                <w:szCs w:val="16"/>
                <w:lang w:eastAsia="en-CA"/>
              </w:rPr>
            </w:pPr>
            <w:r>
              <w:rPr>
                <w:rFonts w:cs="Arial"/>
                <w:bCs/>
                <w:sz w:val="16"/>
                <w:szCs w:val="16"/>
                <w:lang w:eastAsia="en-CA"/>
              </w:rPr>
              <w:t>23,624</w:t>
            </w:r>
          </w:p>
        </w:tc>
        <w:tc>
          <w:tcPr>
            <w:tcW w:w="973" w:type="dxa"/>
            <w:tcBorders>
              <w:top w:val="nil"/>
              <w:left w:val="nil"/>
              <w:bottom w:val="nil"/>
              <w:right w:val="nil"/>
            </w:tcBorders>
            <w:shd w:val="clear" w:color="auto" w:fill="auto"/>
            <w:noWrap/>
            <w:vAlign w:val="bottom"/>
            <w:hideMark/>
          </w:tcPr>
          <w:p w:rsidR="00A71C6E" w:rsidRPr="00A71C6E" w:rsidRDefault="005E7D9B" w:rsidP="00376B31">
            <w:pPr>
              <w:jc w:val="center"/>
              <w:rPr>
                <w:rFonts w:cs="Arial"/>
                <w:bCs/>
                <w:sz w:val="16"/>
                <w:szCs w:val="16"/>
                <w:lang w:eastAsia="en-CA"/>
              </w:rPr>
            </w:pPr>
            <w:r>
              <w:rPr>
                <w:rFonts w:cs="Arial"/>
                <w:bCs/>
                <w:sz w:val="16"/>
                <w:szCs w:val="16"/>
                <w:lang w:eastAsia="en-CA"/>
              </w:rPr>
              <w:t>6,615</w:t>
            </w:r>
          </w:p>
        </w:tc>
        <w:tc>
          <w:tcPr>
            <w:tcW w:w="945" w:type="dxa"/>
            <w:tcBorders>
              <w:top w:val="nil"/>
              <w:left w:val="nil"/>
              <w:bottom w:val="nil"/>
              <w:right w:val="nil"/>
            </w:tcBorders>
            <w:shd w:val="clear" w:color="auto" w:fill="auto"/>
            <w:noWrap/>
            <w:vAlign w:val="bottom"/>
            <w:hideMark/>
          </w:tcPr>
          <w:p w:rsidR="00A71C6E" w:rsidRPr="00A71C6E" w:rsidRDefault="005E7D9B" w:rsidP="005B596A">
            <w:pPr>
              <w:jc w:val="center"/>
              <w:rPr>
                <w:rFonts w:cs="Arial"/>
                <w:bCs/>
                <w:sz w:val="16"/>
                <w:szCs w:val="16"/>
                <w:lang w:eastAsia="en-CA"/>
              </w:rPr>
            </w:pPr>
            <w:r>
              <w:rPr>
                <w:rFonts w:cs="Arial"/>
                <w:bCs/>
                <w:sz w:val="16"/>
                <w:szCs w:val="16"/>
                <w:lang w:eastAsia="en-CA"/>
              </w:rPr>
              <w:t>0.</w:t>
            </w:r>
            <w:r w:rsidR="005B596A">
              <w:rPr>
                <w:rFonts w:cs="Arial"/>
                <w:bCs/>
                <w:sz w:val="16"/>
                <w:szCs w:val="16"/>
                <w:lang w:eastAsia="en-CA"/>
              </w:rPr>
              <w:t>28</w:t>
            </w:r>
          </w:p>
        </w:tc>
      </w:tr>
      <w:tr w:rsidR="00A71C6E" w:rsidRPr="00597A58" w:rsidTr="0089059A">
        <w:trPr>
          <w:trHeight w:val="120"/>
          <w:jc w:val="center"/>
        </w:trPr>
        <w:tc>
          <w:tcPr>
            <w:tcW w:w="794" w:type="dxa"/>
            <w:tcBorders>
              <w:top w:val="nil"/>
              <w:left w:val="nil"/>
              <w:bottom w:val="nil"/>
              <w:right w:val="nil"/>
            </w:tcBorders>
            <w:shd w:val="clear" w:color="auto" w:fill="auto"/>
            <w:noWrap/>
            <w:vAlign w:val="bottom"/>
            <w:hideMark/>
          </w:tcPr>
          <w:p w:rsidR="00A71C6E" w:rsidRPr="00597A58" w:rsidRDefault="00A71C6E" w:rsidP="00A71C6E">
            <w:pPr>
              <w:jc w:val="center"/>
              <w:rPr>
                <w:rFonts w:cs="Arial"/>
                <w:sz w:val="16"/>
                <w:szCs w:val="16"/>
                <w:lang w:eastAsia="en-CA"/>
              </w:rPr>
            </w:pPr>
            <w:r>
              <w:rPr>
                <w:rFonts w:cs="Arial"/>
                <w:sz w:val="16"/>
                <w:szCs w:val="16"/>
                <w:lang w:eastAsia="en-CA"/>
              </w:rPr>
              <w:t xml:space="preserve">NMFS </w:t>
            </w:r>
          </w:p>
        </w:tc>
        <w:tc>
          <w:tcPr>
            <w:tcW w:w="951" w:type="dxa"/>
            <w:tcBorders>
              <w:top w:val="nil"/>
              <w:left w:val="nil"/>
              <w:bottom w:val="nil"/>
              <w:right w:val="nil"/>
            </w:tcBorders>
            <w:shd w:val="clear" w:color="auto" w:fill="auto"/>
            <w:noWrap/>
            <w:vAlign w:val="bottom"/>
            <w:hideMark/>
          </w:tcPr>
          <w:p w:rsidR="00A71C6E" w:rsidRPr="00597A58" w:rsidRDefault="00A71C6E" w:rsidP="00376B31">
            <w:pPr>
              <w:jc w:val="center"/>
              <w:rPr>
                <w:rFonts w:cs="Arial"/>
                <w:sz w:val="16"/>
                <w:szCs w:val="16"/>
                <w:lang w:eastAsia="en-CA"/>
              </w:rPr>
            </w:pPr>
            <w:r>
              <w:rPr>
                <w:rFonts w:cs="Arial"/>
                <w:sz w:val="16"/>
                <w:szCs w:val="16"/>
                <w:lang w:eastAsia="en-CA"/>
              </w:rPr>
              <w:t>Spring</w:t>
            </w:r>
          </w:p>
        </w:tc>
        <w:tc>
          <w:tcPr>
            <w:tcW w:w="1135" w:type="dxa"/>
            <w:tcBorders>
              <w:top w:val="nil"/>
              <w:left w:val="nil"/>
              <w:bottom w:val="nil"/>
              <w:right w:val="nil"/>
            </w:tcBorders>
            <w:shd w:val="clear" w:color="auto" w:fill="auto"/>
            <w:noWrap/>
            <w:vAlign w:val="bottom"/>
            <w:hideMark/>
          </w:tcPr>
          <w:p w:rsidR="00A71C6E" w:rsidRPr="00597A58" w:rsidRDefault="005E7D9B" w:rsidP="00376B31">
            <w:pPr>
              <w:jc w:val="center"/>
              <w:rPr>
                <w:rFonts w:cs="Arial"/>
                <w:sz w:val="16"/>
                <w:szCs w:val="16"/>
                <w:lang w:eastAsia="en-CA"/>
              </w:rPr>
            </w:pPr>
            <w:r>
              <w:rPr>
                <w:rFonts w:cs="Arial"/>
                <w:sz w:val="16"/>
                <w:szCs w:val="16"/>
                <w:lang w:eastAsia="en-CA"/>
              </w:rPr>
              <w:t>1978</w:t>
            </w:r>
            <w:r w:rsidR="0089059A">
              <w:rPr>
                <w:rFonts w:cs="Arial"/>
                <w:sz w:val="16"/>
                <w:szCs w:val="16"/>
                <w:lang w:eastAsia="en-CA"/>
              </w:rPr>
              <w:t>–</w:t>
            </w:r>
            <w:r>
              <w:rPr>
                <w:rFonts w:cs="Arial"/>
                <w:sz w:val="16"/>
                <w:szCs w:val="16"/>
                <w:lang w:eastAsia="en-CA"/>
              </w:rPr>
              <w:t>1982</w:t>
            </w:r>
          </w:p>
        </w:tc>
        <w:tc>
          <w:tcPr>
            <w:tcW w:w="1359" w:type="dxa"/>
            <w:tcBorders>
              <w:top w:val="nil"/>
              <w:left w:val="nil"/>
              <w:bottom w:val="nil"/>
              <w:right w:val="nil"/>
            </w:tcBorders>
            <w:shd w:val="clear" w:color="auto" w:fill="auto"/>
            <w:noWrap/>
            <w:vAlign w:val="bottom"/>
            <w:hideMark/>
          </w:tcPr>
          <w:p w:rsidR="00A71C6E" w:rsidRPr="00597A58" w:rsidRDefault="005E7D9B" w:rsidP="00376B31">
            <w:pPr>
              <w:jc w:val="center"/>
              <w:rPr>
                <w:rFonts w:cs="Arial"/>
                <w:sz w:val="16"/>
                <w:szCs w:val="16"/>
                <w:lang w:eastAsia="en-CA"/>
              </w:rPr>
            </w:pPr>
            <w:r>
              <w:rPr>
                <w:rFonts w:cs="Arial"/>
                <w:sz w:val="16"/>
                <w:szCs w:val="16"/>
                <w:lang w:eastAsia="en-CA"/>
              </w:rPr>
              <w:t>2015</w:t>
            </w:r>
            <w:r w:rsidR="0089059A">
              <w:rPr>
                <w:rFonts w:cs="Arial"/>
                <w:sz w:val="16"/>
                <w:szCs w:val="16"/>
                <w:lang w:eastAsia="en-CA"/>
              </w:rPr>
              <w:t>–</w:t>
            </w:r>
            <w:r>
              <w:rPr>
                <w:rFonts w:cs="Arial"/>
                <w:sz w:val="16"/>
                <w:szCs w:val="16"/>
                <w:lang w:eastAsia="en-CA"/>
              </w:rPr>
              <w:t>2019</w:t>
            </w:r>
          </w:p>
        </w:tc>
        <w:tc>
          <w:tcPr>
            <w:tcW w:w="973" w:type="dxa"/>
            <w:tcBorders>
              <w:top w:val="nil"/>
              <w:left w:val="nil"/>
              <w:bottom w:val="nil"/>
              <w:right w:val="nil"/>
            </w:tcBorders>
            <w:shd w:val="clear" w:color="auto" w:fill="auto"/>
            <w:noWrap/>
            <w:vAlign w:val="bottom"/>
            <w:hideMark/>
          </w:tcPr>
          <w:p w:rsidR="00A71C6E" w:rsidRPr="00597A58" w:rsidRDefault="005E7D9B" w:rsidP="00376B31">
            <w:pPr>
              <w:jc w:val="center"/>
              <w:rPr>
                <w:rFonts w:cs="Arial"/>
                <w:sz w:val="16"/>
                <w:szCs w:val="16"/>
                <w:lang w:eastAsia="en-CA"/>
              </w:rPr>
            </w:pPr>
            <w:r>
              <w:rPr>
                <w:rFonts w:cs="Arial"/>
                <w:sz w:val="16"/>
                <w:szCs w:val="16"/>
                <w:lang w:eastAsia="en-CA"/>
              </w:rPr>
              <w:t>33,211</w:t>
            </w:r>
          </w:p>
        </w:tc>
        <w:tc>
          <w:tcPr>
            <w:tcW w:w="973" w:type="dxa"/>
            <w:tcBorders>
              <w:top w:val="nil"/>
              <w:left w:val="nil"/>
              <w:bottom w:val="nil"/>
              <w:right w:val="nil"/>
            </w:tcBorders>
            <w:shd w:val="clear" w:color="auto" w:fill="auto"/>
            <w:noWrap/>
            <w:vAlign w:val="bottom"/>
            <w:hideMark/>
          </w:tcPr>
          <w:p w:rsidR="00A71C6E" w:rsidRPr="00597A58" w:rsidRDefault="005E7D9B" w:rsidP="00376B31">
            <w:pPr>
              <w:jc w:val="center"/>
              <w:rPr>
                <w:rFonts w:cs="Arial"/>
                <w:sz w:val="16"/>
                <w:szCs w:val="16"/>
                <w:lang w:eastAsia="en-CA"/>
              </w:rPr>
            </w:pPr>
            <w:r>
              <w:rPr>
                <w:rFonts w:cs="Arial"/>
                <w:sz w:val="16"/>
                <w:szCs w:val="16"/>
                <w:lang w:eastAsia="en-CA"/>
              </w:rPr>
              <w:t>5,471</w:t>
            </w:r>
          </w:p>
        </w:tc>
        <w:tc>
          <w:tcPr>
            <w:tcW w:w="945" w:type="dxa"/>
            <w:tcBorders>
              <w:top w:val="nil"/>
              <w:left w:val="nil"/>
              <w:bottom w:val="nil"/>
              <w:right w:val="nil"/>
            </w:tcBorders>
            <w:shd w:val="clear" w:color="auto" w:fill="auto"/>
            <w:noWrap/>
            <w:vAlign w:val="bottom"/>
            <w:hideMark/>
          </w:tcPr>
          <w:p w:rsidR="00A71C6E" w:rsidRPr="00597A58" w:rsidRDefault="005E7D9B" w:rsidP="005B596A">
            <w:pPr>
              <w:jc w:val="center"/>
              <w:rPr>
                <w:rFonts w:cs="Arial"/>
                <w:sz w:val="16"/>
                <w:szCs w:val="16"/>
                <w:lang w:eastAsia="en-CA"/>
              </w:rPr>
            </w:pPr>
            <w:r>
              <w:rPr>
                <w:rFonts w:cs="Arial"/>
                <w:sz w:val="16"/>
                <w:szCs w:val="16"/>
                <w:lang w:eastAsia="en-CA"/>
              </w:rPr>
              <w:t>0.</w:t>
            </w:r>
            <w:r w:rsidR="005B596A">
              <w:rPr>
                <w:rFonts w:cs="Arial"/>
                <w:sz w:val="16"/>
                <w:szCs w:val="16"/>
                <w:lang w:eastAsia="en-CA"/>
              </w:rPr>
              <w:t>16</w:t>
            </w:r>
          </w:p>
        </w:tc>
      </w:tr>
      <w:tr w:rsidR="00A71C6E" w:rsidRPr="00597A58" w:rsidTr="0089059A">
        <w:trPr>
          <w:trHeight w:val="74"/>
          <w:jc w:val="center"/>
        </w:trPr>
        <w:tc>
          <w:tcPr>
            <w:tcW w:w="794" w:type="dxa"/>
            <w:tcBorders>
              <w:top w:val="nil"/>
              <w:left w:val="nil"/>
              <w:bottom w:val="nil"/>
              <w:right w:val="nil"/>
            </w:tcBorders>
            <w:shd w:val="clear" w:color="auto" w:fill="auto"/>
            <w:noWrap/>
            <w:vAlign w:val="bottom"/>
            <w:hideMark/>
          </w:tcPr>
          <w:p w:rsidR="00A71C6E" w:rsidRPr="00597A58" w:rsidRDefault="00A71C6E" w:rsidP="00376B31">
            <w:pPr>
              <w:jc w:val="center"/>
              <w:rPr>
                <w:rFonts w:cs="Arial"/>
                <w:sz w:val="16"/>
                <w:szCs w:val="16"/>
                <w:lang w:eastAsia="en-CA"/>
              </w:rPr>
            </w:pPr>
            <w:r>
              <w:rPr>
                <w:rFonts w:cs="Arial"/>
                <w:sz w:val="16"/>
                <w:szCs w:val="16"/>
                <w:lang w:eastAsia="en-CA"/>
              </w:rPr>
              <w:t>NMFS</w:t>
            </w:r>
          </w:p>
        </w:tc>
        <w:tc>
          <w:tcPr>
            <w:tcW w:w="951" w:type="dxa"/>
            <w:tcBorders>
              <w:top w:val="nil"/>
              <w:left w:val="nil"/>
              <w:bottom w:val="nil"/>
              <w:right w:val="nil"/>
            </w:tcBorders>
            <w:shd w:val="clear" w:color="auto" w:fill="auto"/>
            <w:noWrap/>
            <w:vAlign w:val="bottom"/>
            <w:hideMark/>
          </w:tcPr>
          <w:p w:rsidR="00A71C6E" w:rsidRPr="00597A58" w:rsidRDefault="00A71C6E" w:rsidP="00376B31">
            <w:pPr>
              <w:jc w:val="center"/>
              <w:rPr>
                <w:rFonts w:cs="Arial"/>
                <w:sz w:val="16"/>
                <w:szCs w:val="16"/>
                <w:lang w:eastAsia="en-CA"/>
              </w:rPr>
            </w:pPr>
            <w:r>
              <w:rPr>
                <w:rFonts w:cs="Arial"/>
                <w:sz w:val="16"/>
                <w:szCs w:val="16"/>
                <w:lang w:eastAsia="en-CA"/>
              </w:rPr>
              <w:t>Fall</w:t>
            </w:r>
          </w:p>
        </w:tc>
        <w:tc>
          <w:tcPr>
            <w:tcW w:w="1135" w:type="dxa"/>
            <w:tcBorders>
              <w:top w:val="nil"/>
              <w:left w:val="nil"/>
              <w:bottom w:val="nil"/>
              <w:right w:val="nil"/>
            </w:tcBorders>
            <w:shd w:val="clear" w:color="auto" w:fill="auto"/>
            <w:noWrap/>
            <w:vAlign w:val="bottom"/>
            <w:hideMark/>
          </w:tcPr>
          <w:p w:rsidR="00A71C6E" w:rsidRPr="00597A58" w:rsidRDefault="005E7D9B" w:rsidP="00376B31">
            <w:pPr>
              <w:jc w:val="center"/>
              <w:rPr>
                <w:rFonts w:cs="Arial"/>
                <w:sz w:val="16"/>
                <w:szCs w:val="16"/>
                <w:lang w:eastAsia="en-CA"/>
              </w:rPr>
            </w:pPr>
            <w:r>
              <w:rPr>
                <w:rFonts w:cs="Arial"/>
                <w:sz w:val="16"/>
                <w:szCs w:val="16"/>
                <w:lang w:eastAsia="en-CA"/>
              </w:rPr>
              <w:t>1978</w:t>
            </w:r>
            <w:r w:rsidR="0089059A">
              <w:rPr>
                <w:rFonts w:cs="Arial"/>
                <w:sz w:val="16"/>
                <w:szCs w:val="16"/>
                <w:lang w:eastAsia="en-CA"/>
              </w:rPr>
              <w:t>–</w:t>
            </w:r>
            <w:r>
              <w:rPr>
                <w:rFonts w:cs="Arial"/>
                <w:sz w:val="16"/>
                <w:szCs w:val="16"/>
                <w:lang w:eastAsia="en-CA"/>
              </w:rPr>
              <w:t>1982</w:t>
            </w:r>
          </w:p>
        </w:tc>
        <w:tc>
          <w:tcPr>
            <w:tcW w:w="1359" w:type="dxa"/>
            <w:tcBorders>
              <w:top w:val="nil"/>
              <w:left w:val="nil"/>
              <w:bottom w:val="nil"/>
              <w:right w:val="nil"/>
            </w:tcBorders>
            <w:shd w:val="clear" w:color="auto" w:fill="auto"/>
            <w:noWrap/>
            <w:vAlign w:val="bottom"/>
            <w:hideMark/>
          </w:tcPr>
          <w:p w:rsidR="00A71C6E" w:rsidRPr="00597A58" w:rsidRDefault="005E7D9B" w:rsidP="00376B31">
            <w:pPr>
              <w:jc w:val="center"/>
              <w:rPr>
                <w:rFonts w:cs="Arial"/>
                <w:sz w:val="16"/>
                <w:szCs w:val="16"/>
                <w:lang w:eastAsia="en-CA"/>
              </w:rPr>
            </w:pPr>
            <w:r>
              <w:rPr>
                <w:rFonts w:cs="Arial"/>
                <w:sz w:val="16"/>
                <w:szCs w:val="16"/>
                <w:lang w:eastAsia="en-CA"/>
              </w:rPr>
              <w:t>2014</w:t>
            </w:r>
            <w:r w:rsidR="0089059A">
              <w:rPr>
                <w:rFonts w:cs="Arial"/>
                <w:sz w:val="16"/>
                <w:szCs w:val="16"/>
                <w:lang w:eastAsia="en-CA"/>
              </w:rPr>
              <w:t>–</w:t>
            </w:r>
            <w:r>
              <w:rPr>
                <w:rFonts w:cs="Arial"/>
                <w:sz w:val="16"/>
                <w:szCs w:val="16"/>
                <w:lang w:eastAsia="en-CA"/>
              </w:rPr>
              <w:t>2018</w:t>
            </w:r>
          </w:p>
        </w:tc>
        <w:tc>
          <w:tcPr>
            <w:tcW w:w="973" w:type="dxa"/>
            <w:tcBorders>
              <w:top w:val="nil"/>
              <w:left w:val="nil"/>
              <w:bottom w:val="nil"/>
              <w:right w:val="nil"/>
            </w:tcBorders>
            <w:shd w:val="clear" w:color="auto" w:fill="auto"/>
            <w:noWrap/>
            <w:vAlign w:val="bottom"/>
            <w:hideMark/>
          </w:tcPr>
          <w:p w:rsidR="00A71C6E" w:rsidRPr="00597A58" w:rsidRDefault="005E7D9B" w:rsidP="00376B31">
            <w:pPr>
              <w:jc w:val="center"/>
              <w:rPr>
                <w:rFonts w:cs="Arial"/>
                <w:sz w:val="16"/>
                <w:szCs w:val="16"/>
                <w:lang w:eastAsia="en-CA"/>
              </w:rPr>
            </w:pPr>
            <w:r>
              <w:rPr>
                <w:rFonts w:cs="Arial"/>
                <w:sz w:val="16"/>
                <w:szCs w:val="16"/>
                <w:lang w:eastAsia="en-CA"/>
              </w:rPr>
              <w:t>6,753</w:t>
            </w:r>
          </w:p>
        </w:tc>
        <w:tc>
          <w:tcPr>
            <w:tcW w:w="973" w:type="dxa"/>
            <w:tcBorders>
              <w:top w:val="nil"/>
              <w:left w:val="nil"/>
              <w:bottom w:val="nil"/>
              <w:right w:val="nil"/>
            </w:tcBorders>
            <w:shd w:val="clear" w:color="auto" w:fill="auto"/>
            <w:noWrap/>
            <w:vAlign w:val="bottom"/>
            <w:hideMark/>
          </w:tcPr>
          <w:p w:rsidR="00A71C6E" w:rsidRPr="00597A58" w:rsidRDefault="005E7D9B" w:rsidP="00376B31">
            <w:pPr>
              <w:jc w:val="center"/>
              <w:rPr>
                <w:rFonts w:cs="Arial"/>
                <w:sz w:val="16"/>
                <w:szCs w:val="16"/>
                <w:lang w:eastAsia="en-CA"/>
              </w:rPr>
            </w:pPr>
            <w:r>
              <w:rPr>
                <w:rFonts w:cs="Arial"/>
                <w:sz w:val="16"/>
                <w:szCs w:val="16"/>
                <w:lang w:eastAsia="en-CA"/>
              </w:rPr>
              <w:t>3,047</w:t>
            </w:r>
          </w:p>
        </w:tc>
        <w:tc>
          <w:tcPr>
            <w:tcW w:w="945" w:type="dxa"/>
            <w:tcBorders>
              <w:top w:val="nil"/>
              <w:left w:val="nil"/>
              <w:bottom w:val="nil"/>
              <w:right w:val="nil"/>
            </w:tcBorders>
            <w:shd w:val="clear" w:color="auto" w:fill="auto"/>
            <w:noWrap/>
            <w:vAlign w:val="bottom"/>
            <w:hideMark/>
          </w:tcPr>
          <w:p w:rsidR="00A71C6E" w:rsidRPr="00597A58" w:rsidRDefault="005E7D9B" w:rsidP="005B596A">
            <w:pPr>
              <w:jc w:val="center"/>
              <w:rPr>
                <w:rFonts w:cs="Arial"/>
                <w:sz w:val="16"/>
                <w:szCs w:val="16"/>
                <w:lang w:eastAsia="en-CA"/>
              </w:rPr>
            </w:pPr>
            <w:r>
              <w:rPr>
                <w:rFonts w:cs="Arial"/>
                <w:sz w:val="16"/>
                <w:szCs w:val="16"/>
                <w:lang w:eastAsia="en-CA"/>
              </w:rPr>
              <w:t>0.</w:t>
            </w:r>
            <w:r w:rsidR="005B596A">
              <w:rPr>
                <w:rFonts w:cs="Arial"/>
                <w:sz w:val="16"/>
                <w:szCs w:val="16"/>
                <w:lang w:eastAsia="en-CA"/>
              </w:rPr>
              <w:t>45</w:t>
            </w:r>
          </w:p>
        </w:tc>
      </w:tr>
    </w:tbl>
    <w:p w:rsidR="00A71C6E" w:rsidRPr="008E4494" w:rsidRDefault="00711E52" w:rsidP="00944DAB">
      <w:pPr>
        <w:pStyle w:val="Caption-Table"/>
        <w:rPr>
          <w:szCs w:val="18"/>
        </w:rPr>
      </w:pPr>
      <w:bookmarkStart w:id="18" w:name="_Ref11674713"/>
      <w:bookmarkStart w:id="19" w:name="_Ref11674691"/>
      <w:r w:rsidRPr="008E4494">
        <w:t xml:space="preserve">Table </w:t>
      </w:r>
      <w:r w:rsidR="00343416" w:rsidRPr="008E4494">
        <w:fldChar w:fldCharType="begin"/>
      </w:r>
      <w:r w:rsidR="00343416" w:rsidRPr="008E4494">
        <w:instrText xml:space="preserve"> SEQ Table \* ARABIC </w:instrText>
      </w:r>
      <w:r w:rsidR="00343416" w:rsidRPr="008E4494">
        <w:fldChar w:fldCharType="separate"/>
      </w:r>
      <w:r w:rsidR="004744A1">
        <w:rPr>
          <w:noProof/>
        </w:rPr>
        <w:t>4</w:t>
      </w:r>
      <w:r w:rsidR="00343416" w:rsidRPr="008E4494">
        <w:rPr>
          <w:noProof/>
        </w:rPr>
        <w:fldChar w:fldCharType="end"/>
      </w:r>
      <w:bookmarkEnd w:id="18"/>
      <w:r w:rsidRPr="008E4494">
        <w:t xml:space="preserve">. </w:t>
      </w:r>
      <w:r w:rsidRPr="008E4494">
        <w:rPr>
          <w:u w:color="000000"/>
        </w:rPr>
        <w:t xml:space="preserve">Growth parameters used in all Operating Models. </w:t>
      </w:r>
      <w:proofErr w:type="spellStart"/>
      <w:r w:rsidRPr="008E4494">
        <w:rPr>
          <w:u w:color="000000"/>
        </w:rPr>
        <w:t>Y_Derived</w:t>
      </w:r>
      <w:proofErr w:type="spellEnd"/>
      <w:r w:rsidRPr="008E4494">
        <w:rPr>
          <w:u w:color="000000"/>
        </w:rPr>
        <w:t xml:space="preserve"> refers to the years of survey data used in the calculation; </w:t>
      </w:r>
      <w:proofErr w:type="spellStart"/>
      <w:r w:rsidRPr="008E4494">
        <w:rPr>
          <w:u w:color="000000"/>
        </w:rPr>
        <w:t>Y_Applied</w:t>
      </w:r>
      <w:proofErr w:type="spellEnd"/>
      <w:r w:rsidRPr="008E4494">
        <w:rPr>
          <w:u w:color="000000"/>
        </w:rPr>
        <w:t xml:space="preserve"> refers to the years the parameter applies to in the simulation.</w:t>
      </w:r>
      <w:bookmarkEnd w:id="19"/>
    </w:p>
    <w:tbl>
      <w:tblPr>
        <w:tblW w:w="5857" w:type="dxa"/>
        <w:jc w:val="center"/>
        <w:tblLook w:val="04A0" w:firstRow="1" w:lastRow="0" w:firstColumn="1" w:lastColumn="0" w:noHBand="0" w:noVBand="1"/>
      </w:tblPr>
      <w:tblGrid>
        <w:gridCol w:w="1067"/>
        <w:gridCol w:w="1167"/>
        <w:gridCol w:w="1067"/>
        <w:gridCol w:w="1492"/>
        <w:gridCol w:w="1328"/>
      </w:tblGrid>
      <w:tr w:rsidR="00711E52" w:rsidRPr="006747A1" w:rsidTr="00944DAB">
        <w:trPr>
          <w:trHeight w:val="106"/>
          <w:tblHeader/>
          <w:jc w:val="center"/>
        </w:trPr>
        <w:tc>
          <w:tcPr>
            <w:tcW w:w="973" w:type="dxa"/>
            <w:tcBorders>
              <w:top w:val="single" w:sz="8" w:space="0" w:color="auto"/>
              <w:left w:val="nil"/>
              <w:bottom w:val="single" w:sz="8" w:space="0" w:color="auto"/>
              <w:right w:val="nil"/>
            </w:tcBorders>
            <w:shd w:val="clear" w:color="auto" w:fill="auto"/>
            <w:noWrap/>
            <w:vAlign w:val="bottom"/>
            <w:hideMark/>
          </w:tcPr>
          <w:p w:rsidR="00711E52" w:rsidRPr="006747A1" w:rsidRDefault="00711E52" w:rsidP="00E56A20">
            <w:pPr>
              <w:jc w:val="center"/>
              <w:rPr>
                <w:rFonts w:cs="Arial"/>
                <w:b/>
                <w:bCs/>
                <w:sz w:val="18"/>
                <w:szCs w:val="16"/>
                <w:lang w:eastAsia="en-CA"/>
              </w:rPr>
            </w:pPr>
            <w:proofErr w:type="spellStart"/>
            <w:r w:rsidRPr="006747A1">
              <w:rPr>
                <w:rFonts w:cs="Arial"/>
                <w:b/>
                <w:bCs/>
                <w:sz w:val="18"/>
                <w:szCs w:val="16"/>
                <w:lang w:eastAsia="en-CA"/>
              </w:rPr>
              <w:t>L</w:t>
            </w:r>
            <w:r w:rsidRPr="00D2392D">
              <w:rPr>
                <w:rFonts w:cs="Arial"/>
                <w:b/>
                <w:bCs/>
                <w:sz w:val="18"/>
                <w:szCs w:val="16"/>
                <w:vertAlign w:val="subscript"/>
                <w:lang w:eastAsia="en-CA"/>
              </w:rPr>
              <w:t>inf</w:t>
            </w:r>
            <w:proofErr w:type="spellEnd"/>
          </w:p>
        </w:tc>
        <w:tc>
          <w:tcPr>
            <w:tcW w:w="1062" w:type="dxa"/>
            <w:tcBorders>
              <w:top w:val="single" w:sz="8" w:space="0" w:color="auto"/>
              <w:left w:val="nil"/>
              <w:bottom w:val="single" w:sz="8" w:space="0" w:color="auto"/>
              <w:right w:val="nil"/>
            </w:tcBorders>
            <w:shd w:val="clear" w:color="auto" w:fill="auto"/>
            <w:noWrap/>
            <w:vAlign w:val="bottom"/>
            <w:hideMark/>
          </w:tcPr>
          <w:p w:rsidR="00711E52" w:rsidRPr="006747A1" w:rsidRDefault="00711E52" w:rsidP="00E56A20">
            <w:pPr>
              <w:jc w:val="center"/>
              <w:rPr>
                <w:rFonts w:cs="Arial"/>
                <w:b/>
                <w:bCs/>
                <w:sz w:val="18"/>
                <w:szCs w:val="16"/>
                <w:lang w:eastAsia="en-CA"/>
              </w:rPr>
            </w:pPr>
            <w:r w:rsidRPr="006747A1">
              <w:rPr>
                <w:rFonts w:cs="Arial"/>
                <w:b/>
                <w:bCs/>
                <w:sz w:val="18"/>
                <w:szCs w:val="16"/>
                <w:lang w:eastAsia="en-CA"/>
              </w:rPr>
              <w:t>K</w:t>
            </w:r>
          </w:p>
        </w:tc>
        <w:tc>
          <w:tcPr>
            <w:tcW w:w="1002" w:type="dxa"/>
            <w:tcBorders>
              <w:top w:val="single" w:sz="8" w:space="0" w:color="auto"/>
              <w:left w:val="nil"/>
              <w:bottom w:val="single" w:sz="8" w:space="0" w:color="auto"/>
              <w:right w:val="nil"/>
            </w:tcBorders>
            <w:shd w:val="clear" w:color="auto" w:fill="auto"/>
            <w:noWrap/>
            <w:vAlign w:val="bottom"/>
            <w:hideMark/>
          </w:tcPr>
          <w:p w:rsidR="00711E52" w:rsidRPr="006747A1" w:rsidRDefault="00711E52" w:rsidP="00E56A20">
            <w:pPr>
              <w:jc w:val="center"/>
              <w:rPr>
                <w:rFonts w:cs="Arial"/>
                <w:b/>
                <w:bCs/>
                <w:sz w:val="18"/>
                <w:szCs w:val="16"/>
                <w:lang w:eastAsia="en-CA"/>
              </w:rPr>
            </w:pPr>
            <w:r w:rsidRPr="006747A1">
              <w:rPr>
                <w:rFonts w:cs="Arial"/>
                <w:b/>
                <w:bCs/>
                <w:sz w:val="18"/>
                <w:szCs w:val="16"/>
                <w:lang w:eastAsia="en-CA"/>
              </w:rPr>
              <w:t>t</w:t>
            </w:r>
            <w:r w:rsidRPr="00D2392D">
              <w:rPr>
                <w:rFonts w:cs="Arial"/>
                <w:b/>
                <w:bCs/>
                <w:sz w:val="18"/>
                <w:szCs w:val="16"/>
                <w:vertAlign w:val="subscript"/>
                <w:lang w:eastAsia="en-CA"/>
              </w:rPr>
              <w:t>0</w:t>
            </w:r>
          </w:p>
        </w:tc>
        <w:tc>
          <w:tcPr>
            <w:tcW w:w="1492" w:type="dxa"/>
            <w:tcBorders>
              <w:top w:val="single" w:sz="8" w:space="0" w:color="auto"/>
              <w:left w:val="nil"/>
              <w:bottom w:val="single" w:sz="8" w:space="0" w:color="auto"/>
              <w:right w:val="nil"/>
            </w:tcBorders>
            <w:shd w:val="clear" w:color="auto" w:fill="auto"/>
            <w:noWrap/>
            <w:vAlign w:val="bottom"/>
            <w:hideMark/>
          </w:tcPr>
          <w:p w:rsidR="00711E52" w:rsidRPr="006747A1" w:rsidRDefault="00711E52" w:rsidP="00E56A20">
            <w:pPr>
              <w:jc w:val="center"/>
              <w:rPr>
                <w:rFonts w:cs="Arial"/>
                <w:b/>
                <w:bCs/>
                <w:sz w:val="18"/>
                <w:szCs w:val="16"/>
                <w:lang w:eastAsia="en-CA"/>
              </w:rPr>
            </w:pPr>
            <w:proofErr w:type="spellStart"/>
            <w:r w:rsidRPr="006747A1">
              <w:rPr>
                <w:rFonts w:cs="Arial"/>
                <w:b/>
                <w:bCs/>
                <w:sz w:val="18"/>
                <w:szCs w:val="16"/>
                <w:lang w:eastAsia="en-CA"/>
              </w:rPr>
              <w:t>Y_Derived</w:t>
            </w:r>
            <w:proofErr w:type="spellEnd"/>
          </w:p>
        </w:tc>
        <w:tc>
          <w:tcPr>
            <w:tcW w:w="1328" w:type="dxa"/>
            <w:tcBorders>
              <w:top w:val="single" w:sz="8" w:space="0" w:color="auto"/>
              <w:left w:val="nil"/>
              <w:bottom w:val="single" w:sz="8" w:space="0" w:color="auto"/>
              <w:right w:val="nil"/>
            </w:tcBorders>
            <w:shd w:val="clear" w:color="auto" w:fill="auto"/>
            <w:noWrap/>
            <w:vAlign w:val="bottom"/>
            <w:hideMark/>
          </w:tcPr>
          <w:p w:rsidR="00711E52" w:rsidRPr="006747A1" w:rsidRDefault="00711E52" w:rsidP="00E56A20">
            <w:pPr>
              <w:jc w:val="center"/>
              <w:rPr>
                <w:rFonts w:cs="Arial"/>
                <w:b/>
                <w:bCs/>
                <w:sz w:val="18"/>
                <w:szCs w:val="16"/>
                <w:lang w:eastAsia="en-CA"/>
              </w:rPr>
            </w:pPr>
            <w:proofErr w:type="spellStart"/>
            <w:r w:rsidRPr="006747A1">
              <w:rPr>
                <w:rFonts w:cs="Arial"/>
                <w:b/>
                <w:bCs/>
                <w:sz w:val="18"/>
                <w:szCs w:val="16"/>
                <w:lang w:eastAsia="en-CA"/>
              </w:rPr>
              <w:t>Y_Applied</w:t>
            </w:r>
            <w:proofErr w:type="spellEnd"/>
          </w:p>
        </w:tc>
      </w:tr>
      <w:tr w:rsidR="00711E52" w:rsidRPr="006747A1" w:rsidTr="00E56A20">
        <w:trPr>
          <w:trHeight w:val="180"/>
          <w:jc w:val="center"/>
        </w:trPr>
        <w:tc>
          <w:tcPr>
            <w:tcW w:w="973" w:type="dxa"/>
            <w:tcBorders>
              <w:top w:val="nil"/>
              <w:left w:val="nil"/>
              <w:bottom w:val="nil"/>
              <w:right w:val="nil"/>
            </w:tcBorders>
            <w:shd w:val="clear" w:color="auto" w:fill="auto"/>
            <w:noWrap/>
            <w:vAlign w:val="bottom"/>
            <w:hideMark/>
          </w:tcPr>
          <w:p w:rsidR="00711E52" w:rsidRPr="006747A1" w:rsidRDefault="00711E52" w:rsidP="00E56A20">
            <w:pPr>
              <w:jc w:val="center"/>
              <w:rPr>
                <w:rFonts w:cs="Arial"/>
                <w:bCs/>
                <w:sz w:val="18"/>
                <w:szCs w:val="16"/>
                <w:lang w:eastAsia="en-CA"/>
              </w:rPr>
            </w:pPr>
            <w:r w:rsidRPr="006747A1">
              <w:rPr>
                <w:rFonts w:cs="Arial"/>
                <w:bCs/>
                <w:sz w:val="18"/>
                <w:szCs w:val="16"/>
                <w:lang w:eastAsia="en-CA"/>
              </w:rPr>
              <w:t>123.31449</w:t>
            </w:r>
          </w:p>
        </w:tc>
        <w:tc>
          <w:tcPr>
            <w:tcW w:w="1062" w:type="dxa"/>
            <w:tcBorders>
              <w:top w:val="nil"/>
              <w:left w:val="nil"/>
              <w:bottom w:val="nil"/>
              <w:right w:val="nil"/>
            </w:tcBorders>
            <w:shd w:val="clear" w:color="auto" w:fill="auto"/>
            <w:noWrap/>
            <w:vAlign w:val="bottom"/>
            <w:hideMark/>
          </w:tcPr>
          <w:p w:rsidR="00711E52" w:rsidRPr="006747A1" w:rsidRDefault="00711E52" w:rsidP="00E56A20">
            <w:pPr>
              <w:jc w:val="center"/>
              <w:rPr>
                <w:rFonts w:cs="Arial"/>
                <w:bCs/>
                <w:sz w:val="18"/>
                <w:szCs w:val="16"/>
                <w:lang w:eastAsia="en-CA"/>
              </w:rPr>
            </w:pPr>
            <w:r w:rsidRPr="006747A1">
              <w:rPr>
                <w:rFonts w:cs="Arial"/>
                <w:bCs/>
                <w:sz w:val="18"/>
                <w:szCs w:val="16"/>
                <w:lang w:eastAsia="en-CA"/>
              </w:rPr>
              <w:t>0.19029521</w:t>
            </w:r>
          </w:p>
        </w:tc>
        <w:tc>
          <w:tcPr>
            <w:tcW w:w="1002" w:type="dxa"/>
            <w:tcBorders>
              <w:top w:val="nil"/>
              <w:left w:val="nil"/>
              <w:bottom w:val="nil"/>
              <w:right w:val="nil"/>
            </w:tcBorders>
            <w:shd w:val="clear" w:color="auto" w:fill="auto"/>
            <w:noWrap/>
            <w:vAlign w:val="bottom"/>
            <w:hideMark/>
          </w:tcPr>
          <w:p w:rsidR="00711E52" w:rsidRPr="006747A1" w:rsidRDefault="00711E52" w:rsidP="00E56A20">
            <w:pPr>
              <w:jc w:val="center"/>
              <w:rPr>
                <w:rFonts w:cs="Arial"/>
                <w:bCs/>
                <w:sz w:val="18"/>
                <w:szCs w:val="16"/>
                <w:lang w:eastAsia="en-CA"/>
              </w:rPr>
            </w:pPr>
            <w:r w:rsidRPr="006747A1">
              <w:rPr>
                <w:rFonts w:cs="Arial"/>
                <w:bCs/>
                <w:sz w:val="18"/>
                <w:szCs w:val="16"/>
                <w:lang w:eastAsia="en-CA"/>
              </w:rPr>
              <w:t>0.0465196</w:t>
            </w:r>
          </w:p>
        </w:tc>
        <w:tc>
          <w:tcPr>
            <w:tcW w:w="1492" w:type="dxa"/>
            <w:tcBorders>
              <w:top w:val="nil"/>
              <w:left w:val="nil"/>
              <w:bottom w:val="nil"/>
              <w:right w:val="nil"/>
            </w:tcBorders>
            <w:shd w:val="clear" w:color="auto" w:fill="auto"/>
            <w:noWrap/>
            <w:vAlign w:val="bottom"/>
            <w:hideMark/>
          </w:tcPr>
          <w:p w:rsidR="00711E52" w:rsidRPr="006747A1" w:rsidRDefault="00711E52" w:rsidP="00E56A20">
            <w:pPr>
              <w:jc w:val="center"/>
              <w:rPr>
                <w:rFonts w:cs="Arial"/>
                <w:bCs/>
                <w:sz w:val="18"/>
                <w:szCs w:val="16"/>
                <w:lang w:eastAsia="en-CA"/>
              </w:rPr>
            </w:pPr>
            <w:r w:rsidRPr="006747A1">
              <w:rPr>
                <w:rFonts w:cs="Arial"/>
                <w:bCs/>
                <w:sz w:val="18"/>
                <w:szCs w:val="16"/>
                <w:lang w:eastAsia="en-CA"/>
              </w:rPr>
              <w:t>1978</w:t>
            </w:r>
            <w:r w:rsidR="0089059A">
              <w:rPr>
                <w:rFonts w:cs="Arial"/>
                <w:bCs/>
                <w:sz w:val="18"/>
                <w:szCs w:val="16"/>
                <w:lang w:eastAsia="en-CA"/>
              </w:rPr>
              <w:t>–</w:t>
            </w:r>
            <w:r w:rsidRPr="006747A1">
              <w:rPr>
                <w:rFonts w:cs="Arial"/>
                <w:bCs/>
                <w:sz w:val="18"/>
                <w:szCs w:val="16"/>
                <w:lang w:eastAsia="en-CA"/>
              </w:rPr>
              <w:t>1996</w:t>
            </w:r>
          </w:p>
        </w:tc>
        <w:tc>
          <w:tcPr>
            <w:tcW w:w="1328" w:type="dxa"/>
            <w:tcBorders>
              <w:top w:val="nil"/>
              <w:left w:val="nil"/>
              <w:bottom w:val="nil"/>
              <w:right w:val="nil"/>
            </w:tcBorders>
            <w:shd w:val="clear" w:color="auto" w:fill="auto"/>
            <w:noWrap/>
            <w:vAlign w:val="bottom"/>
            <w:hideMark/>
          </w:tcPr>
          <w:p w:rsidR="00711E52" w:rsidRPr="006747A1" w:rsidRDefault="00711E52" w:rsidP="00E56A20">
            <w:pPr>
              <w:jc w:val="center"/>
              <w:rPr>
                <w:rFonts w:cs="Arial"/>
                <w:bCs/>
                <w:sz w:val="18"/>
                <w:szCs w:val="16"/>
                <w:lang w:eastAsia="en-CA"/>
              </w:rPr>
            </w:pPr>
            <w:r w:rsidRPr="006747A1">
              <w:rPr>
                <w:rFonts w:cs="Arial"/>
                <w:bCs/>
                <w:sz w:val="18"/>
                <w:szCs w:val="16"/>
                <w:lang w:eastAsia="en-CA"/>
              </w:rPr>
              <w:t>1978</w:t>
            </w:r>
            <w:r w:rsidR="0089059A">
              <w:rPr>
                <w:rFonts w:cs="Arial"/>
                <w:bCs/>
                <w:sz w:val="18"/>
                <w:szCs w:val="16"/>
                <w:lang w:eastAsia="en-CA"/>
              </w:rPr>
              <w:t>–</w:t>
            </w:r>
            <w:r w:rsidRPr="006747A1">
              <w:rPr>
                <w:rFonts w:cs="Arial"/>
                <w:bCs/>
                <w:sz w:val="18"/>
                <w:szCs w:val="16"/>
                <w:lang w:eastAsia="en-CA"/>
              </w:rPr>
              <w:t>1999</w:t>
            </w:r>
          </w:p>
        </w:tc>
      </w:tr>
      <w:tr w:rsidR="00711E52" w:rsidRPr="006747A1" w:rsidTr="00E56A20">
        <w:trPr>
          <w:trHeight w:val="120"/>
          <w:jc w:val="center"/>
        </w:trPr>
        <w:tc>
          <w:tcPr>
            <w:tcW w:w="973" w:type="dxa"/>
            <w:tcBorders>
              <w:top w:val="nil"/>
              <w:left w:val="nil"/>
              <w:bottom w:val="nil"/>
              <w:right w:val="nil"/>
            </w:tcBorders>
            <w:shd w:val="clear" w:color="auto" w:fill="auto"/>
            <w:noWrap/>
            <w:vAlign w:val="bottom"/>
            <w:hideMark/>
          </w:tcPr>
          <w:p w:rsidR="00711E52" w:rsidRPr="006747A1" w:rsidRDefault="00711E52" w:rsidP="00E56A20">
            <w:pPr>
              <w:jc w:val="center"/>
              <w:rPr>
                <w:rFonts w:cs="Arial"/>
                <w:sz w:val="18"/>
                <w:szCs w:val="16"/>
                <w:lang w:eastAsia="en-CA"/>
              </w:rPr>
            </w:pPr>
            <w:r w:rsidRPr="006747A1">
              <w:rPr>
                <w:rFonts w:cs="Arial"/>
                <w:sz w:val="18"/>
                <w:szCs w:val="16"/>
                <w:lang w:eastAsia="en-CA"/>
              </w:rPr>
              <w:t xml:space="preserve">98.11706 </w:t>
            </w:r>
          </w:p>
        </w:tc>
        <w:tc>
          <w:tcPr>
            <w:tcW w:w="1062" w:type="dxa"/>
            <w:tcBorders>
              <w:top w:val="nil"/>
              <w:left w:val="nil"/>
              <w:bottom w:val="nil"/>
              <w:right w:val="nil"/>
            </w:tcBorders>
            <w:shd w:val="clear" w:color="auto" w:fill="auto"/>
            <w:noWrap/>
            <w:vAlign w:val="bottom"/>
            <w:hideMark/>
          </w:tcPr>
          <w:p w:rsidR="00711E52" w:rsidRPr="006747A1" w:rsidRDefault="00711E52" w:rsidP="00E56A20">
            <w:pPr>
              <w:jc w:val="center"/>
              <w:rPr>
                <w:rFonts w:cs="Arial"/>
                <w:sz w:val="18"/>
                <w:szCs w:val="16"/>
                <w:lang w:eastAsia="en-CA"/>
              </w:rPr>
            </w:pPr>
            <w:r w:rsidRPr="006747A1">
              <w:rPr>
                <w:rFonts w:cs="Arial"/>
                <w:sz w:val="18"/>
                <w:szCs w:val="16"/>
                <w:lang w:eastAsia="en-CA"/>
              </w:rPr>
              <w:t>0.23355910</w:t>
            </w:r>
          </w:p>
        </w:tc>
        <w:tc>
          <w:tcPr>
            <w:tcW w:w="1002" w:type="dxa"/>
            <w:tcBorders>
              <w:top w:val="nil"/>
              <w:left w:val="nil"/>
              <w:bottom w:val="nil"/>
              <w:right w:val="nil"/>
            </w:tcBorders>
            <w:shd w:val="clear" w:color="auto" w:fill="auto"/>
            <w:noWrap/>
            <w:vAlign w:val="bottom"/>
            <w:hideMark/>
          </w:tcPr>
          <w:p w:rsidR="00711E52" w:rsidRPr="006747A1" w:rsidRDefault="00711E52" w:rsidP="00E56A20">
            <w:pPr>
              <w:jc w:val="center"/>
              <w:rPr>
                <w:rFonts w:cs="Arial"/>
                <w:sz w:val="18"/>
                <w:szCs w:val="16"/>
                <w:lang w:eastAsia="en-CA"/>
              </w:rPr>
            </w:pPr>
            <w:r w:rsidRPr="006747A1">
              <w:rPr>
                <w:rFonts w:cs="Arial"/>
                <w:sz w:val="18"/>
                <w:szCs w:val="16"/>
                <w:lang w:eastAsia="en-CA"/>
              </w:rPr>
              <w:t>0.1896580</w:t>
            </w:r>
          </w:p>
        </w:tc>
        <w:tc>
          <w:tcPr>
            <w:tcW w:w="1492" w:type="dxa"/>
            <w:tcBorders>
              <w:top w:val="nil"/>
              <w:left w:val="nil"/>
              <w:bottom w:val="nil"/>
              <w:right w:val="nil"/>
            </w:tcBorders>
            <w:shd w:val="clear" w:color="auto" w:fill="auto"/>
            <w:noWrap/>
            <w:vAlign w:val="bottom"/>
            <w:hideMark/>
          </w:tcPr>
          <w:p w:rsidR="00711E52" w:rsidRPr="006747A1" w:rsidRDefault="00711E52" w:rsidP="00E56A20">
            <w:pPr>
              <w:jc w:val="center"/>
              <w:rPr>
                <w:rFonts w:cs="Arial"/>
                <w:sz w:val="18"/>
                <w:szCs w:val="16"/>
                <w:lang w:eastAsia="en-CA"/>
              </w:rPr>
            </w:pPr>
            <w:r w:rsidRPr="006747A1">
              <w:rPr>
                <w:rFonts w:cs="Arial"/>
                <w:sz w:val="18"/>
                <w:szCs w:val="16"/>
                <w:lang w:eastAsia="en-CA"/>
              </w:rPr>
              <w:t>2003</w:t>
            </w:r>
            <w:r w:rsidR="0089059A">
              <w:rPr>
                <w:rFonts w:cs="Arial"/>
                <w:sz w:val="18"/>
                <w:szCs w:val="16"/>
                <w:lang w:eastAsia="en-CA"/>
              </w:rPr>
              <w:t>–</w:t>
            </w:r>
            <w:r w:rsidRPr="006747A1">
              <w:rPr>
                <w:rFonts w:cs="Arial"/>
                <w:sz w:val="18"/>
                <w:szCs w:val="16"/>
                <w:lang w:eastAsia="en-CA"/>
              </w:rPr>
              <w:t>2019</w:t>
            </w:r>
          </w:p>
        </w:tc>
        <w:tc>
          <w:tcPr>
            <w:tcW w:w="1328" w:type="dxa"/>
            <w:tcBorders>
              <w:top w:val="nil"/>
              <w:left w:val="nil"/>
              <w:bottom w:val="nil"/>
              <w:right w:val="nil"/>
            </w:tcBorders>
            <w:shd w:val="clear" w:color="auto" w:fill="auto"/>
            <w:noWrap/>
            <w:vAlign w:val="bottom"/>
            <w:hideMark/>
          </w:tcPr>
          <w:p w:rsidR="00711E52" w:rsidRPr="006747A1" w:rsidRDefault="00711E52" w:rsidP="00E56A20">
            <w:pPr>
              <w:jc w:val="center"/>
              <w:rPr>
                <w:rFonts w:cs="Arial"/>
                <w:sz w:val="18"/>
                <w:szCs w:val="16"/>
                <w:lang w:eastAsia="en-CA"/>
              </w:rPr>
            </w:pPr>
            <w:r w:rsidRPr="006747A1">
              <w:rPr>
                <w:rFonts w:cs="Arial"/>
                <w:sz w:val="18"/>
                <w:szCs w:val="16"/>
                <w:lang w:eastAsia="en-CA"/>
              </w:rPr>
              <w:t>2000</w:t>
            </w:r>
            <w:r>
              <w:rPr>
                <w:rFonts w:cs="Arial"/>
                <w:sz w:val="18"/>
                <w:szCs w:val="16"/>
                <w:lang w:eastAsia="en-CA"/>
              </w:rPr>
              <w:t>+</w:t>
            </w:r>
          </w:p>
        </w:tc>
      </w:tr>
      <w:bookmarkEnd w:id="17"/>
    </w:tbl>
    <w:p w:rsidR="001D0528" w:rsidRDefault="001D0528">
      <w:r>
        <w:rPr>
          <w:b/>
        </w:rPr>
        <w:br w:type="page"/>
      </w:r>
    </w:p>
    <w:p w:rsidR="001D0528" w:rsidRDefault="001D0528" w:rsidP="001D0528">
      <w:pPr>
        <w:pStyle w:val="Heading1"/>
      </w:pPr>
      <w:bookmarkStart w:id="20" w:name="_Toc43212369"/>
      <w:r w:rsidRPr="00821FD2">
        <w:t>FIGURES</w:t>
      </w:r>
      <w:bookmarkEnd w:id="20"/>
    </w:p>
    <w:p w:rsidR="005A72BE" w:rsidRDefault="00804685" w:rsidP="00586861">
      <w:pPr>
        <w:jc w:val="center"/>
      </w:pPr>
      <w:r>
        <w:rPr>
          <w:noProof/>
        </w:rPr>
        <w:drawing>
          <wp:inline distT="0" distB="0" distL="0" distR="0" wp14:anchorId="5A763C9B" wp14:editId="447A3A89">
            <wp:extent cx="5972175" cy="5518150"/>
            <wp:effectExtent l="0" t="0" r="9525" b="6350"/>
            <wp:docPr id="19" name="Picture 19" descr="This figure is divided into 6 different graphs, each with years ranging from 1980 to 2015 along the x axis. The first graph shows Average relative fishing mortality (F) ranging from 0 to 1.2 along the Y axis and the graph beside it shows its relative retrospective patterns ranging from -0.6 to 0 along the Y axis. The third graph shows Spawning Stock Biomass (SSB) ranging from 0 to 2000 along the Y axis and the graph beside it shows its relative retrospective patterns ranging from 0 to 0.8. The fifth graph shows recruitment ranging from 0 to 50000 along the Y axis and the graph beside it shows its relative retrospective patterns ranging from -0.5 to 1.5." title="Figure 1. Retrospective patterns for Witch Flounder from proposed ASAP run in SAR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175" cy="5518150"/>
                    </a:xfrm>
                    <a:prstGeom prst="rect">
                      <a:avLst/>
                    </a:prstGeom>
                  </pic:spPr>
                </pic:pic>
              </a:graphicData>
            </a:graphic>
          </wp:inline>
        </w:drawing>
      </w:r>
    </w:p>
    <w:p w:rsidR="005A72BE" w:rsidRPr="00F64983" w:rsidRDefault="005A72BE" w:rsidP="00944DAB">
      <w:pPr>
        <w:pStyle w:val="Caption-Figure"/>
      </w:pPr>
      <w:bookmarkStart w:id="21" w:name="_Ref13037584"/>
      <w:r w:rsidRPr="00F64983">
        <w:t xml:space="preserve">Figure </w:t>
      </w:r>
      <w:fldSimple w:instr=" SEQ Figure \* ARABIC ">
        <w:r w:rsidR="004744A1">
          <w:rPr>
            <w:noProof/>
          </w:rPr>
          <w:t>1</w:t>
        </w:r>
      </w:fldSimple>
      <w:bookmarkEnd w:id="21"/>
      <w:r w:rsidRPr="00F64983">
        <w:t>. Re</w:t>
      </w:r>
      <w:r w:rsidR="0044003D">
        <w:t>trospective patterns for Witch F</w:t>
      </w:r>
      <w:r w:rsidRPr="00F64983">
        <w:t>lounder from proposed ASAP run in SARC 62.</w:t>
      </w:r>
    </w:p>
    <w:p w:rsidR="005A72BE" w:rsidRDefault="005A72BE" w:rsidP="005A72BE">
      <w:r>
        <w:br w:type="page"/>
      </w:r>
    </w:p>
    <w:p w:rsidR="005A72BE" w:rsidRDefault="005A72BE" w:rsidP="00F64983">
      <w:pPr>
        <w:jc w:val="center"/>
      </w:pPr>
      <w:r>
        <w:rPr>
          <w:noProof/>
        </w:rPr>
        <w:drawing>
          <wp:inline distT="0" distB="0" distL="0" distR="0" wp14:anchorId="6AC1710E" wp14:editId="1A1B28B0">
            <wp:extent cx="3657607" cy="3657607"/>
            <wp:effectExtent l="0" t="0" r="0" b="0"/>
            <wp:docPr id="6" name="Picture 6" descr="This graph shows relative fishing mortality (F) ranging from 0 to 3 along the Y axis and years ranging from 1980 to 2020 along the X axis. The orange trendline indicates fall survey data and the blue trendline indicates spring survey data. " title="Figure 2. Relative F (rescaled catch/survey) for Witch Flounder from SAR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F.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7" cy="3657607"/>
                    </a:xfrm>
                    <a:prstGeom prst="rect">
                      <a:avLst/>
                    </a:prstGeom>
                  </pic:spPr>
                </pic:pic>
              </a:graphicData>
            </a:graphic>
          </wp:inline>
        </w:drawing>
      </w:r>
    </w:p>
    <w:p w:rsidR="005A72BE" w:rsidRPr="00F64983" w:rsidRDefault="005A72BE" w:rsidP="000B5C01">
      <w:pPr>
        <w:pStyle w:val="Caption-Figure"/>
      </w:pPr>
      <w:bookmarkStart w:id="22" w:name="_Ref13037706"/>
      <w:r w:rsidRPr="00F64983">
        <w:t xml:space="preserve">Figure </w:t>
      </w:r>
      <w:fldSimple w:instr=" SEQ Figure \* ARABIC ">
        <w:r w:rsidR="004744A1">
          <w:rPr>
            <w:noProof/>
          </w:rPr>
          <w:t>2</w:t>
        </w:r>
      </w:fldSimple>
      <w:bookmarkEnd w:id="22"/>
      <w:r w:rsidRPr="00F64983">
        <w:t>. Relative</w:t>
      </w:r>
      <w:r w:rsidR="0033649D">
        <w:t xml:space="preserve"> F (rescaled catch/survey) for Witch F</w:t>
      </w:r>
      <w:r w:rsidRPr="00F64983">
        <w:t>lounder from SARC 62.</w:t>
      </w:r>
    </w:p>
    <w:p w:rsidR="005A72BE" w:rsidRDefault="005A72BE" w:rsidP="00F64983">
      <w:pPr>
        <w:jc w:val="center"/>
      </w:pPr>
      <w:r>
        <w:rPr>
          <w:noProof/>
        </w:rPr>
        <w:drawing>
          <wp:inline distT="0" distB="0" distL="0" distR="0" wp14:anchorId="1EF4B26B" wp14:editId="2C6D7B7A">
            <wp:extent cx="3657607" cy="3657607"/>
            <wp:effectExtent l="0" t="0" r="0" b="0"/>
            <wp:docPr id="7" name="Picture 7" descr="The Y axis shows total mortality from survey age composition (Sinclair Z) ranging from -1.0 to 1.5 and the X axis shows years ranging from 1980 to 2020. The orange trendline and orange shaded areas indicate fall survey data and the blue trendline and blue shaded areas indicate spring survey data. " title="Figure 3. Total mortality from survey age composition (Sinclair Z) for Witch Flounder from SAR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Z.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7" cy="3657607"/>
                    </a:xfrm>
                    <a:prstGeom prst="rect">
                      <a:avLst/>
                    </a:prstGeom>
                  </pic:spPr>
                </pic:pic>
              </a:graphicData>
            </a:graphic>
          </wp:inline>
        </w:drawing>
      </w:r>
    </w:p>
    <w:p w:rsidR="005A72BE" w:rsidRPr="00F64983" w:rsidRDefault="005A72BE" w:rsidP="00FF4225">
      <w:pPr>
        <w:pStyle w:val="Caption-Figure"/>
      </w:pPr>
      <w:bookmarkStart w:id="23" w:name="_Ref13037598"/>
      <w:r w:rsidRPr="00F64983">
        <w:t xml:space="preserve">Figure </w:t>
      </w:r>
      <w:fldSimple w:instr=" SEQ Figure \* ARABIC ">
        <w:r w:rsidR="004744A1">
          <w:rPr>
            <w:noProof/>
          </w:rPr>
          <w:t>3</w:t>
        </w:r>
      </w:fldSimple>
      <w:bookmarkEnd w:id="23"/>
      <w:r w:rsidRPr="00F64983">
        <w:t>. Total mortality from survey ag</w:t>
      </w:r>
      <w:r w:rsidR="0033649D">
        <w:t>e composition (Sinclair Z) for Witch F</w:t>
      </w:r>
      <w:r w:rsidRPr="00F64983">
        <w:t>lounder from SARC 62.</w:t>
      </w:r>
    </w:p>
    <w:p w:rsidR="005A72BE" w:rsidRDefault="005A72BE" w:rsidP="00586861">
      <w:pPr>
        <w:jc w:val="center"/>
      </w:pPr>
      <w:r>
        <w:rPr>
          <w:noProof/>
        </w:rPr>
        <w:drawing>
          <wp:inline distT="0" distB="0" distL="0" distR="0" wp14:anchorId="7F26D188" wp14:editId="0F4142EC">
            <wp:extent cx="5943600" cy="4318000"/>
            <wp:effectExtent l="0" t="0" r="0" b="6350"/>
            <wp:docPr id="8" name="Picture 8" descr="The Y axis shows spawning stock biomass (SSB) ranging from -0.25 to 0.7 and the X  axis shows Catch Multiplier ranging from 1 to 5. The orange trendline shows data in the year 2000, the yellow trendline shows data in 2005 and the green trendline shows data in 2010. " title="Figure 4. Mohn’s rho for spawning stock biomass (SSBrho) for Witch Flounder from SARC 62 under three change years and a range of catch multipliers applied across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plo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318000"/>
                    </a:xfrm>
                    <a:prstGeom prst="rect">
                      <a:avLst/>
                    </a:prstGeom>
                  </pic:spPr>
                </pic:pic>
              </a:graphicData>
            </a:graphic>
          </wp:inline>
        </w:drawing>
      </w:r>
    </w:p>
    <w:p w:rsidR="005A72BE" w:rsidRPr="00F64983" w:rsidRDefault="005A72BE" w:rsidP="00BA388B">
      <w:pPr>
        <w:pStyle w:val="Caption-Figure"/>
      </w:pPr>
      <w:bookmarkStart w:id="24" w:name="_Ref13037634"/>
      <w:r w:rsidRPr="00F64983">
        <w:t xml:space="preserve">Figure </w:t>
      </w:r>
      <w:fldSimple w:instr=" SEQ Figure \* ARABIC ">
        <w:r w:rsidR="004744A1">
          <w:rPr>
            <w:noProof/>
          </w:rPr>
          <w:t>4</w:t>
        </w:r>
      </w:fldSimple>
      <w:bookmarkEnd w:id="24"/>
      <w:r w:rsidRPr="00F64983">
        <w:t xml:space="preserve">. </w:t>
      </w:r>
      <w:proofErr w:type="spellStart"/>
      <w:r w:rsidRPr="00F64983">
        <w:t>Mohn’s</w:t>
      </w:r>
      <w:proofErr w:type="spellEnd"/>
      <w:r w:rsidRPr="00F64983">
        <w:t xml:space="preserve"> rho for spawn</w:t>
      </w:r>
      <w:r w:rsidR="0033649D">
        <w:t>ing stock biomass (</w:t>
      </w:r>
      <w:proofErr w:type="spellStart"/>
      <w:r w:rsidR="0033649D">
        <w:t>SSBrho</w:t>
      </w:r>
      <w:proofErr w:type="spellEnd"/>
      <w:r w:rsidR="0033649D">
        <w:t>) for Witch F</w:t>
      </w:r>
      <w:r w:rsidRPr="00F64983">
        <w:t>lounder from SARC 62 under three change years and a range of catch multipliers applied across all ages.</w:t>
      </w:r>
    </w:p>
    <w:p w:rsidR="005A72BE" w:rsidRDefault="005A72BE" w:rsidP="00586861">
      <w:pPr>
        <w:jc w:val="center"/>
      </w:pPr>
      <w:r>
        <w:rPr>
          <w:noProof/>
        </w:rPr>
        <w:drawing>
          <wp:inline distT="0" distB="0" distL="0" distR="0" wp14:anchorId="55B11C98" wp14:editId="06A2CA4A">
            <wp:extent cx="5943600" cy="4318000"/>
            <wp:effectExtent l="0" t="0" r="0" b="6350"/>
            <wp:docPr id="9" name="Picture 9" descr="The Y axis shows spawning stock biomass (SSB) ranging from -0.2 to 1.2 and the X axis shows Catch multiplier ranging from 1 to 5. The pale blue trendline indicates data from 2005 old ages and the turquoise trendline indicates data from 2005 young ages. " title="Figure 5. Mohn’s rho for spawning stock biomass (SSBrho) for Witch Flounder from SARC 62 under three change years and a range of catch multipliers applied across either young or old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plotflee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318000"/>
                    </a:xfrm>
                    <a:prstGeom prst="rect">
                      <a:avLst/>
                    </a:prstGeom>
                  </pic:spPr>
                </pic:pic>
              </a:graphicData>
            </a:graphic>
          </wp:inline>
        </w:drawing>
      </w:r>
    </w:p>
    <w:p w:rsidR="005A72BE" w:rsidRPr="00F64983" w:rsidRDefault="005A72BE" w:rsidP="001A0E78">
      <w:pPr>
        <w:pStyle w:val="Caption-Figure"/>
      </w:pPr>
      <w:bookmarkStart w:id="25" w:name="_Ref13037680"/>
      <w:r w:rsidRPr="00F64983">
        <w:t xml:space="preserve">Figure </w:t>
      </w:r>
      <w:fldSimple w:instr=" SEQ Figure \* ARABIC ">
        <w:r w:rsidR="004744A1">
          <w:rPr>
            <w:noProof/>
          </w:rPr>
          <w:t>5</w:t>
        </w:r>
      </w:fldSimple>
      <w:bookmarkEnd w:id="25"/>
      <w:r w:rsidRPr="00F64983">
        <w:t xml:space="preserve">. </w:t>
      </w:r>
      <w:proofErr w:type="spellStart"/>
      <w:r w:rsidRPr="00F64983">
        <w:t>Mohn’s</w:t>
      </w:r>
      <w:proofErr w:type="spellEnd"/>
      <w:r w:rsidRPr="00F64983">
        <w:t xml:space="preserve"> rho for spawn</w:t>
      </w:r>
      <w:r w:rsidR="0044003D">
        <w:t>ing stock biomass (</w:t>
      </w:r>
      <w:proofErr w:type="spellStart"/>
      <w:r w:rsidR="0044003D">
        <w:t>SSBrho</w:t>
      </w:r>
      <w:proofErr w:type="spellEnd"/>
      <w:r w:rsidR="0044003D">
        <w:t>) for Witch F</w:t>
      </w:r>
      <w:r w:rsidRPr="00F64983">
        <w:t>lounder from SARC 62 under three change years and a range of catch multipliers applied across either young or old ages.</w:t>
      </w:r>
    </w:p>
    <w:p w:rsidR="005A72BE" w:rsidRDefault="005A72BE" w:rsidP="00586861">
      <w:pPr>
        <w:jc w:val="center"/>
      </w:pPr>
      <w:r>
        <w:rPr>
          <w:noProof/>
        </w:rPr>
        <w:drawing>
          <wp:inline distT="0" distB="0" distL="0" distR="0" wp14:anchorId="2E372EE8" wp14:editId="160F52B3">
            <wp:extent cx="5943600" cy="4318000"/>
            <wp:effectExtent l="0" t="0" r="0" b="6350"/>
            <wp:docPr id="15" name="Picture 15" descr="The Y axis shows spawning stock biomass (SSB) ranging from -0.6 to 0.6 and the X axis shows Natural mortality multiplier ranging from 1 to 5. The black trendline indicates data from the year 2000, the dark grey trendline indicates data from 2005 and the light grey trendline indicates data from 2010. " title="Figure 6. Mohn’s rho for spawning stock biomass (SSBrho) for Witch Flounder from SARC 62 under three change years and a range of natural mortality multipliers applied across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plot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318000"/>
                    </a:xfrm>
                    <a:prstGeom prst="rect">
                      <a:avLst/>
                    </a:prstGeom>
                  </pic:spPr>
                </pic:pic>
              </a:graphicData>
            </a:graphic>
          </wp:inline>
        </w:drawing>
      </w:r>
    </w:p>
    <w:p w:rsidR="005A72BE" w:rsidRPr="00F64983" w:rsidRDefault="005A72BE" w:rsidP="00430F58">
      <w:pPr>
        <w:pStyle w:val="Caption-Figure"/>
      </w:pPr>
      <w:bookmarkStart w:id="26" w:name="_Ref13037641"/>
      <w:r w:rsidRPr="00F64983">
        <w:t xml:space="preserve">Figure </w:t>
      </w:r>
      <w:fldSimple w:instr=" SEQ Figure \* ARABIC ">
        <w:r w:rsidR="004744A1">
          <w:rPr>
            <w:noProof/>
          </w:rPr>
          <w:t>6</w:t>
        </w:r>
      </w:fldSimple>
      <w:bookmarkEnd w:id="26"/>
      <w:r w:rsidRPr="00F64983">
        <w:t xml:space="preserve">. </w:t>
      </w:r>
      <w:proofErr w:type="spellStart"/>
      <w:r w:rsidRPr="00F64983">
        <w:t>Mohn’s</w:t>
      </w:r>
      <w:proofErr w:type="spellEnd"/>
      <w:r w:rsidRPr="00F64983">
        <w:t xml:space="preserve"> rho for spawn</w:t>
      </w:r>
      <w:r w:rsidR="0033649D">
        <w:t>ing stock biomass (</w:t>
      </w:r>
      <w:proofErr w:type="spellStart"/>
      <w:r w:rsidR="0033649D">
        <w:t>SSBrho</w:t>
      </w:r>
      <w:proofErr w:type="spellEnd"/>
      <w:r w:rsidR="0033649D">
        <w:t>) for Witch F</w:t>
      </w:r>
      <w:r w:rsidRPr="00F64983">
        <w:t>lounder from SARC 62 under three change years and a range of natural mortality multipliers applied across all ages.</w:t>
      </w:r>
    </w:p>
    <w:p w:rsidR="005A72BE" w:rsidRDefault="005A72BE" w:rsidP="00586861">
      <w:pPr>
        <w:jc w:val="center"/>
      </w:pPr>
      <w:r>
        <w:rPr>
          <w:noProof/>
        </w:rPr>
        <w:drawing>
          <wp:inline distT="0" distB="0" distL="0" distR="0" wp14:anchorId="64E45D64" wp14:editId="27DFA04B">
            <wp:extent cx="5943600" cy="4318000"/>
            <wp:effectExtent l="0" t="0" r="0" b="6350"/>
            <wp:docPr id="11" name="Picture 11" descr="This figure is divided into four different graphs. Each of them has years along the X axis, ranging from 1980 to 2020. The first graph shows Catch ranging from 0 to 20000 along the Y axis, the second shows fishing mortality rate (F) ranging from 0 to 1.2, the third shows Recruits ranging from 0 to 120000 and the fourth shows spawning stock biomass (SSB) ranging from 0 to 30000. In each graph there are four trendlines representing different sources. There is a peach coloured one indicating 2000 Cx5, an orange one indicating 2005 Cx5, a green one indicating 2010 Cx2.5 and a pink one indicating base. " title="Figure 7. Catch, fishing mortality rate (F), recruits, and spawning stock biomass (SSB) time series for the base Witch Flounder assessment and three catch multipliers applied to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lo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318000"/>
                    </a:xfrm>
                    <a:prstGeom prst="rect">
                      <a:avLst/>
                    </a:prstGeom>
                  </pic:spPr>
                </pic:pic>
              </a:graphicData>
            </a:graphic>
          </wp:inline>
        </w:drawing>
      </w:r>
    </w:p>
    <w:p w:rsidR="005A72BE" w:rsidRPr="00F64983" w:rsidRDefault="005A72BE" w:rsidP="00F67F75">
      <w:pPr>
        <w:pStyle w:val="Caption-Figure"/>
      </w:pPr>
      <w:bookmarkStart w:id="27" w:name="_Ref13037737"/>
      <w:r w:rsidRPr="00F64983">
        <w:t xml:space="preserve">Figure </w:t>
      </w:r>
      <w:fldSimple w:instr=" SEQ Figure \* ARABIC ">
        <w:r w:rsidR="004744A1">
          <w:rPr>
            <w:noProof/>
          </w:rPr>
          <w:t>7</w:t>
        </w:r>
      </w:fldSimple>
      <w:bookmarkEnd w:id="27"/>
      <w:r w:rsidRPr="00F64983">
        <w:t>. Catch, fishing mortality rate</w:t>
      </w:r>
      <w:r w:rsidR="0044003D">
        <w:t xml:space="preserve"> (F)</w:t>
      </w:r>
      <w:r w:rsidRPr="00F64983">
        <w:t xml:space="preserve">, recruits, and spawning stock biomass </w:t>
      </w:r>
      <w:r w:rsidR="0044003D">
        <w:t>(SSB) time series for the base Witch F</w:t>
      </w:r>
      <w:r w:rsidRPr="00F64983">
        <w:t>lounder assessment and three catch multipliers applied to all ages.</w:t>
      </w:r>
    </w:p>
    <w:p w:rsidR="005A72BE" w:rsidRDefault="005A72BE" w:rsidP="00586861">
      <w:pPr>
        <w:jc w:val="center"/>
      </w:pPr>
      <w:r>
        <w:rPr>
          <w:noProof/>
        </w:rPr>
        <w:drawing>
          <wp:inline distT="0" distB="0" distL="0" distR="0" wp14:anchorId="4915245A" wp14:editId="4B2078FF">
            <wp:extent cx="5943600" cy="4318000"/>
            <wp:effectExtent l="0" t="0" r="0" b="6350"/>
            <wp:docPr id="12" name="Picture 12" descr="This figure is divided into four different graphs. Each of them has years along the X axis, ranging from 1980 to 2020. The first graph shows Catch ranging from 0 to 10000 along the Y axis, the second shows fishing mortality rate (F) ranging from 0 to 1.2, the third shows Recruits ranging from 0 to 80000 and the fourth shows spawning stock biomass (SSB) ranging from 0 to 25000. In each graph there are four trendlines representing different sources. There is an orange one indicating 2005 Cx3, a turquoise one indicating 2005 oldx3, a light blue one indicating 2005 youngx2 and a pink one indicating base. " title="Figure 8. Catch, fishing mortality rate (F), recruits, and spawning stock biomass (SSB) time series for the base Witch Flounder assessment and catch multipliers applied to either young or old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splo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318000"/>
                    </a:xfrm>
                    <a:prstGeom prst="rect">
                      <a:avLst/>
                    </a:prstGeom>
                  </pic:spPr>
                </pic:pic>
              </a:graphicData>
            </a:graphic>
          </wp:inline>
        </w:drawing>
      </w:r>
    </w:p>
    <w:p w:rsidR="005A72BE" w:rsidRPr="00FB5F48" w:rsidRDefault="005A72BE" w:rsidP="00FB5F48">
      <w:pPr>
        <w:pStyle w:val="Caption-Figure"/>
      </w:pPr>
      <w:bookmarkStart w:id="28" w:name="_Ref13037740"/>
      <w:r w:rsidRPr="00FB5F48">
        <w:t xml:space="preserve">Figure </w:t>
      </w:r>
      <w:fldSimple w:instr=" SEQ Figure \* ARABIC ">
        <w:r w:rsidR="004744A1">
          <w:rPr>
            <w:noProof/>
          </w:rPr>
          <w:t>8</w:t>
        </w:r>
      </w:fldSimple>
      <w:bookmarkEnd w:id="28"/>
      <w:r w:rsidRPr="00FB5F48">
        <w:t>. Catch, fishing mortality rate</w:t>
      </w:r>
      <w:r w:rsidR="0044003D" w:rsidRPr="00FB5F48">
        <w:t xml:space="preserve"> (F)</w:t>
      </w:r>
      <w:r w:rsidRPr="00FB5F48">
        <w:t>, recruits, and spawning stock bi</w:t>
      </w:r>
      <w:r w:rsidR="0033649D" w:rsidRPr="00FB5F48">
        <w:t xml:space="preserve">omass </w:t>
      </w:r>
      <w:r w:rsidR="0044003D" w:rsidRPr="00FB5F48">
        <w:t xml:space="preserve">(SSB) </w:t>
      </w:r>
      <w:r w:rsidR="0033649D" w:rsidRPr="00FB5F48">
        <w:t>time series for the base Witch F</w:t>
      </w:r>
      <w:r w:rsidRPr="00FB5F48">
        <w:t>lounder assessment and catch multipliers applied to either young or old ages.</w:t>
      </w:r>
    </w:p>
    <w:p w:rsidR="005A72BE" w:rsidRDefault="005A72BE" w:rsidP="00586861">
      <w:pPr>
        <w:jc w:val="center"/>
      </w:pPr>
      <w:r>
        <w:rPr>
          <w:noProof/>
        </w:rPr>
        <w:drawing>
          <wp:inline distT="0" distB="0" distL="0" distR="0" wp14:anchorId="37CEA27B" wp14:editId="0D3C2C57">
            <wp:extent cx="5943600" cy="4318000"/>
            <wp:effectExtent l="0" t="0" r="0" b="6350"/>
            <wp:docPr id="13" name="Picture 13" descr="This figure is divided into four different graphs. Each of them has years along the X axis, ranging from 1980 to 2020. The first graph shows Catch ranging from 0 to 8000 along the Y axis, the second shows fishing mortality rate (F) ranging from 0 to 1.2, the third shows Recruits ranging from 0 to 120000 and the fourth shows spawning stock biomass (SSB) ranging from 0 to 20000. In each graph there are four trendlines representing different sources. There is a black one indicating 2000 Mx2.5, a dark grey one indicating 2005 Mx2.5, a light grey one indicating 2010 Mx3.5 and a pink one indicating base. " title="Figure 9. Catch, fishing mortality rate (F), recruits, and spawning stock biomass (SSB) time series for the base Witch Flounder assessment and three natural mortality multipliers applied to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plo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318000"/>
                    </a:xfrm>
                    <a:prstGeom prst="rect">
                      <a:avLst/>
                    </a:prstGeom>
                  </pic:spPr>
                </pic:pic>
              </a:graphicData>
            </a:graphic>
          </wp:inline>
        </w:drawing>
      </w:r>
    </w:p>
    <w:p w:rsidR="005A72BE" w:rsidRPr="00F64983" w:rsidRDefault="005A72BE" w:rsidP="00FB5F48">
      <w:pPr>
        <w:pStyle w:val="Caption-Figure"/>
      </w:pPr>
      <w:bookmarkStart w:id="29" w:name="_Ref13037742"/>
      <w:r w:rsidRPr="00F64983">
        <w:t xml:space="preserve">Figure </w:t>
      </w:r>
      <w:fldSimple w:instr=" SEQ Figure \* ARABIC ">
        <w:r w:rsidR="004744A1">
          <w:rPr>
            <w:noProof/>
          </w:rPr>
          <w:t>9</w:t>
        </w:r>
      </w:fldSimple>
      <w:bookmarkEnd w:id="29"/>
      <w:r w:rsidRPr="00F64983">
        <w:t>. Catch, fishing mortality rate</w:t>
      </w:r>
      <w:r w:rsidR="0044003D">
        <w:t xml:space="preserve"> (F)</w:t>
      </w:r>
      <w:r w:rsidRPr="00F64983">
        <w:t>, recruits, and spawning stock biomass</w:t>
      </w:r>
      <w:r w:rsidR="0044003D">
        <w:t xml:space="preserve"> (SSB)</w:t>
      </w:r>
      <w:r w:rsidRPr="00F64983">
        <w:t xml:space="preserve"> time series</w:t>
      </w:r>
      <w:r w:rsidR="0033649D">
        <w:t xml:space="preserve"> for the base Witch F</w:t>
      </w:r>
      <w:r w:rsidRPr="00F64983">
        <w:t>lounder assessment and three natural mortality multipliers applied to all ages.</w:t>
      </w:r>
    </w:p>
    <w:p w:rsidR="00950A8C" w:rsidRDefault="005A72BE" w:rsidP="00586861">
      <w:pPr>
        <w:jc w:val="center"/>
        <w:rPr>
          <w:rFonts w:cs="Arial"/>
          <w:i/>
          <w:sz w:val="20"/>
        </w:rPr>
      </w:pPr>
      <w:r>
        <w:rPr>
          <w:noProof/>
        </w:rPr>
        <w:drawing>
          <wp:inline distT="0" distB="0" distL="0" distR="0" wp14:anchorId="587DCF69" wp14:editId="6D8AC5C2">
            <wp:extent cx="5646280" cy="3690592"/>
            <wp:effectExtent l="0" t="0" r="0" b="5715"/>
            <wp:docPr id="18" name="Picture 18" descr="The Y axis shows catch (mt) ranging from 0 to 3000 and the X axis shows the years 2016, 2017 and 2018.  There are different coloured bars representing different sources. The pink bars indicate the base, the peach coloured bars indicate 2000 Cx5, the orange bars indicate 2005 Cx3, the green bars indicate 2010 Cx2.5, the turquoise bars indicate 2005 Old Cx3, the light blue bars indicate 2005 Young Cx2, the black bars indicate 2000 Mx2.5, the dark grey bars indicate 2005 Mx2.5 and the light grey bars indicate 2010 Mx3.5. " title="Figure 10. Catch advice (mt) for Witch Flounder under F40% for years 2016–2018 under a number of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advic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47625" cy="3691471"/>
                    </a:xfrm>
                    <a:prstGeom prst="rect">
                      <a:avLst/>
                    </a:prstGeom>
                  </pic:spPr>
                </pic:pic>
              </a:graphicData>
            </a:graphic>
          </wp:inline>
        </w:drawing>
      </w:r>
    </w:p>
    <w:p w:rsidR="00D6452A" w:rsidRDefault="00950A8C" w:rsidP="00062847">
      <w:pPr>
        <w:pStyle w:val="Caption-Figure"/>
      </w:pPr>
      <w:bookmarkStart w:id="30" w:name="_Ref13037914"/>
      <w:r w:rsidRPr="00062847">
        <w:t xml:space="preserve">Figure </w:t>
      </w:r>
      <w:fldSimple w:instr=" SEQ Figure \* ARABIC ">
        <w:r w:rsidR="004744A1">
          <w:rPr>
            <w:noProof/>
          </w:rPr>
          <w:t>10</w:t>
        </w:r>
      </w:fldSimple>
      <w:bookmarkEnd w:id="30"/>
      <w:r w:rsidR="0033649D" w:rsidRPr="00062847">
        <w:t>. Catch advice (</w:t>
      </w:r>
      <w:proofErr w:type="spellStart"/>
      <w:r w:rsidR="0033649D" w:rsidRPr="00062847">
        <w:t>mt</w:t>
      </w:r>
      <w:proofErr w:type="spellEnd"/>
      <w:r w:rsidR="0033649D" w:rsidRPr="00062847">
        <w:t>) for Witch F</w:t>
      </w:r>
      <w:r w:rsidR="005A72BE" w:rsidRPr="00062847">
        <w:t>lounder under F40% for years 2016</w:t>
      </w:r>
      <w:r w:rsidR="0089059A" w:rsidRPr="00062847">
        <w:t>–</w:t>
      </w:r>
      <w:r w:rsidR="005A72BE" w:rsidRPr="00062847">
        <w:t>2018 under a number of scenarios.</w:t>
      </w:r>
      <w:r w:rsidR="00D6452A">
        <w:br w:type="page"/>
      </w:r>
    </w:p>
    <w:p w:rsidR="005A72BE" w:rsidRDefault="005A72BE" w:rsidP="00586861">
      <w:pPr>
        <w:jc w:val="center"/>
      </w:pPr>
      <w:r>
        <w:rPr>
          <w:noProof/>
        </w:rPr>
        <w:drawing>
          <wp:inline distT="0" distB="0" distL="0" distR="0" wp14:anchorId="7FD1A2C7" wp14:editId="285E9D83">
            <wp:extent cx="5713597" cy="3734593"/>
            <wp:effectExtent l="0" t="0" r="1905" b="0"/>
            <wp:docPr id="16" name="Picture 16" descr="The Y axis shows adjusted catch (mt) ranging from 0 to 800 and the X axis shows the years 2016, 2017 and 2018.  There are different coloured bars representing different sources. The pink bars indicate the base, the peach coloured bars indicate 2000 Cx5, the orange bars indicate 2005 Cx3, the green bars indicate 2010 Cx2.5, the turquoise bars indicate 2005 Old Cx3, the light blue bars indicate 2005 Young Cx2, the black bars indicate 2000 Mx2.5, the dark grey bars indicate 2005 Mx2.5 and the light grey bars indicate 2010 Mx3.5. " title="Figure 11. Adjusted catch advice (mt) for Witch Flounder under F40% for years 2016–2018 under a number of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edcatchadvic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14099" cy="3734921"/>
                    </a:xfrm>
                    <a:prstGeom prst="rect">
                      <a:avLst/>
                    </a:prstGeom>
                  </pic:spPr>
                </pic:pic>
              </a:graphicData>
            </a:graphic>
          </wp:inline>
        </w:drawing>
      </w:r>
    </w:p>
    <w:p w:rsidR="005A72BE" w:rsidRPr="00F64983" w:rsidRDefault="005A72BE" w:rsidP="00D6452A">
      <w:pPr>
        <w:pStyle w:val="Caption-Figure"/>
      </w:pPr>
      <w:r w:rsidRPr="00F64983">
        <w:t xml:space="preserve">Figure </w:t>
      </w:r>
      <w:fldSimple w:instr=" SEQ Figure \* ARABIC ">
        <w:r w:rsidR="004744A1">
          <w:rPr>
            <w:noProof/>
          </w:rPr>
          <w:t>11</w:t>
        </w:r>
      </w:fldSimple>
      <w:r w:rsidRPr="00F64983">
        <w:t xml:space="preserve">. </w:t>
      </w:r>
      <w:r w:rsidR="0033649D">
        <w:t>Adjusted catch advice (</w:t>
      </w:r>
      <w:proofErr w:type="spellStart"/>
      <w:r w:rsidR="0033649D">
        <w:t>mt</w:t>
      </w:r>
      <w:proofErr w:type="spellEnd"/>
      <w:r w:rsidR="0033649D">
        <w:t>) for Witch F</w:t>
      </w:r>
      <w:r w:rsidRPr="00F64983">
        <w:t>lounder under F40% for years 2016</w:t>
      </w:r>
      <w:r w:rsidR="0089059A">
        <w:t>–</w:t>
      </w:r>
      <w:r w:rsidRPr="00F64983">
        <w:t>2018 under a number of scenarios</w:t>
      </w:r>
      <w:r>
        <w:t>.</w:t>
      </w:r>
    </w:p>
    <w:p w:rsidR="00C6538A" w:rsidRDefault="00586861" w:rsidP="00586861">
      <w:pPr>
        <w:jc w:val="center"/>
      </w:pPr>
      <w:r>
        <w:rPr>
          <w:noProof/>
        </w:rPr>
        <w:drawing>
          <wp:inline distT="0" distB="0" distL="0" distR="0" wp14:anchorId="21B10776" wp14:editId="266FE260">
            <wp:extent cx="5972175" cy="5796280"/>
            <wp:effectExtent l="0" t="0" r="9525" b="0"/>
            <wp:docPr id="20" name="Picture 20" descr="This figure is split into two different graphs, both with years ranging from 1980 to 2020 along the X axis. The top graph shows Recruitment Residuals along the Y axis ranging from -5000 to 17500. The data points range in shade of blue, with the darker ones meaning an SSB of 5000, medium ones meaning an SSB of 10000 and lighter ones meaning an SSB of 15000. The bottom graph also shows Recruitment Residuals along the Y axis, ranging from 0 to 20000. In this graph, the darker points mean an SSB of 10000, the medium ones 20000 and the lighter ones 30000. " title="Figure 12. Recruitment residuals from Beverton-Holt Stock-Recruitment relationships fit to 2018 VPA (top panel) and ASAP (bottom panel)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175" cy="5796280"/>
                    </a:xfrm>
                    <a:prstGeom prst="rect">
                      <a:avLst/>
                    </a:prstGeom>
                  </pic:spPr>
                </pic:pic>
              </a:graphicData>
            </a:graphic>
          </wp:inline>
        </w:drawing>
      </w:r>
    </w:p>
    <w:p w:rsidR="0072376A" w:rsidRPr="008E4494" w:rsidRDefault="0072376A" w:rsidP="00D6452A">
      <w:pPr>
        <w:pStyle w:val="Caption-Figure"/>
      </w:pPr>
      <w:bookmarkStart w:id="31" w:name="_Ref10555610"/>
      <w:r w:rsidRPr="008E4494">
        <w:t xml:space="preserve">Figure </w:t>
      </w:r>
      <w:fldSimple w:instr=" SEQ Figure \* ARABIC ">
        <w:r w:rsidR="004744A1">
          <w:rPr>
            <w:noProof/>
          </w:rPr>
          <w:t>12</w:t>
        </w:r>
      </w:fldSimple>
      <w:bookmarkEnd w:id="31"/>
      <w:r w:rsidRPr="008E4494">
        <w:t xml:space="preserve">. Recruitment residuals from </w:t>
      </w:r>
      <w:proofErr w:type="spellStart"/>
      <w:r w:rsidRPr="008E4494">
        <w:t>Beverton</w:t>
      </w:r>
      <w:proofErr w:type="spellEnd"/>
      <w:r w:rsidRPr="008E4494">
        <w:t xml:space="preserve">-Holt </w:t>
      </w:r>
      <w:r w:rsidR="0044003D">
        <w:t>Stock-Recruitment</w:t>
      </w:r>
      <w:r w:rsidRPr="008E4494">
        <w:t xml:space="preserve"> relationships fit to 2018 VPA (top panel) and ASAP (bottom panel) outputs.</w:t>
      </w:r>
    </w:p>
    <w:p w:rsidR="00785F75" w:rsidRDefault="00785F75" w:rsidP="00586861">
      <w:pPr>
        <w:jc w:val="center"/>
      </w:pPr>
      <w:r>
        <w:rPr>
          <w:noProof/>
        </w:rPr>
        <w:drawing>
          <wp:inline distT="0" distB="0" distL="0" distR="0" wp14:anchorId="7EAA71D0" wp14:editId="5C09C769">
            <wp:extent cx="5972175" cy="4239895"/>
            <wp:effectExtent l="0" t="0" r="9525" b="8255"/>
            <wp:docPr id="17" name="Picture 17" descr="This figure is split into two different graphs, with AIC values ranging from 0 to 800 along the Y axis and years ranging from 1975 to 2020 along the X axis. The black points represent Beverton-Holt data and the red points represent the Linear relationship. The graph on the left is the ASAP model and the graph on the right is the VPA model. " title="Figure 13. Akaike Information Criterion (AIC) values for Beverton-Holt (black) and Linear (red) relationship fits to the Stock-Recruitment data coming from the 2018 ASAP (left) and VPA (right)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2175" cy="4239895"/>
                    </a:xfrm>
                    <a:prstGeom prst="rect">
                      <a:avLst/>
                    </a:prstGeom>
                  </pic:spPr>
                </pic:pic>
              </a:graphicData>
            </a:graphic>
          </wp:inline>
        </w:drawing>
      </w:r>
    </w:p>
    <w:p w:rsidR="00785F75" w:rsidRPr="008E4494" w:rsidRDefault="00785F75" w:rsidP="00CE1175">
      <w:pPr>
        <w:pStyle w:val="Caption-Figure"/>
        <w:rPr>
          <w:noProof/>
        </w:rPr>
      </w:pPr>
      <w:bookmarkStart w:id="32" w:name="_Ref11056508"/>
      <w:r w:rsidRPr="008E4494">
        <w:t xml:space="preserve">Figure </w:t>
      </w:r>
      <w:fldSimple w:instr=" SEQ Figure \* ARABIC ">
        <w:r w:rsidR="004744A1">
          <w:rPr>
            <w:noProof/>
          </w:rPr>
          <w:t>13</w:t>
        </w:r>
      </w:fldSimple>
      <w:bookmarkEnd w:id="32"/>
      <w:r w:rsidRPr="008E4494">
        <w:t xml:space="preserve">. </w:t>
      </w:r>
      <w:proofErr w:type="spellStart"/>
      <w:r w:rsidR="0044003D" w:rsidRPr="00B1461C">
        <w:rPr>
          <w:lang w:val="en"/>
        </w:rPr>
        <w:t>Akaike</w:t>
      </w:r>
      <w:proofErr w:type="spellEnd"/>
      <w:r w:rsidR="0044003D" w:rsidRPr="00B1461C">
        <w:rPr>
          <w:lang w:val="en"/>
        </w:rPr>
        <w:t xml:space="preserve"> Information Criterion</w:t>
      </w:r>
      <w:r w:rsidR="0044003D" w:rsidRPr="008E4494">
        <w:t xml:space="preserve"> </w:t>
      </w:r>
      <w:r w:rsidR="00B1461C">
        <w:t>(</w:t>
      </w:r>
      <w:r w:rsidRPr="008E4494">
        <w:t>AIC</w:t>
      </w:r>
      <w:r w:rsidR="00B1461C">
        <w:t>)</w:t>
      </w:r>
      <w:r w:rsidRPr="008E4494">
        <w:t xml:space="preserve"> values for </w:t>
      </w:r>
      <w:proofErr w:type="spellStart"/>
      <w:r w:rsidRPr="008E4494">
        <w:t>Beverton</w:t>
      </w:r>
      <w:proofErr w:type="spellEnd"/>
      <w:r w:rsidRPr="008E4494">
        <w:t xml:space="preserve">-Holt (black) and Linear (red) relationship fits to the Stock-Recruitment data </w:t>
      </w:r>
      <w:r w:rsidRPr="008E4494">
        <w:rPr>
          <w:noProof/>
        </w:rPr>
        <w:t>coming from the 2018 ASAP (left) and VPA (right) models.</w:t>
      </w:r>
    </w:p>
    <w:p w:rsidR="00711E52" w:rsidRDefault="00711E52" w:rsidP="00586861">
      <w:pPr>
        <w:jc w:val="center"/>
      </w:pPr>
      <w:r>
        <w:rPr>
          <w:noProof/>
        </w:rPr>
        <w:drawing>
          <wp:inline distT="0" distB="0" distL="0" distR="0" wp14:anchorId="483922F6" wp14:editId="65E9318B">
            <wp:extent cx="5972175" cy="4471035"/>
            <wp:effectExtent l="0" t="0" r="9525" b="5715"/>
            <wp:docPr id="35844" name="Picture 35844" descr="This figure is split into three different graphs. The top one is the Sinf parameter with values ranging from 80 to 220, the middle one is the K parameter with values ranging from 0 to 0.4 and the bottom one is the t0 parameter ranging from -1.5 to 0.5. " title="Figure 14. Temporal trends in VonBertallanfy growth parameters fit to survey data. Dashed vertical lines identify an approximate early (1978–1996), mid (1997–2002) and late (2003–2019) time period. Points are annual growth curve fits and red lines are growth curve fits spanning the whol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175" cy="4471035"/>
                    </a:xfrm>
                    <a:prstGeom prst="rect">
                      <a:avLst/>
                    </a:prstGeom>
                  </pic:spPr>
                </pic:pic>
              </a:graphicData>
            </a:graphic>
          </wp:inline>
        </w:drawing>
      </w:r>
    </w:p>
    <w:p w:rsidR="00711E52" w:rsidRPr="008E4494" w:rsidRDefault="00711E52" w:rsidP="002A4CD3">
      <w:pPr>
        <w:pStyle w:val="Caption-Figure"/>
      </w:pPr>
      <w:bookmarkStart w:id="33" w:name="_Ref11674310"/>
      <w:r w:rsidRPr="008E4494">
        <w:t xml:space="preserve">Figure </w:t>
      </w:r>
      <w:fldSimple w:instr=" SEQ Figure \* ARABIC ">
        <w:r w:rsidR="004744A1">
          <w:rPr>
            <w:noProof/>
          </w:rPr>
          <w:t>14</w:t>
        </w:r>
      </w:fldSimple>
      <w:bookmarkEnd w:id="33"/>
      <w:r w:rsidRPr="008E4494">
        <w:t xml:space="preserve">. Temporal trends in </w:t>
      </w:r>
      <w:proofErr w:type="spellStart"/>
      <w:r w:rsidRPr="008E4494">
        <w:t>VonBertallanfy</w:t>
      </w:r>
      <w:proofErr w:type="spellEnd"/>
      <w:r w:rsidRPr="008E4494">
        <w:t xml:space="preserve"> growth parameters fit to survey data. Dashed vertical lines identify an</w:t>
      </w:r>
      <w:r w:rsidR="001D0528">
        <w:t xml:space="preserve"> approx</w:t>
      </w:r>
      <w:r w:rsidR="0016246A">
        <w:t>i</w:t>
      </w:r>
      <w:r w:rsidR="001D0528">
        <w:t>mate</w:t>
      </w:r>
      <w:r w:rsidRPr="008E4494">
        <w:t xml:space="preserve"> early (1978</w:t>
      </w:r>
      <w:r w:rsidR="0089059A">
        <w:t>–</w:t>
      </w:r>
      <w:r w:rsidRPr="008E4494">
        <w:t>1996), mid (1997</w:t>
      </w:r>
      <w:r w:rsidR="0089059A">
        <w:t>–</w:t>
      </w:r>
      <w:r w:rsidRPr="008E4494">
        <w:t>2002) and late (2003</w:t>
      </w:r>
      <w:r w:rsidR="0089059A">
        <w:t>–</w:t>
      </w:r>
      <w:r w:rsidRPr="008E4494">
        <w:t>2019) time period. Points are annual growth curve fits and red lines are growth curve fits spanning the whole time period.</w:t>
      </w:r>
    </w:p>
    <w:p w:rsidR="00711E52" w:rsidRDefault="00711E52" w:rsidP="00586861">
      <w:pPr>
        <w:jc w:val="center"/>
      </w:pPr>
      <w:r>
        <w:rPr>
          <w:noProof/>
        </w:rPr>
        <w:drawing>
          <wp:inline distT="0" distB="0" distL="0" distR="0" wp14:anchorId="30911D39" wp14:editId="34864F8F">
            <wp:extent cx="5972175" cy="4231640"/>
            <wp:effectExtent l="0" t="0" r="9525" b="0"/>
            <wp:docPr id="29" name="Picture 29" descr="The Y axis shows length (cm) ranging from 0 to 175 and the X axis shows age ranging from 0 to 20. The peach coloured dots represent the Pre-1997 period, the green dots represent the 1997 to 2002 period and the blue dots represent the 2003 and beyond period. " title="Figure 15. Length at age data from the three DFO and NMFS surveys since 1978, coloured by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2175" cy="4231640"/>
                    </a:xfrm>
                    <a:prstGeom prst="rect">
                      <a:avLst/>
                    </a:prstGeom>
                  </pic:spPr>
                </pic:pic>
              </a:graphicData>
            </a:graphic>
          </wp:inline>
        </w:drawing>
      </w:r>
    </w:p>
    <w:p w:rsidR="00711E52" w:rsidRPr="008E4494" w:rsidRDefault="00711E52" w:rsidP="006E3BCE">
      <w:pPr>
        <w:pStyle w:val="Caption-Figure"/>
      </w:pPr>
      <w:bookmarkStart w:id="34" w:name="_Ref11674364"/>
      <w:r w:rsidRPr="008E4494">
        <w:t xml:space="preserve">Figure </w:t>
      </w:r>
      <w:fldSimple w:instr=" SEQ Figure \* ARABIC ">
        <w:r w:rsidR="004744A1">
          <w:rPr>
            <w:noProof/>
          </w:rPr>
          <w:t>15</w:t>
        </w:r>
      </w:fldSimple>
      <w:bookmarkEnd w:id="34"/>
      <w:r w:rsidRPr="008E4494">
        <w:t xml:space="preserve">. Length at age data from the three DFO and NMFS surveys since 1978, </w:t>
      </w:r>
      <w:proofErr w:type="spellStart"/>
      <w:r w:rsidRPr="008E4494">
        <w:t>coloured</w:t>
      </w:r>
      <w:proofErr w:type="spellEnd"/>
      <w:r w:rsidRPr="008E4494">
        <w:t xml:space="preserve"> by time period.</w:t>
      </w:r>
    </w:p>
    <w:p w:rsidR="00711E52" w:rsidRDefault="00711E52" w:rsidP="00586861">
      <w:pPr>
        <w:jc w:val="center"/>
      </w:pPr>
      <w:r>
        <w:rPr>
          <w:noProof/>
        </w:rPr>
        <w:drawing>
          <wp:inline distT="0" distB="0" distL="0" distR="0" wp14:anchorId="61B39399" wp14:editId="667BFEEA">
            <wp:extent cx="5972175" cy="3782695"/>
            <wp:effectExtent l="0" t="0" r="9525" b="8255"/>
            <wp:docPr id="35842" name="Picture 35842" descr="This figure is split into three different sections, with length (cm) ranging from 0 to 175 along the Y axis and Partial age ranging from 0 to 20 along the X axis. The left hand sections represents the pre-1997 period, the middle section represents the 1997-2002 period and the right hand section represents the 2003+ period." title="Figure 16. Available length at age data for all DFO and NMFS surveys since 1978. Facets represent the early (left), middle and late (right) time periods. Age has been adjusted to partial age to account for differences in survey 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2175" cy="3782695"/>
                    </a:xfrm>
                    <a:prstGeom prst="rect">
                      <a:avLst/>
                    </a:prstGeom>
                  </pic:spPr>
                </pic:pic>
              </a:graphicData>
            </a:graphic>
          </wp:inline>
        </w:drawing>
      </w:r>
    </w:p>
    <w:p w:rsidR="00592349" w:rsidRPr="0027673D" w:rsidRDefault="00711E52" w:rsidP="007E0D45">
      <w:pPr>
        <w:pStyle w:val="Caption-Figure"/>
        <w:rPr>
          <w:rStyle w:val="BodyTextChar3"/>
          <w:color w:val="000000"/>
          <w:sz w:val="22"/>
        </w:rPr>
      </w:pPr>
      <w:bookmarkStart w:id="35" w:name="_Ref11674415"/>
      <w:r w:rsidRPr="008E4494">
        <w:t xml:space="preserve">Figure </w:t>
      </w:r>
      <w:fldSimple w:instr=" SEQ Figure \* ARABIC ">
        <w:r w:rsidR="004744A1">
          <w:rPr>
            <w:noProof/>
          </w:rPr>
          <w:t>16</w:t>
        </w:r>
      </w:fldSimple>
      <w:bookmarkEnd w:id="35"/>
      <w:r w:rsidRPr="008E4494">
        <w:t>. Available length at age data for all DFO and NMFS surveys since 1978. Facets represent the early (left), middle and late (right) time periods. Age has been adjusted to partial age to account for differences in survey timing</w:t>
      </w:r>
      <w:r w:rsidR="00C366D1">
        <w:t>.</w:t>
      </w:r>
    </w:p>
    <w:sectPr w:rsidR="00592349" w:rsidRPr="0027673D" w:rsidSect="001668CE">
      <w:footerReference w:type="default" r:id="rId35"/>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457" w:rsidRDefault="00944457">
      <w:r>
        <w:separator/>
      </w:r>
    </w:p>
  </w:endnote>
  <w:endnote w:type="continuationSeparator" w:id="0">
    <w:p w:rsidR="00944457" w:rsidRDefault="00944457">
      <w:r>
        <w:continuationSeparator/>
      </w:r>
    </w:p>
  </w:endnote>
  <w:endnote w:type="continuationNotice" w:id="1">
    <w:p w:rsidR="00944457" w:rsidRDefault="009444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457" w:rsidRDefault="00944457" w:rsidP="00591D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w:t>
    </w:r>
    <w:r>
      <w:rPr>
        <w:rStyle w:val="PageNumber"/>
      </w:rPr>
      <w:fldChar w:fldCharType="end"/>
    </w:r>
  </w:p>
  <w:p w:rsidR="00944457" w:rsidRDefault="00944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457" w:rsidRDefault="00944457" w:rsidP="00591D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44457" w:rsidRDefault="009444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81" w:type="dxa"/>
      <w:tblBorders>
        <w:top w:val="single" w:sz="4" w:space="0" w:color="auto"/>
      </w:tblBorders>
      <w:tblLayout w:type="fixed"/>
      <w:tblLook w:val="01E0" w:firstRow="1" w:lastRow="1" w:firstColumn="1" w:lastColumn="1" w:noHBand="0" w:noVBand="0"/>
    </w:tblPr>
    <w:tblGrid>
      <w:gridCol w:w="4077"/>
      <w:gridCol w:w="540"/>
      <w:gridCol w:w="4455"/>
    </w:tblGrid>
    <w:tr w:rsidR="00944457" w:rsidRPr="00D50762" w:rsidTr="00944457">
      <w:tc>
        <w:tcPr>
          <w:tcW w:w="4077" w:type="dxa"/>
          <w:tcBorders>
            <w:top w:val="nil"/>
            <w:bottom w:val="nil"/>
          </w:tcBorders>
        </w:tcPr>
        <w:p w:rsidR="00944457" w:rsidRPr="00D50762" w:rsidRDefault="00944457" w:rsidP="0026305E">
          <w:pPr>
            <w:tabs>
              <w:tab w:val="right" w:pos="10064"/>
            </w:tabs>
            <w:spacing w:before="0" w:after="0"/>
            <w:rPr>
              <w:rFonts w:cs="Arial"/>
              <w:spacing w:val="-3"/>
              <w:sz w:val="16"/>
              <w:szCs w:val="16"/>
              <w:lang w:val="fr-CA"/>
            </w:rPr>
          </w:pPr>
          <w:r w:rsidRPr="00D50762">
            <w:rPr>
              <w:rFonts w:cs="Arial"/>
              <w:spacing w:val="-3"/>
              <w:sz w:val="16"/>
              <w:szCs w:val="16"/>
              <w:lang w:val="fr-CA"/>
            </w:rPr>
            <w:t>Ce document est disponible sur l’Internet à :</w:t>
          </w:r>
        </w:p>
      </w:tc>
      <w:tc>
        <w:tcPr>
          <w:tcW w:w="540" w:type="dxa"/>
          <w:tcBorders>
            <w:top w:val="nil"/>
            <w:bottom w:val="nil"/>
          </w:tcBorders>
        </w:tcPr>
        <w:p w:rsidR="00944457" w:rsidRPr="00D50762" w:rsidRDefault="00944457" w:rsidP="0026305E">
          <w:pPr>
            <w:tabs>
              <w:tab w:val="right" w:pos="10064"/>
            </w:tabs>
            <w:spacing w:before="0" w:after="0"/>
            <w:jc w:val="center"/>
            <w:rPr>
              <w:rFonts w:cs="Arial"/>
              <w:spacing w:val="-3"/>
              <w:sz w:val="16"/>
              <w:szCs w:val="16"/>
              <w:lang w:val="fr-CA"/>
            </w:rPr>
          </w:pPr>
        </w:p>
      </w:tc>
      <w:tc>
        <w:tcPr>
          <w:tcW w:w="4455" w:type="dxa"/>
          <w:tcBorders>
            <w:top w:val="nil"/>
            <w:bottom w:val="nil"/>
          </w:tcBorders>
        </w:tcPr>
        <w:p w:rsidR="00944457" w:rsidRPr="00D50762" w:rsidRDefault="00944457" w:rsidP="0026305E">
          <w:pPr>
            <w:tabs>
              <w:tab w:val="right" w:pos="10064"/>
            </w:tabs>
            <w:spacing w:before="0" w:after="0"/>
            <w:jc w:val="right"/>
            <w:rPr>
              <w:rFonts w:cs="Arial"/>
              <w:spacing w:val="-3"/>
              <w:sz w:val="16"/>
              <w:szCs w:val="16"/>
              <w:lang w:val="en-CA"/>
            </w:rPr>
          </w:pPr>
          <w:r w:rsidRPr="00D50762">
            <w:rPr>
              <w:rFonts w:cs="Arial"/>
              <w:spacing w:val="-3"/>
              <w:sz w:val="16"/>
              <w:szCs w:val="16"/>
              <w:lang w:val="en-CA"/>
            </w:rPr>
            <w:t>This document is available on the Internet at :</w:t>
          </w:r>
        </w:p>
      </w:tc>
    </w:tr>
    <w:tr w:rsidR="00944457" w:rsidRPr="00D50762" w:rsidTr="00944457">
      <w:tc>
        <w:tcPr>
          <w:tcW w:w="9072" w:type="dxa"/>
          <w:gridSpan w:val="3"/>
          <w:tcBorders>
            <w:top w:val="nil"/>
            <w:bottom w:val="single" w:sz="4" w:space="0" w:color="auto"/>
          </w:tcBorders>
        </w:tcPr>
        <w:p w:rsidR="00944457" w:rsidRPr="00D50762" w:rsidRDefault="0040571C" w:rsidP="0026305E">
          <w:pPr>
            <w:tabs>
              <w:tab w:val="right" w:pos="10064"/>
            </w:tabs>
            <w:spacing w:before="0" w:after="0"/>
            <w:jc w:val="center"/>
            <w:rPr>
              <w:rFonts w:cs="Arial"/>
              <w:spacing w:val="-3"/>
              <w:sz w:val="16"/>
              <w:szCs w:val="16"/>
              <w:lang w:val="en-CA"/>
            </w:rPr>
          </w:pPr>
          <w:hyperlink r:id="rId1" w:tooltip="Transboundary Resources Assessment Committee (TRAC)" w:history="1">
            <w:r w:rsidR="00944457" w:rsidRPr="00D50762">
              <w:rPr>
                <w:rFonts w:cs="Arial"/>
                <w:color w:val="0000FF"/>
                <w:spacing w:val="-3"/>
                <w:sz w:val="16"/>
                <w:szCs w:val="16"/>
                <w:u w:val="single"/>
                <w:lang w:val="en-CA"/>
              </w:rPr>
              <w:t>http://www.bio.gc.ca/info/intercol/index-en.php</w:t>
            </w:r>
          </w:hyperlink>
        </w:p>
      </w:tc>
    </w:tr>
    <w:tr w:rsidR="00944457" w:rsidRPr="00D50762" w:rsidTr="00944457">
      <w:tc>
        <w:tcPr>
          <w:tcW w:w="4077" w:type="dxa"/>
          <w:tcBorders>
            <w:top w:val="single" w:sz="4" w:space="0" w:color="auto"/>
          </w:tcBorders>
        </w:tcPr>
        <w:p w:rsidR="00944457" w:rsidRPr="00D50762" w:rsidRDefault="00944457" w:rsidP="0026305E">
          <w:pPr>
            <w:tabs>
              <w:tab w:val="right" w:pos="10064"/>
            </w:tabs>
            <w:spacing w:before="0" w:after="0"/>
            <w:rPr>
              <w:rFonts w:cs="Arial"/>
              <w:spacing w:val="-3"/>
              <w:lang w:val="en-CA"/>
            </w:rPr>
          </w:pPr>
        </w:p>
        <w:p w:rsidR="00944457" w:rsidRPr="00D50762" w:rsidRDefault="00944457" w:rsidP="0026305E">
          <w:pPr>
            <w:tabs>
              <w:tab w:val="right" w:pos="10064"/>
            </w:tabs>
            <w:spacing w:before="0" w:after="0"/>
            <w:rPr>
              <w:rFonts w:cs="Arial"/>
              <w:spacing w:val="-3"/>
            </w:rPr>
          </w:pPr>
          <w:r w:rsidRPr="00D50762">
            <w:rPr>
              <w:rFonts w:cs="Arial"/>
              <w:noProof/>
            </w:rPr>
            <w:drawing>
              <wp:inline distT="0" distB="0" distL="0" distR="0" wp14:anchorId="39D72353" wp14:editId="0D72ED83">
                <wp:extent cx="800100" cy="190500"/>
                <wp:effectExtent l="19050" t="0" r="0" b="0"/>
                <wp:docPr id="31" name="Picture 31" descr="CANADA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 © Transparent"/>
                        <pic:cNvPicPr>
                          <a:picLocks noChangeAspect="1" noChangeArrowheads="1"/>
                        </pic:cNvPicPr>
                      </pic:nvPicPr>
                      <pic:blipFill>
                        <a:blip r:embed="rId2"/>
                        <a:srcRect/>
                        <a:stretch>
                          <a:fillRect/>
                        </a:stretch>
                      </pic:blipFill>
                      <pic:spPr bwMode="auto">
                        <a:xfrm>
                          <a:off x="0" y="0"/>
                          <a:ext cx="800100" cy="190500"/>
                        </a:xfrm>
                        <a:prstGeom prst="rect">
                          <a:avLst/>
                        </a:prstGeom>
                        <a:noFill/>
                        <a:ln w="9525">
                          <a:noFill/>
                          <a:miter lim="800000"/>
                          <a:headEnd/>
                          <a:tailEnd/>
                        </a:ln>
                      </pic:spPr>
                    </pic:pic>
                  </a:graphicData>
                </a:graphic>
              </wp:inline>
            </w:drawing>
          </w:r>
        </w:p>
      </w:tc>
      <w:tc>
        <w:tcPr>
          <w:tcW w:w="540" w:type="dxa"/>
          <w:tcBorders>
            <w:top w:val="single" w:sz="4" w:space="0" w:color="auto"/>
          </w:tcBorders>
        </w:tcPr>
        <w:p w:rsidR="00944457" w:rsidRPr="00D50762" w:rsidRDefault="00944457" w:rsidP="0026305E">
          <w:pPr>
            <w:tabs>
              <w:tab w:val="right" w:pos="10064"/>
            </w:tabs>
            <w:spacing w:before="0" w:after="0"/>
            <w:jc w:val="center"/>
            <w:rPr>
              <w:rFonts w:cs="Arial"/>
              <w:spacing w:val="-3"/>
            </w:rPr>
          </w:pPr>
        </w:p>
        <w:p w:rsidR="00944457" w:rsidRPr="00D50762" w:rsidRDefault="00944457" w:rsidP="0026305E">
          <w:pPr>
            <w:tabs>
              <w:tab w:val="right" w:pos="10064"/>
            </w:tabs>
            <w:spacing w:before="0" w:after="0"/>
            <w:jc w:val="center"/>
            <w:rPr>
              <w:rFonts w:cs="Arial"/>
              <w:spacing w:val="-3"/>
            </w:rPr>
          </w:pPr>
        </w:p>
      </w:tc>
      <w:tc>
        <w:tcPr>
          <w:tcW w:w="4455" w:type="dxa"/>
          <w:tcBorders>
            <w:top w:val="single" w:sz="4" w:space="0" w:color="auto"/>
          </w:tcBorders>
        </w:tcPr>
        <w:p w:rsidR="00944457" w:rsidRPr="00D50762" w:rsidRDefault="00944457" w:rsidP="0026305E">
          <w:pPr>
            <w:tabs>
              <w:tab w:val="right" w:pos="10064"/>
            </w:tabs>
            <w:spacing w:before="0" w:after="0"/>
            <w:jc w:val="right"/>
            <w:rPr>
              <w:rFonts w:cs="Arial"/>
              <w:spacing w:val="-3"/>
            </w:rPr>
          </w:pPr>
          <w:r w:rsidRPr="00D50762">
            <w:rPr>
              <w:rFonts w:cs="Arial"/>
              <w:noProof/>
              <w:spacing w:val="-3"/>
            </w:rPr>
            <w:drawing>
              <wp:inline distT="0" distB="0" distL="0" distR="0" wp14:anchorId="0D0E8393" wp14:editId="00DA4EBC">
                <wp:extent cx="381000" cy="381000"/>
                <wp:effectExtent l="19050" t="0" r="0" b="0"/>
                <wp:docPr id="35840" name="Picture 35840" descr="do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_logo"/>
                        <pic:cNvPicPr>
                          <a:picLocks noChangeAspect="1" noChangeArrowheads="1"/>
                        </pic:cNvPicPr>
                      </pic:nvPicPr>
                      <pic:blipFill>
                        <a:blip r:embed="rId3"/>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r>
  </w:tbl>
  <w:p w:rsidR="00944457" w:rsidRDefault="009444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457" w:rsidRDefault="009444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rsidR="00944457" w:rsidRDefault="009444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457" w:rsidRDefault="00944457" w:rsidP="001668CE">
    <w:pPr>
      <w:pBdr>
        <w:top w:val="single" w:sz="4" w:space="1" w:color="auto"/>
      </w:pBdr>
      <w:tabs>
        <w:tab w:val="left" w:pos="3894"/>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457" w:rsidRDefault="00944457" w:rsidP="001668CE">
    <w:pPr>
      <w:pBdr>
        <w:top w:val="single" w:sz="4" w:space="1" w:color="auto"/>
      </w:pBdr>
      <w:tabs>
        <w:tab w:val="left" w:pos="3894"/>
      </w:tabs>
      <w:jc w:val="center"/>
    </w:pPr>
    <w:r>
      <w:fldChar w:fldCharType="begin"/>
    </w:r>
    <w:r>
      <w:instrText xml:space="preserve"> PAGE   \* MERGEFORMAT </w:instrText>
    </w:r>
    <w:r>
      <w:fldChar w:fldCharType="separate"/>
    </w:r>
    <w:r w:rsidR="0040571C">
      <w:rPr>
        <w:noProof/>
      </w:rPr>
      <w:t>iv</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457" w:rsidRDefault="00944457" w:rsidP="001668CE">
    <w:pPr>
      <w:pBdr>
        <w:top w:val="single" w:sz="4" w:space="1" w:color="auto"/>
      </w:pBdr>
      <w:tabs>
        <w:tab w:val="left" w:pos="3894"/>
      </w:tabs>
      <w:jc w:val="center"/>
    </w:pPr>
    <w:r>
      <w:fldChar w:fldCharType="begin"/>
    </w:r>
    <w:r>
      <w:instrText xml:space="preserve"> PAGE   \* MERGEFORMAT </w:instrText>
    </w:r>
    <w:r>
      <w:fldChar w:fldCharType="separate"/>
    </w:r>
    <w:r w:rsidR="0040571C">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457" w:rsidRDefault="00944457">
      <w:r>
        <w:separator/>
      </w:r>
    </w:p>
  </w:footnote>
  <w:footnote w:type="continuationSeparator" w:id="0">
    <w:p w:rsidR="00944457" w:rsidRDefault="00944457">
      <w:r>
        <w:continuationSeparator/>
      </w:r>
    </w:p>
  </w:footnote>
  <w:footnote w:type="continuationNotice" w:id="1">
    <w:p w:rsidR="00944457" w:rsidRDefault="009444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63" w:type="dxa"/>
      <w:tblLayout w:type="fixed"/>
      <w:tblCellMar>
        <w:left w:w="0" w:type="dxa"/>
        <w:right w:w="0" w:type="dxa"/>
      </w:tblCellMar>
      <w:tblLook w:val="01E0" w:firstRow="1" w:lastRow="1" w:firstColumn="1" w:lastColumn="1" w:noHBand="0" w:noVBand="0"/>
    </w:tblPr>
    <w:tblGrid>
      <w:gridCol w:w="4698"/>
      <w:gridCol w:w="4365"/>
    </w:tblGrid>
    <w:tr w:rsidR="00944457" w:rsidRPr="00FF6E78" w:rsidTr="008C1541">
      <w:tc>
        <w:tcPr>
          <w:tcW w:w="4698" w:type="dxa"/>
        </w:tcPr>
        <w:p w:rsidR="00944457" w:rsidRPr="00FF6E78" w:rsidRDefault="00944457" w:rsidP="008C1541">
          <w:pPr>
            <w:tabs>
              <w:tab w:val="center" w:pos="4320"/>
              <w:tab w:val="right" w:pos="8825"/>
            </w:tabs>
            <w:spacing w:before="0" w:after="0"/>
            <w:rPr>
              <w:b/>
              <w:sz w:val="24"/>
            </w:rPr>
          </w:pPr>
          <w:r w:rsidRPr="00FF6E78">
            <w:rPr>
              <w:noProof/>
              <w:sz w:val="24"/>
            </w:rPr>
            <w:drawing>
              <wp:inline distT="0" distB="0" distL="0" distR="0" wp14:anchorId="2C88B9D9" wp14:editId="144E9626">
                <wp:extent cx="2493364" cy="460350"/>
                <wp:effectExtent l="0" t="0" r="2540" b="0"/>
                <wp:docPr id="28" name="Picture 28" descr="Fisheries and Oceans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deauI\Desktop\Templates&amp;Forms\e_eso_bw.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721" cy="460416"/>
                        </a:xfrm>
                        <a:prstGeom prst="rect">
                          <a:avLst/>
                        </a:prstGeom>
                        <a:noFill/>
                        <a:ln>
                          <a:noFill/>
                        </a:ln>
                      </pic:spPr>
                    </pic:pic>
                  </a:graphicData>
                </a:graphic>
              </wp:inline>
            </w:drawing>
          </w:r>
        </w:p>
      </w:tc>
      <w:tc>
        <w:tcPr>
          <w:tcW w:w="4365" w:type="dxa"/>
        </w:tcPr>
        <w:p w:rsidR="00944457" w:rsidRPr="00FF6E78" w:rsidRDefault="00944457" w:rsidP="008C1541">
          <w:pPr>
            <w:tabs>
              <w:tab w:val="center" w:pos="4320"/>
              <w:tab w:val="right" w:pos="8640"/>
            </w:tabs>
            <w:spacing w:before="0" w:after="0"/>
            <w:jc w:val="right"/>
            <w:rPr>
              <w:b/>
              <w:sz w:val="24"/>
            </w:rPr>
          </w:pPr>
          <w:r w:rsidRPr="00FF6E78">
            <w:rPr>
              <w:noProof/>
              <w:sz w:val="24"/>
            </w:rPr>
            <w:drawing>
              <wp:inline distT="0" distB="0" distL="0" distR="0" wp14:anchorId="25E2DAE4" wp14:editId="0AF42151">
                <wp:extent cx="2724150" cy="266700"/>
                <wp:effectExtent l="19050" t="0" r="0" b="0"/>
                <wp:docPr id="30" name="Picture 30" descr="fix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xedlogo"/>
                        <pic:cNvPicPr>
                          <a:picLocks noChangeAspect="1" noChangeArrowheads="1"/>
                        </pic:cNvPicPr>
                      </pic:nvPicPr>
                      <pic:blipFill>
                        <a:blip r:embed="rId2"/>
                        <a:srcRect/>
                        <a:stretch>
                          <a:fillRect/>
                        </a:stretch>
                      </pic:blipFill>
                      <pic:spPr bwMode="auto">
                        <a:xfrm>
                          <a:off x="0" y="0"/>
                          <a:ext cx="2724150" cy="266700"/>
                        </a:xfrm>
                        <a:prstGeom prst="rect">
                          <a:avLst/>
                        </a:prstGeom>
                        <a:noFill/>
                        <a:ln w="9525">
                          <a:noFill/>
                          <a:miter lim="800000"/>
                          <a:headEnd/>
                          <a:tailEnd/>
                        </a:ln>
                      </pic:spPr>
                    </pic:pic>
                  </a:graphicData>
                </a:graphic>
              </wp:inline>
            </w:drawing>
          </w:r>
        </w:p>
      </w:tc>
    </w:tr>
    <w:tr w:rsidR="00944457" w:rsidRPr="00FF6E78" w:rsidTr="008C1541">
      <w:trPr>
        <w:cantSplit/>
      </w:trPr>
      <w:tc>
        <w:tcPr>
          <w:tcW w:w="4698" w:type="dxa"/>
        </w:tcPr>
        <w:p w:rsidR="00944457" w:rsidRPr="008C1541" w:rsidRDefault="00944457" w:rsidP="008C1541">
          <w:pPr>
            <w:tabs>
              <w:tab w:val="center" w:pos="4320"/>
              <w:tab w:val="right" w:pos="8640"/>
            </w:tabs>
            <w:spacing w:before="0" w:after="0"/>
            <w:rPr>
              <w:rFonts w:cs="Arial"/>
              <w:b/>
              <w:sz w:val="30"/>
              <w:szCs w:val="30"/>
            </w:rPr>
          </w:pPr>
        </w:p>
        <w:p w:rsidR="00944457" w:rsidRPr="008C1541" w:rsidRDefault="00944457" w:rsidP="008C1541">
          <w:pPr>
            <w:tabs>
              <w:tab w:val="center" w:pos="4320"/>
              <w:tab w:val="right" w:pos="8640"/>
            </w:tabs>
            <w:spacing w:before="0" w:after="0"/>
            <w:rPr>
              <w:rFonts w:cs="Arial"/>
              <w:b/>
              <w:i/>
              <w:sz w:val="30"/>
              <w:szCs w:val="30"/>
              <w:lang w:val="fr-CA"/>
            </w:rPr>
          </w:pPr>
          <w:r w:rsidRPr="008C1541">
            <w:rPr>
              <w:rFonts w:cs="Arial"/>
              <w:b/>
              <w:i/>
              <w:sz w:val="30"/>
              <w:szCs w:val="30"/>
              <w:lang w:val="fr-CA"/>
            </w:rPr>
            <w:t>CERT</w:t>
          </w:r>
        </w:p>
        <w:p w:rsidR="00944457" w:rsidRPr="008C1541" w:rsidRDefault="00944457" w:rsidP="008C1541">
          <w:pPr>
            <w:tabs>
              <w:tab w:val="center" w:pos="4320"/>
              <w:tab w:val="right" w:pos="8640"/>
            </w:tabs>
            <w:spacing w:before="0" w:after="0"/>
            <w:rPr>
              <w:rFonts w:cs="Arial"/>
              <w:b/>
              <w:sz w:val="30"/>
              <w:szCs w:val="30"/>
              <w:lang w:val="fr-CA"/>
            </w:rPr>
          </w:pPr>
        </w:p>
        <w:p w:rsidR="00944457" w:rsidRPr="008C1541" w:rsidRDefault="00944457" w:rsidP="008C1541">
          <w:pPr>
            <w:tabs>
              <w:tab w:val="center" w:pos="4428"/>
              <w:tab w:val="right" w:pos="8640"/>
            </w:tabs>
            <w:spacing w:before="0" w:after="0"/>
            <w:rPr>
              <w:rFonts w:cs="Arial"/>
              <w:b/>
              <w:szCs w:val="22"/>
              <w:lang w:val="fr-CA"/>
            </w:rPr>
          </w:pPr>
          <w:r w:rsidRPr="008C1541">
            <w:rPr>
              <w:rFonts w:cs="Arial"/>
              <w:b/>
              <w:szCs w:val="22"/>
              <w:lang w:val="fr-CA"/>
            </w:rPr>
            <w:t>Comité d'évaluation des</w:t>
          </w:r>
        </w:p>
        <w:p w:rsidR="00944457" w:rsidRPr="008C1541" w:rsidRDefault="00944457" w:rsidP="008C1541">
          <w:pPr>
            <w:tabs>
              <w:tab w:val="center" w:pos="4320"/>
              <w:tab w:val="right" w:pos="8640"/>
            </w:tabs>
            <w:spacing w:before="0" w:after="0"/>
            <w:rPr>
              <w:rFonts w:cs="Arial"/>
              <w:b/>
              <w:sz w:val="30"/>
              <w:szCs w:val="30"/>
              <w:lang w:val="fr-CA"/>
            </w:rPr>
          </w:pPr>
          <w:r w:rsidRPr="008C1541">
            <w:rPr>
              <w:rFonts w:cs="Arial"/>
              <w:b/>
              <w:szCs w:val="22"/>
              <w:lang w:val="fr-CA"/>
            </w:rPr>
            <w:t>ressources transfrontalières</w:t>
          </w:r>
          <w:r w:rsidRPr="008C1541">
            <w:rPr>
              <w:rFonts w:cs="Arial"/>
              <w:b/>
              <w:sz w:val="30"/>
              <w:szCs w:val="30"/>
              <w:lang w:val="fr-CA"/>
            </w:rPr>
            <w:t xml:space="preserve"> </w:t>
          </w:r>
        </w:p>
      </w:tc>
      <w:tc>
        <w:tcPr>
          <w:tcW w:w="4365" w:type="dxa"/>
        </w:tcPr>
        <w:p w:rsidR="00944457" w:rsidRPr="008C1541" w:rsidRDefault="00944457" w:rsidP="008C1541">
          <w:pPr>
            <w:tabs>
              <w:tab w:val="center" w:pos="4320"/>
              <w:tab w:val="right" w:pos="8640"/>
            </w:tabs>
            <w:spacing w:before="0" w:after="0"/>
            <w:rPr>
              <w:rFonts w:cs="Arial"/>
              <w:b/>
              <w:sz w:val="30"/>
              <w:szCs w:val="30"/>
              <w:lang w:val="fr-CA"/>
            </w:rPr>
          </w:pPr>
        </w:p>
        <w:p w:rsidR="00944457" w:rsidRPr="008C1541" w:rsidRDefault="00944457" w:rsidP="008C1541">
          <w:pPr>
            <w:tabs>
              <w:tab w:val="center" w:pos="4320"/>
              <w:tab w:val="right" w:pos="8640"/>
            </w:tabs>
            <w:spacing w:before="0" w:after="0"/>
            <w:rPr>
              <w:rFonts w:cs="Arial"/>
              <w:b/>
              <w:i/>
              <w:sz w:val="30"/>
              <w:szCs w:val="30"/>
              <w:lang w:val="en-CA"/>
            </w:rPr>
          </w:pPr>
          <w:r w:rsidRPr="008C1541">
            <w:rPr>
              <w:rFonts w:cs="Arial"/>
              <w:b/>
              <w:i/>
              <w:sz w:val="30"/>
              <w:szCs w:val="30"/>
              <w:lang w:val="en-CA"/>
            </w:rPr>
            <w:t>TRAC</w:t>
          </w:r>
        </w:p>
        <w:p w:rsidR="00944457" w:rsidRPr="008C1541" w:rsidRDefault="00944457" w:rsidP="008C1541">
          <w:pPr>
            <w:tabs>
              <w:tab w:val="center" w:pos="4320"/>
              <w:tab w:val="right" w:pos="8640"/>
            </w:tabs>
            <w:spacing w:before="0" w:after="0"/>
            <w:rPr>
              <w:rFonts w:cs="Arial"/>
              <w:b/>
              <w:sz w:val="30"/>
              <w:szCs w:val="30"/>
              <w:lang w:val="en-CA"/>
            </w:rPr>
          </w:pPr>
        </w:p>
        <w:p w:rsidR="00944457" w:rsidRPr="008C1541" w:rsidRDefault="00944457" w:rsidP="008C1541">
          <w:pPr>
            <w:tabs>
              <w:tab w:val="center" w:pos="4320"/>
              <w:tab w:val="right" w:pos="8640"/>
            </w:tabs>
            <w:spacing w:before="0" w:after="0"/>
            <w:rPr>
              <w:rFonts w:cs="Arial"/>
              <w:b/>
              <w:szCs w:val="22"/>
              <w:lang w:val="en-CA"/>
            </w:rPr>
          </w:pPr>
          <w:r w:rsidRPr="008C1541">
            <w:rPr>
              <w:rFonts w:cs="Arial"/>
              <w:b/>
              <w:szCs w:val="22"/>
              <w:lang w:val="en-CA"/>
            </w:rPr>
            <w:t>Transboundary Resources</w:t>
          </w:r>
        </w:p>
        <w:p w:rsidR="00944457" w:rsidRPr="008C1541" w:rsidRDefault="00944457" w:rsidP="008C1541">
          <w:pPr>
            <w:tabs>
              <w:tab w:val="center" w:pos="4320"/>
              <w:tab w:val="right" w:pos="8640"/>
            </w:tabs>
            <w:spacing w:before="0" w:after="0"/>
            <w:rPr>
              <w:rFonts w:cs="Arial"/>
              <w:b/>
              <w:sz w:val="30"/>
              <w:szCs w:val="30"/>
              <w:lang w:val="en-CA"/>
            </w:rPr>
          </w:pPr>
          <w:r w:rsidRPr="008C1541">
            <w:rPr>
              <w:rFonts w:cs="Arial"/>
              <w:b/>
              <w:szCs w:val="22"/>
              <w:lang w:val="en-CA"/>
            </w:rPr>
            <w:t>Assessment Committee</w:t>
          </w:r>
        </w:p>
      </w:tc>
    </w:tr>
  </w:tbl>
  <w:p w:rsidR="00944457" w:rsidRDefault="00944457">
    <w:pPr>
      <w:pStyle w:val="Header"/>
    </w:pPr>
  </w:p>
  <w:tbl>
    <w:tblPr>
      <w:tblW w:w="9090" w:type="dxa"/>
      <w:tblLayout w:type="fixed"/>
      <w:tblLook w:val="0000" w:firstRow="0" w:lastRow="0" w:firstColumn="0" w:lastColumn="0" w:noHBand="0" w:noVBand="0"/>
    </w:tblPr>
    <w:tblGrid>
      <w:gridCol w:w="4590"/>
      <w:gridCol w:w="4500"/>
    </w:tblGrid>
    <w:tr w:rsidR="00944457" w:rsidRPr="008C1541" w:rsidTr="00612876">
      <w:tc>
        <w:tcPr>
          <w:tcW w:w="4590" w:type="dxa"/>
        </w:tcPr>
        <w:p w:rsidR="00944457" w:rsidRPr="008C1541" w:rsidRDefault="0040571C" w:rsidP="008C1541">
          <w:pPr>
            <w:spacing w:before="0" w:after="0"/>
            <w:ind w:left="-108"/>
            <w:rPr>
              <w:rFonts w:cs="Arial"/>
              <w:b/>
              <w:sz w:val="20"/>
            </w:rPr>
          </w:pPr>
          <w:r>
            <w:rPr>
              <w:rFonts w:cs="Arial"/>
              <w:b/>
              <w:sz w:val="20"/>
            </w:rPr>
            <w:t xml:space="preserve">Document de </w:t>
          </w:r>
          <w:proofErr w:type="spellStart"/>
          <w:r>
            <w:rPr>
              <w:rFonts w:cs="Arial"/>
              <w:b/>
              <w:sz w:val="20"/>
            </w:rPr>
            <w:t>référence</w:t>
          </w:r>
          <w:proofErr w:type="spellEnd"/>
          <w:r>
            <w:rPr>
              <w:rFonts w:cs="Arial"/>
              <w:b/>
              <w:sz w:val="20"/>
            </w:rPr>
            <w:t xml:space="preserve"> 2019/02</w:t>
          </w:r>
        </w:p>
      </w:tc>
      <w:tc>
        <w:tcPr>
          <w:tcW w:w="4500" w:type="dxa"/>
        </w:tcPr>
        <w:p w:rsidR="00944457" w:rsidRPr="008C1541" w:rsidRDefault="00944457" w:rsidP="000F423B">
          <w:pPr>
            <w:spacing w:before="0" w:after="0"/>
            <w:rPr>
              <w:rFonts w:cs="Arial"/>
              <w:b/>
              <w:sz w:val="20"/>
            </w:rPr>
          </w:pPr>
          <w:r>
            <w:rPr>
              <w:rFonts w:cs="Arial"/>
              <w:b/>
              <w:sz w:val="20"/>
            </w:rPr>
            <w:t>Reference Document 2019/02</w:t>
          </w:r>
        </w:p>
      </w:tc>
    </w:tr>
    <w:tr w:rsidR="00944457" w:rsidRPr="008C1541" w:rsidTr="00612876">
      <w:tc>
        <w:tcPr>
          <w:tcW w:w="4590" w:type="dxa"/>
        </w:tcPr>
        <w:p w:rsidR="00944457" w:rsidRPr="008C1541" w:rsidRDefault="00944457" w:rsidP="008C1541">
          <w:pPr>
            <w:spacing w:before="0" w:after="0"/>
            <w:ind w:left="-108"/>
            <w:rPr>
              <w:rFonts w:cs="Arial"/>
              <w:sz w:val="20"/>
              <w:lang w:val="fr-CA"/>
            </w:rPr>
          </w:pPr>
          <w:r w:rsidRPr="008C1541">
            <w:rPr>
              <w:rFonts w:cs="Arial"/>
              <w:sz w:val="20"/>
              <w:lang w:val="fr-CA"/>
            </w:rPr>
            <w:t>Ne pas citer sans</w:t>
          </w:r>
        </w:p>
        <w:p w:rsidR="00944457" w:rsidRPr="008C1541" w:rsidRDefault="00944457" w:rsidP="008C1541">
          <w:pPr>
            <w:spacing w:before="0" w:after="0"/>
            <w:ind w:left="-108"/>
            <w:rPr>
              <w:rFonts w:cs="Arial"/>
              <w:sz w:val="20"/>
              <w:u w:val="single"/>
              <w:lang w:val="fr-CA"/>
            </w:rPr>
          </w:pPr>
          <w:r w:rsidRPr="008C1541">
            <w:rPr>
              <w:rFonts w:cs="Arial"/>
              <w:sz w:val="20"/>
              <w:u w:val="single"/>
              <w:lang w:val="fr-CA"/>
            </w:rPr>
            <w:t>autorisation des auteurs</w:t>
          </w:r>
        </w:p>
      </w:tc>
      <w:tc>
        <w:tcPr>
          <w:tcW w:w="4500" w:type="dxa"/>
        </w:tcPr>
        <w:p w:rsidR="00944457" w:rsidRPr="008C1541" w:rsidRDefault="00944457" w:rsidP="008C1541">
          <w:pPr>
            <w:spacing w:before="0" w:after="0"/>
            <w:rPr>
              <w:rFonts w:cs="Arial"/>
              <w:sz w:val="20"/>
            </w:rPr>
          </w:pPr>
          <w:r w:rsidRPr="008C1541">
            <w:rPr>
              <w:rFonts w:cs="Arial"/>
              <w:sz w:val="20"/>
            </w:rPr>
            <w:t>Not to be cited without</w:t>
          </w:r>
        </w:p>
        <w:p w:rsidR="00944457" w:rsidRPr="008C1541" w:rsidRDefault="00944457" w:rsidP="008C1541">
          <w:pPr>
            <w:spacing w:before="0" w:after="0"/>
            <w:rPr>
              <w:rFonts w:cs="Arial"/>
              <w:sz w:val="20"/>
              <w:lang w:val="en-CA"/>
            </w:rPr>
          </w:pPr>
          <w:r w:rsidRPr="008C1541">
            <w:rPr>
              <w:rFonts w:cs="Arial"/>
              <w:sz w:val="20"/>
              <w:u w:val="single"/>
            </w:rPr>
            <w:t>permission of the authors</w:t>
          </w:r>
        </w:p>
      </w:tc>
    </w:tr>
  </w:tbl>
  <w:p w:rsidR="00944457" w:rsidRPr="008C1541" w:rsidRDefault="00944457">
    <w:pPr>
      <w:pStyle w:val="Header"/>
      <w:rPr>
        <w:rFonts w:cs="Arial"/>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457" w:rsidRDefault="009444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457" w:rsidRPr="00DA68D4" w:rsidRDefault="00944457" w:rsidP="00DE4E04">
    <w:pPr>
      <w:pBdr>
        <w:bottom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457" w:rsidRDefault="00944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66A7B4C"/>
    <w:lvl w:ilvl="0">
      <w:start w:val="1"/>
      <w:numFmt w:val="lowerLetter"/>
      <w:pStyle w:val="ListNumber2"/>
      <w:lvlText w:val="%1."/>
      <w:lvlJc w:val="left"/>
      <w:pPr>
        <w:ind w:left="643" w:hanging="360"/>
      </w:pPr>
    </w:lvl>
  </w:abstractNum>
  <w:abstractNum w:abstractNumId="1" w15:restartNumberingAfterBreak="0">
    <w:nsid w:val="FFFFFF83"/>
    <w:multiLevelType w:val="singleLevel"/>
    <w:tmpl w:val="BB3C76C4"/>
    <w:lvl w:ilvl="0">
      <w:start w:val="1"/>
      <w:numFmt w:val="bullet"/>
      <w:pStyle w:val="ListBullet2"/>
      <w:lvlText w:val="o"/>
      <w:lvlJc w:val="left"/>
      <w:pPr>
        <w:ind w:left="643" w:hanging="360"/>
      </w:pPr>
      <w:rPr>
        <w:rFonts w:ascii="Courier New" w:hAnsi="Courier New" w:cs="Courier New" w:hint="default"/>
      </w:rPr>
    </w:lvl>
  </w:abstractNum>
  <w:abstractNum w:abstractNumId="2" w15:restartNumberingAfterBreak="0">
    <w:nsid w:val="FFFFFF88"/>
    <w:multiLevelType w:val="singleLevel"/>
    <w:tmpl w:val="AE6ABC4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099AC4BA"/>
    <w:lvl w:ilvl="0">
      <w:start w:val="1"/>
      <w:numFmt w:val="bullet"/>
      <w:pStyle w:val="ListBullet"/>
      <w:lvlText w:val=""/>
      <w:lvlJc w:val="left"/>
      <w:pPr>
        <w:tabs>
          <w:tab w:val="num" w:pos="360"/>
        </w:tabs>
        <w:ind w:left="360" w:hanging="360"/>
      </w:pPr>
      <w:rPr>
        <w:rFonts w:ascii="Symbol" w:hAnsi="Symbol" w:hint="default"/>
        <w:lang w:val="en-CA"/>
      </w:rPr>
    </w:lvl>
  </w:abstractNum>
  <w:abstractNum w:abstractNumId="4" w15:restartNumberingAfterBreak="0">
    <w:nsid w:val="02D01E5E"/>
    <w:multiLevelType w:val="hybridMultilevel"/>
    <w:tmpl w:val="6ADAB596"/>
    <w:lvl w:ilvl="0" w:tplc="A1EA2666">
      <w:start w:val="1"/>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05677791"/>
    <w:multiLevelType w:val="hybridMultilevel"/>
    <w:tmpl w:val="6B40DB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8A12E2A"/>
    <w:multiLevelType w:val="hybridMultilevel"/>
    <w:tmpl w:val="18666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F1311"/>
    <w:multiLevelType w:val="hybridMultilevel"/>
    <w:tmpl w:val="364435D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3A436A1"/>
    <w:multiLevelType w:val="hybridMultilevel"/>
    <w:tmpl w:val="E75EA8A4"/>
    <w:lvl w:ilvl="0" w:tplc="1009000F">
      <w:start w:val="1"/>
      <w:numFmt w:val="decimal"/>
      <w:lvlText w:val="%1."/>
      <w:lvlJc w:val="left"/>
      <w:pPr>
        <w:ind w:left="-360" w:hanging="360"/>
      </w:pPr>
    </w:lvl>
    <w:lvl w:ilvl="1" w:tplc="10090019" w:tentative="1">
      <w:start w:val="1"/>
      <w:numFmt w:val="lowerLetter"/>
      <w:lvlText w:val="%2."/>
      <w:lvlJc w:val="left"/>
      <w:pPr>
        <w:ind w:left="360" w:hanging="360"/>
      </w:pPr>
    </w:lvl>
    <w:lvl w:ilvl="2" w:tplc="1009001B" w:tentative="1">
      <w:start w:val="1"/>
      <w:numFmt w:val="lowerRoman"/>
      <w:lvlText w:val="%3."/>
      <w:lvlJc w:val="right"/>
      <w:pPr>
        <w:ind w:left="1080" w:hanging="180"/>
      </w:pPr>
    </w:lvl>
    <w:lvl w:ilvl="3" w:tplc="1009000F" w:tentative="1">
      <w:start w:val="1"/>
      <w:numFmt w:val="decimal"/>
      <w:lvlText w:val="%4."/>
      <w:lvlJc w:val="left"/>
      <w:pPr>
        <w:ind w:left="1800" w:hanging="360"/>
      </w:pPr>
    </w:lvl>
    <w:lvl w:ilvl="4" w:tplc="10090019" w:tentative="1">
      <w:start w:val="1"/>
      <w:numFmt w:val="lowerLetter"/>
      <w:lvlText w:val="%5."/>
      <w:lvlJc w:val="left"/>
      <w:pPr>
        <w:ind w:left="2520" w:hanging="360"/>
      </w:pPr>
    </w:lvl>
    <w:lvl w:ilvl="5" w:tplc="1009001B" w:tentative="1">
      <w:start w:val="1"/>
      <w:numFmt w:val="lowerRoman"/>
      <w:lvlText w:val="%6."/>
      <w:lvlJc w:val="right"/>
      <w:pPr>
        <w:ind w:left="3240" w:hanging="180"/>
      </w:pPr>
    </w:lvl>
    <w:lvl w:ilvl="6" w:tplc="1009000F" w:tentative="1">
      <w:start w:val="1"/>
      <w:numFmt w:val="decimal"/>
      <w:lvlText w:val="%7."/>
      <w:lvlJc w:val="left"/>
      <w:pPr>
        <w:ind w:left="3960" w:hanging="360"/>
      </w:pPr>
    </w:lvl>
    <w:lvl w:ilvl="7" w:tplc="10090019" w:tentative="1">
      <w:start w:val="1"/>
      <w:numFmt w:val="lowerLetter"/>
      <w:lvlText w:val="%8."/>
      <w:lvlJc w:val="left"/>
      <w:pPr>
        <w:ind w:left="4680" w:hanging="360"/>
      </w:pPr>
    </w:lvl>
    <w:lvl w:ilvl="8" w:tplc="1009001B" w:tentative="1">
      <w:start w:val="1"/>
      <w:numFmt w:val="lowerRoman"/>
      <w:lvlText w:val="%9."/>
      <w:lvlJc w:val="right"/>
      <w:pPr>
        <w:ind w:left="5400" w:hanging="180"/>
      </w:pPr>
    </w:lvl>
  </w:abstractNum>
  <w:abstractNum w:abstractNumId="9" w15:restartNumberingAfterBreak="0">
    <w:nsid w:val="1609029D"/>
    <w:multiLevelType w:val="hybridMultilevel"/>
    <w:tmpl w:val="968E517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B4A0DE0"/>
    <w:multiLevelType w:val="hybridMultilevel"/>
    <w:tmpl w:val="F5D0F640"/>
    <w:lvl w:ilvl="0" w:tplc="5394EC3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B7056A2"/>
    <w:multiLevelType w:val="hybridMultilevel"/>
    <w:tmpl w:val="DF520BBE"/>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15:restartNumberingAfterBreak="0">
    <w:nsid w:val="2D611289"/>
    <w:multiLevelType w:val="hybridMultilevel"/>
    <w:tmpl w:val="EA78A4A4"/>
    <w:lvl w:ilvl="0" w:tplc="634CB34C">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E582AB4"/>
    <w:multiLevelType w:val="hybridMultilevel"/>
    <w:tmpl w:val="74204DA8"/>
    <w:lvl w:ilvl="0" w:tplc="00CE266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FF05842"/>
    <w:multiLevelType w:val="hybridMultilevel"/>
    <w:tmpl w:val="22FED5DA"/>
    <w:lvl w:ilvl="0" w:tplc="09208DDA">
      <w:numFmt w:val="bullet"/>
      <w:lvlText w:val="-"/>
      <w:lvlJc w:val="left"/>
      <w:pPr>
        <w:ind w:left="1440" w:hanging="72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321464FF"/>
    <w:multiLevelType w:val="hybridMultilevel"/>
    <w:tmpl w:val="76EEEA1A"/>
    <w:lvl w:ilvl="0" w:tplc="09208DDA">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F8F7506"/>
    <w:multiLevelType w:val="hybridMultilevel"/>
    <w:tmpl w:val="4E64A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E1E1A"/>
    <w:multiLevelType w:val="hybridMultilevel"/>
    <w:tmpl w:val="72209E98"/>
    <w:lvl w:ilvl="0" w:tplc="2B70B970">
      <w:start w:val="2017"/>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547555FD"/>
    <w:multiLevelType w:val="hybridMultilevel"/>
    <w:tmpl w:val="240C3AD4"/>
    <w:lvl w:ilvl="0" w:tplc="556C915E">
      <w:numFmt w:val="bullet"/>
      <w:lvlText w:val=""/>
      <w:lvlJc w:val="left"/>
      <w:pPr>
        <w:ind w:left="480" w:hanging="360"/>
      </w:pPr>
      <w:rPr>
        <w:rFonts w:ascii="Symbol" w:eastAsia="Symbol" w:hAnsi="Symbol" w:cs="Symbol" w:hint="default"/>
        <w:w w:val="100"/>
        <w:sz w:val="22"/>
        <w:szCs w:val="22"/>
        <w:lang w:val="en-CA" w:eastAsia="en-CA" w:bidi="en-CA"/>
      </w:rPr>
    </w:lvl>
    <w:lvl w:ilvl="1" w:tplc="432677C8">
      <w:numFmt w:val="bullet"/>
      <w:lvlText w:val="•"/>
      <w:lvlJc w:val="left"/>
      <w:pPr>
        <w:ind w:left="1392" w:hanging="360"/>
      </w:pPr>
      <w:rPr>
        <w:rFonts w:hint="default"/>
        <w:lang w:val="en-CA" w:eastAsia="en-CA" w:bidi="en-CA"/>
      </w:rPr>
    </w:lvl>
    <w:lvl w:ilvl="2" w:tplc="B7E6A418">
      <w:numFmt w:val="bullet"/>
      <w:lvlText w:val="•"/>
      <w:lvlJc w:val="left"/>
      <w:pPr>
        <w:ind w:left="2304" w:hanging="360"/>
      </w:pPr>
      <w:rPr>
        <w:rFonts w:hint="default"/>
        <w:lang w:val="en-CA" w:eastAsia="en-CA" w:bidi="en-CA"/>
      </w:rPr>
    </w:lvl>
    <w:lvl w:ilvl="3" w:tplc="B3D2F3E2">
      <w:numFmt w:val="bullet"/>
      <w:lvlText w:val="•"/>
      <w:lvlJc w:val="left"/>
      <w:pPr>
        <w:ind w:left="3216" w:hanging="360"/>
      </w:pPr>
      <w:rPr>
        <w:rFonts w:hint="default"/>
        <w:lang w:val="en-CA" w:eastAsia="en-CA" w:bidi="en-CA"/>
      </w:rPr>
    </w:lvl>
    <w:lvl w:ilvl="4" w:tplc="CB66A5E6">
      <w:numFmt w:val="bullet"/>
      <w:lvlText w:val="•"/>
      <w:lvlJc w:val="left"/>
      <w:pPr>
        <w:ind w:left="4128" w:hanging="360"/>
      </w:pPr>
      <w:rPr>
        <w:rFonts w:hint="default"/>
        <w:lang w:val="en-CA" w:eastAsia="en-CA" w:bidi="en-CA"/>
      </w:rPr>
    </w:lvl>
    <w:lvl w:ilvl="5" w:tplc="08FACCDE">
      <w:numFmt w:val="bullet"/>
      <w:lvlText w:val="•"/>
      <w:lvlJc w:val="left"/>
      <w:pPr>
        <w:ind w:left="5040" w:hanging="360"/>
      </w:pPr>
      <w:rPr>
        <w:rFonts w:hint="default"/>
        <w:lang w:val="en-CA" w:eastAsia="en-CA" w:bidi="en-CA"/>
      </w:rPr>
    </w:lvl>
    <w:lvl w:ilvl="6" w:tplc="DC7CFF62">
      <w:numFmt w:val="bullet"/>
      <w:lvlText w:val="•"/>
      <w:lvlJc w:val="left"/>
      <w:pPr>
        <w:ind w:left="5952" w:hanging="360"/>
      </w:pPr>
      <w:rPr>
        <w:rFonts w:hint="default"/>
        <w:lang w:val="en-CA" w:eastAsia="en-CA" w:bidi="en-CA"/>
      </w:rPr>
    </w:lvl>
    <w:lvl w:ilvl="7" w:tplc="DF487EFA">
      <w:numFmt w:val="bullet"/>
      <w:lvlText w:val="•"/>
      <w:lvlJc w:val="left"/>
      <w:pPr>
        <w:ind w:left="6864" w:hanging="360"/>
      </w:pPr>
      <w:rPr>
        <w:rFonts w:hint="default"/>
        <w:lang w:val="en-CA" w:eastAsia="en-CA" w:bidi="en-CA"/>
      </w:rPr>
    </w:lvl>
    <w:lvl w:ilvl="8" w:tplc="DA7AF720">
      <w:numFmt w:val="bullet"/>
      <w:lvlText w:val="•"/>
      <w:lvlJc w:val="left"/>
      <w:pPr>
        <w:ind w:left="7776" w:hanging="360"/>
      </w:pPr>
      <w:rPr>
        <w:rFonts w:hint="default"/>
        <w:lang w:val="en-CA" w:eastAsia="en-CA" w:bidi="en-CA"/>
      </w:rPr>
    </w:lvl>
  </w:abstractNum>
  <w:abstractNum w:abstractNumId="19" w15:restartNumberingAfterBreak="0">
    <w:nsid w:val="5D1529EF"/>
    <w:multiLevelType w:val="multilevel"/>
    <w:tmpl w:val="EAB812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0770BE5"/>
    <w:multiLevelType w:val="hybridMultilevel"/>
    <w:tmpl w:val="D920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1A537E"/>
    <w:multiLevelType w:val="hybridMultilevel"/>
    <w:tmpl w:val="A45A843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6E3771E3"/>
    <w:multiLevelType w:val="hybridMultilevel"/>
    <w:tmpl w:val="A28A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64DC2"/>
    <w:multiLevelType w:val="hybridMultilevel"/>
    <w:tmpl w:val="857E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204265"/>
    <w:multiLevelType w:val="hybridMultilevel"/>
    <w:tmpl w:val="BE58B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D87A70"/>
    <w:multiLevelType w:val="hybridMultilevel"/>
    <w:tmpl w:val="D782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1"/>
  </w:num>
  <w:num w:numId="10">
    <w:abstractNumId w:val="8"/>
  </w:num>
  <w:num w:numId="11">
    <w:abstractNumId w:val="17"/>
  </w:num>
  <w:num w:numId="12">
    <w:abstractNumId w:val="12"/>
  </w:num>
  <w:num w:numId="13">
    <w:abstractNumId w:val="20"/>
  </w:num>
  <w:num w:numId="14">
    <w:abstractNumId w:val="24"/>
  </w:num>
  <w:num w:numId="15">
    <w:abstractNumId w:val="6"/>
  </w:num>
  <w:num w:numId="16">
    <w:abstractNumId w:val="18"/>
  </w:num>
  <w:num w:numId="17">
    <w:abstractNumId w:val="4"/>
  </w:num>
  <w:num w:numId="18">
    <w:abstractNumId w:val="22"/>
  </w:num>
  <w:num w:numId="19">
    <w:abstractNumId w:val="13"/>
  </w:num>
  <w:num w:numId="20">
    <w:abstractNumId w:val="25"/>
  </w:num>
  <w:num w:numId="21">
    <w:abstractNumId w:val="16"/>
  </w:num>
  <w:num w:numId="22">
    <w:abstractNumId w:val="5"/>
  </w:num>
  <w:num w:numId="23">
    <w:abstractNumId w:val="15"/>
  </w:num>
  <w:num w:numId="24">
    <w:abstractNumId w:val="14"/>
  </w:num>
  <w:num w:numId="25">
    <w:abstractNumId w:val="21"/>
  </w:num>
  <w:num w:numId="26">
    <w:abstractNumId w:val="7"/>
  </w:num>
  <w:num w:numId="27">
    <w:abstractNumId w:val="3"/>
  </w:num>
  <w:num w:numId="28">
    <w:abstractNumId w:val="3"/>
  </w:num>
  <w:num w:numId="29">
    <w:abstractNumId w:val="1"/>
  </w:num>
  <w:num w:numId="30">
    <w:abstractNumId w:val="2"/>
  </w:num>
  <w:num w:numId="31">
    <w:abstractNumId w:val="2"/>
  </w:num>
  <w:num w:numId="32">
    <w:abstractNumId w:val="0"/>
  </w:num>
  <w:num w:numId="3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8193" fill="f" fillcolor="white" stroke="f">
      <v:fill color="white" on="f"/>
      <v:stroke on="f"/>
    </o:shapedefaults>
  </w:hdrShapeDefaults>
  <w:footnotePr>
    <w:pos w:val="beneathText"/>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94"/>
    <w:rsid w:val="00000162"/>
    <w:rsid w:val="000002AE"/>
    <w:rsid w:val="00000513"/>
    <w:rsid w:val="00000B23"/>
    <w:rsid w:val="00000C10"/>
    <w:rsid w:val="00001865"/>
    <w:rsid w:val="00001990"/>
    <w:rsid w:val="00001A69"/>
    <w:rsid w:val="00002036"/>
    <w:rsid w:val="0000262F"/>
    <w:rsid w:val="000030B8"/>
    <w:rsid w:val="00003173"/>
    <w:rsid w:val="00003988"/>
    <w:rsid w:val="00003B15"/>
    <w:rsid w:val="00003BC4"/>
    <w:rsid w:val="00003E93"/>
    <w:rsid w:val="00004B58"/>
    <w:rsid w:val="00004C0D"/>
    <w:rsid w:val="00004EC6"/>
    <w:rsid w:val="0000551D"/>
    <w:rsid w:val="00005626"/>
    <w:rsid w:val="00005B1F"/>
    <w:rsid w:val="0000613B"/>
    <w:rsid w:val="000064AD"/>
    <w:rsid w:val="00006F82"/>
    <w:rsid w:val="000071CD"/>
    <w:rsid w:val="00007874"/>
    <w:rsid w:val="00007E96"/>
    <w:rsid w:val="000100FF"/>
    <w:rsid w:val="00010109"/>
    <w:rsid w:val="000108EA"/>
    <w:rsid w:val="0001139E"/>
    <w:rsid w:val="00012B8C"/>
    <w:rsid w:val="00012D66"/>
    <w:rsid w:val="00013036"/>
    <w:rsid w:val="000133DC"/>
    <w:rsid w:val="00013F83"/>
    <w:rsid w:val="0001401C"/>
    <w:rsid w:val="00014E46"/>
    <w:rsid w:val="00015972"/>
    <w:rsid w:val="00016707"/>
    <w:rsid w:val="00017303"/>
    <w:rsid w:val="00017523"/>
    <w:rsid w:val="00017786"/>
    <w:rsid w:val="00017ADB"/>
    <w:rsid w:val="0002078C"/>
    <w:rsid w:val="00020BCA"/>
    <w:rsid w:val="00020BD2"/>
    <w:rsid w:val="000212BE"/>
    <w:rsid w:val="00022DE5"/>
    <w:rsid w:val="00023EAC"/>
    <w:rsid w:val="0002414E"/>
    <w:rsid w:val="00025CEC"/>
    <w:rsid w:val="000272A8"/>
    <w:rsid w:val="00027EC8"/>
    <w:rsid w:val="00030050"/>
    <w:rsid w:val="000300FE"/>
    <w:rsid w:val="0003054E"/>
    <w:rsid w:val="0003078E"/>
    <w:rsid w:val="00030795"/>
    <w:rsid w:val="00030B9C"/>
    <w:rsid w:val="00030C1C"/>
    <w:rsid w:val="00030D66"/>
    <w:rsid w:val="00032AEB"/>
    <w:rsid w:val="00032E43"/>
    <w:rsid w:val="000332A9"/>
    <w:rsid w:val="0003339F"/>
    <w:rsid w:val="0003425C"/>
    <w:rsid w:val="00034605"/>
    <w:rsid w:val="0003462F"/>
    <w:rsid w:val="00034FC7"/>
    <w:rsid w:val="000358FA"/>
    <w:rsid w:val="0003628A"/>
    <w:rsid w:val="0003674D"/>
    <w:rsid w:val="0003763E"/>
    <w:rsid w:val="000376C9"/>
    <w:rsid w:val="000377E8"/>
    <w:rsid w:val="00037C27"/>
    <w:rsid w:val="00037E17"/>
    <w:rsid w:val="00040494"/>
    <w:rsid w:val="00040CCB"/>
    <w:rsid w:val="00043D61"/>
    <w:rsid w:val="000441BF"/>
    <w:rsid w:val="0004435B"/>
    <w:rsid w:val="00044FBA"/>
    <w:rsid w:val="00046B6E"/>
    <w:rsid w:val="00046D34"/>
    <w:rsid w:val="00046E59"/>
    <w:rsid w:val="0004721F"/>
    <w:rsid w:val="00047275"/>
    <w:rsid w:val="00047C09"/>
    <w:rsid w:val="00050221"/>
    <w:rsid w:val="00050342"/>
    <w:rsid w:val="00050D10"/>
    <w:rsid w:val="00051DB6"/>
    <w:rsid w:val="000528CD"/>
    <w:rsid w:val="00053C19"/>
    <w:rsid w:val="00053ECA"/>
    <w:rsid w:val="00053F58"/>
    <w:rsid w:val="000544AE"/>
    <w:rsid w:val="00054FBF"/>
    <w:rsid w:val="00056135"/>
    <w:rsid w:val="00056506"/>
    <w:rsid w:val="00056CEB"/>
    <w:rsid w:val="00057100"/>
    <w:rsid w:val="0006001E"/>
    <w:rsid w:val="00060398"/>
    <w:rsid w:val="000604AB"/>
    <w:rsid w:val="0006086D"/>
    <w:rsid w:val="000611DD"/>
    <w:rsid w:val="000611E3"/>
    <w:rsid w:val="000617EC"/>
    <w:rsid w:val="000619C8"/>
    <w:rsid w:val="00061DC7"/>
    <w:rsid w:val="00061EEB"/>
    <w:rsid w:val="00062847"/>
    <w:rsid w:val="0006341A"/>
    <w:rsid w:val="0006388E"/>
    <w:rsid w:val="0006443E"/>
    <w:rsid w:val="000645B0"/>
    <w:rsid w:val="0006474C"/>
    <w:rsid w:val="0006520B"/>
    <w:rsid w:val="00065B3E"/>
    <w:rsid w:val="00065D9E"/>
    <w:rsid w:val="00065EAB"/>
    <w:rsid w:val="000661BC"/>
    <w:rsid w:val="000662DB"/>
    <w:rsid w:val="000666C8"/>
    <w:rsid w:val="00066892"/>
    <w:rsid w:val="00066F35"/>
    <w:rsid w:val="00066FBB"/>
    <w:rsid w:val="000670A0"/>
    <w:rsid w:val="00067955"/>
    <w:rsid w:val="00070249"/>
    <w:rsid w:val="00071432"/>
    <w:rsid w:val="00071BC5"/>
    <w:rsid w:val="00072FB6"/>
    <w:rsid w:val="00073190"/>
    <w:rsid w:val="00073915"/>
    <w:rsid w:val="00073973"/>
    <w:rsid w:val="00074391"/>
    <w:rsid w:val="00074C81"/>
    <w:rsid w:val="0007521D"/>
    <w:rsid w:val="00075345"/>
    <w:rsid w:val="0007554C"/>
    <w:rsid w:val="000760DA"/>
    <w:rsid w:val="00076207"/>
    <w:rsid w:val="0007623E"/>
    <w:rsid w:val="00076B6C"/>
    <w:rsid w:val="00076C64"/>
    <w:rsid w:val="00076DBE"/>
    <w:rsid w:val="00077FEB"/>
    <w:rsid w:val="00080B96"/>
    <w:rsid w:val="00080CCD"/>
    <w:rsid w:val="0008264E"/>
    <w:rsid w:val="000831DD"/>
    <w:rsid w:val="0008341E"/>
    <w:rsid w:val="000837E4"/>
    <w:rsid w:val="00084392"/>
    <w:rsid w:val="000849FC"/>
    <w:rsid w:val="00084BDF"/>
    <w:rsid w:val="00084D8B"/>
    <w:rsid w:val="00085545"/>
    <w:rsid w:val="00085743"/>
    <w:rsid w:val="0008610A"/>
    <w:rsid w:val="0008619A"/>
    <w:rsid w:val="00086315"/>
    <w:rsid w:val="00087CBA"/>
    <w:rsid w:val="00090636"/>
    <w:rsid w:val="00090707"/>
    <w:rsid w:val="00090C53"/>
    <w:rsid w:val="00091C0E"/>
    <w:rsid w:val="000922A4"/>
    <w:rsid w:val="000926D6"/>
    <w:rsid w:val="00094110"/>
    <w:rsid w:val="00094402"/>
    <w:rsid w:val="000950CA"/>
    <w:rsid w:val="00095841"/>
    <w:rsid w:val="000958A6"/>
    <w:rsid w:val="000960EE"/>
    <w:rsid w:val="000961FE"/>
    <w:rsid w:val="000963DB"/>
    <w:rsid w:val="000964E6"/>
    <w:rsid w:val="00096551"/>
    <w:rsid w:val="0009734F"/>
    <w:rsid w:val="000978DB"/>
    <w:rsid w:val="000A0226"/>
    <w:rsid w:val="000A0A48"/>
    <w:rsid w:val="000A19CE"/>
    <w:rsid w:val="000A1FC2"/>
    <w:rsid w:val="000A35D7"/>
    <w:rsid w:val="000A3691"/>
    <w:rsid w:val="000A3804"/>
    <w:rsid w:val="000A4188"/>
    <w:rsid w:val="000A4B9C"/>
    <w:rsid w:val="000A5125"/>
    <w:rsid w:val="000A57F6"/>
    <w:rsid w:val="000A5969"/>
    <w:rsid w:val="000A5ABF"/>
    <w:rsid w:val="000A62DB"/>
    <w:rsid w:val="000A76A9"/>
    <w:rsid w:val="000A7C86"/>
    <w:rsid w:val="000A7D42"/>
    <w:rsid w:val="000B0CBE"/>
    <w:rsid w:val="000B12CD"/>
    <w:rsid w:val="000B15B1"/>
    <w:rsid w:val="000B18AF"/>
    <w:rsid w:val="000B263F"/>
    <w:rsid w:val="000B2BC2"/>
    <w:rsid w:val="000B34BA"/>
    <w:rsid w:val="000B3598"/>
    <w:rsid w:val="000B3B63"/>
    <w:rsid w:val="000B51D6"/>
    <w:rsid w:val="000B5C01"/>
    <w:rsid w:val="000B5CB2"/>
    <w:rsid w:val="000B5FD9"/>
    <w:rsid w:val="000B6EBA"/>
    <w:rsid w:val="000B7CAD"/>
    <w:rsid w:val="000B7CE5"/>
    <w:rsid w:val="000B7F0C"/>
    <w:rsid w:val="000B7FD6"/>
    <w:rsid w:val="000C1528"/>
    <w:rsid w:val="000C1CFC"/>
    <w:rsid w:val="000C227A"/>
    <w:rsid w:val="000C3DFC"/>
    <w:rsid w:val="000C4D0D"/>
    <w:rsid w:val="000C52C8"/>
    <w:rsid w:val="000C5D4E"/>
    <w:rsid w:val="000C5EA0"/>
    <w:rsid w:val="000C6217"/>
    <w:rsid w:val="000C65FA"/>
    <w:rsid w:val="000C713A"/>
    <w:rsid w:val="000C740A"/>
    <w:rsid w:val="000C796E"/>
    <w:rsid w:val="000C7F60"/>
    <w:rsid w:val="000D0C0A"/>
    <w:rsid w:val="000D0C3C"/>
    <w:rsid w:val="000D1149"/>
    <w:rsid w:val="000D1273"/>
    <w:rsid w:val="000D1D11"/>
    <w:rsid w:val="000D2772"/>
    <w:rsid w:val="000D2E85"/>
    <w:rsid w:val="000D32CF"/>
    <w:rsid w:val="000D3EE9"/>
    <w:rsid w:val="000D5148"/>
    <w:rsid w:val="000D5C16"/>
    <w:rsid w:val="000D63E4"/>
    <w:rsid w:val="000D6D26"/>
    <w:rsid w:val="000D714A"/>
    <w:rsid w:val="000D766A"/>
    <w:rsid w:val="000D7C9D"/>
    <w:rsid w:val="000E02A3"/>
    <w:rsid w:val="000E02A6"/>
    <w:rsid w:val="000E0512"/>
    <w:rsid w:val="000E0C42"/>
    <w:rsid w:val="000E1358"/>
    <w:rsid w:val="000E1B96"/>
    <w:rsid w:val="000E2F46"/>
    <w:rsid w:val="000E3018"/>
    <w:rsid w:val="000E3500"/>
    <w:rsid w:val="000E39B5"/>
    <w:rsid w:val="000E3CF8"/>
    <w:rsid w:val="000E504F"/>
    <w:rsid w:val="000E6A49"/>
    <w:rsid w:val="000E7568"/>
    <w:rsid w:val="000F0056"/>
    <w:rsid w:val="000F0082"/>
    <w:rsid w:val="000F0539"/>
    <w:rsid w:val="000F08F9"/>
    <w:rsid w:val="000F1749"/>
    <w:rsid w:val="000F21E9"/>
    <w:rsid w:val="000F414A"/>
    <w:rsid w:val="000F423B"/>
    <w:rsid w:val="000F44F4"/>
    <w:rsid w:val="000F4854"/>
    <w:rsid w:val="000F4B5D"/>
    <w:rsid w:val="000F52A2"/>
    <w:rsid w:val="000F57A2"/>
    <w:rsid w:val="000F5A66"/>
    <w:rsid w:val="000F5A81"/>
    <w:rsid w:val="000F5DDB"/>
    <w:rsid w:val="000F7131"/>
    <w:rsid w:val="000F7233"/>
    <w:rsid w:val="000F7479"/>
    <w:rsid w:val="000F7B49"/>
    <w:rsid w:val="000F7DF9"/>
    <w:rsid w:val="0010030E"/>
    <w:rsid w:val="0010163D"/>
    <w:rsid w:val="001027AE"/>
    <w:rsid w:val="00102E39"/>
    <w:rsid w:val="00102E44"/>
    <w:rsid w:val="00102F51"/>
    <w:rsid w:val="00103033"/>
    <w:rsid w:val="00103590"/>
    <w:rsid w:val="00103664"/>
    <w:rsid w:val="00104BF2"/>
    <w:rsid w:val="0010539F"/>
    <w:rsid w:val="001061BF"/>
    <w:rsid w:val="0010647C"/>
    <w:rsid w:val="0010671B"/>
    <w:rsid w:val="001073BE"/>
    <w:rsid w:val="001073E2"/>
    <w:rsid w:val="00107598"/>
    <w:rsid w:val="0010760D"/>
    <w:rsid w:val="00107AF7"/>
    <w:rsid w:val="00107D25"/>
    <w:rsid w:val="00107DF7"/>
    <w:rsid w:val="0011009C"/>
    <w:rsid w:val="00111381"/>
    <w:rsid w:val="001114F5"/>
    <w:rsid w:val="0011174F"/>
    <w:rsid w:val="00111FF8"/>
    <w:rsid w:val="001130B8"/>
    <w:rsid w:val="00113722"/>
    <w:rsid w:val="00113896"/>
    <w:rsid w:val="00113A71"/>
    <w:rsid w:val="00113ADD"/>
    <w:rsid w:val="00113E27"/>
    <w:rsid w:val="00113FD7"/>
    <w:rsid w:val="00114059"/>
    <w:rsid w:val="001141DF"/>
    <w:rsid w:val="00114589"/>
    <w:rsid w:val="001145EE"/>
    <w:rsid w:val="00116664"/>
    <w:rsid w:val="00116D66"/>
    <w:rsid w:val="00116FA7"/>
    <w:rsid w:val="00117782"/>
    <w:rsid w:val="001177DD"/>
    <w:rsid w:val="00117AC8"/>
    <w:rsid w:val="00117FF8"/>
    <w:rsid w:val="00120944"/>
    <w:rsid w:val="00120D9B"/>
    <w:rsid w:val="00121502"/>
    <w:rsid w:val="00122BF3"/>
    <w:rsid w:val="00123181"/>
    <w:rsid w:val="0012337C"/>
    <w:rsid w:val="00123947"/>
    <w:rsid w:val="00123CC4"/>
    <w:rsid w:val="00124370"/>
    <w:rsid w:val="0012444C"/>
    <w:rsid w:val="001248C8"/>
    <w:rsid w:val="00124A85"/>
    <w:rsid w:val="001250FA"/>
    <w:rsid w:val="0012512D"/>
    <w:rsid w:val="00127462"/>
    <w:rsid w:val="00130542"/>
    <w:rsid w:val="00130898"/>
    <w:rsid w:val="00131127"/>
    <w:rsid w:val="001311E9"/>
    <w:rsid w:val="00132257"/>
    <w:rsid w:val="00132863"/>
    <w:rsid w:val="00132E37"/>
    <w:rsid w:val="0013315E"/>
    <w:rsid w:val="0013341F"/>
    <w:rsid w:val="00133429"/>
    <w:rsid w:val="001335FD"/>
    <w:rsid w:val="001339AE"/>
    <w:rsid w:val="00133F5F"/>
    <w:rsid w:val="001349CF"/>
    <w:rsid w:val="001360B3"/>
    <w:rsid w:val="00136296"/>
    <w:rsid w:val="001363C7"/>
    <w:rsid w:val="0013674F"/>
    <w:rsid w:val="00136BD5"/>
    <w:rsid w:val="0013702B"/>
    <w:rsid w:val="001372C0"/>
    <w:rsid w:val="00137BE6"/>
    <w:rsid w:val="0014049A"/>
    <w:rsid w:val="0014139F"/>
    <w:rsid w:val="001413E8"/>
    <w:rsid w:val="0014183E"/>
    <w:rsid w:val="001428EE"/>
    <w:rsid w:val="00143965"/>
    <w:rsid w:val="001441BB"/>
    <w:rsid w:val="00144F5B"/>
    <w:rsid w:val="001456F0"/>
    <w:rsid w:val="001457A9"/>
    <w:rsid w:val="0014750A"/>
    <w:rsid w:val="001539E0"/>
    <w:rsid w:val="00153B38"/>
    <w:rsid w:val="00153C47"/>
    <w:rsid w:val="001542D9"/>
    <w:rsid w:val="001544B6"/>
    <w:rsid w:val="00154A30"/>
    <w:rsid w:val="00155DD6"/>
    <w:rsid w:val="001563F4"/>
    <w:rsid w:val="00157F03"/>
    <w:rsid w:val="00160376"/>
    <w:rsid w:val="001607B1"/>
    <w:rsid w:val="00160F0D"/>
    <w:rsid w:val="00161505"/>
    <w:rsid w:val="0016192F"/>
    <w:rsid w:val="00161BD7"/>
    <w:rsid w:val="00161BE9"/>
    <w:rsid w:val="00161E94"/>
    <w:rsid w:val="001620A6"/>
    <w:rsid w:val="0016246A"/>
    <w:rsid w:val="00163B54"/>
    <w:rsid w:val="00163D5E"/>
    <w:rsid w:val="00163D7A"/>
    <w:rsid w:val="001640B5"/>
    <w:rsid w:val="001647DA"/>
    <w:rsid w:val="00164FC5"/>
    <w:rsid w:val="001661A0"/>
    <w:rsid w:val="001661C6"/>
    <w:rsid w:val="001663ED"/>
    <w:rsid w:val="001668B6"/>
    <w:rsid w:val="001668CE"/>
    <w:rsid w:val="00166CA8"/>
    <w:rsid w:val="00167161"/>
    <w:rsid w:val="00167BBD"/>
    <w:rsid w:val="00167CCB"/>
    <w:rsid w:val="00170B9D"/>
    <w:rsid w:val="00171033"/>
    <w:rsid w:val="00171840"/>
    <w:rsid w:val="00171D3B"/>
    <w:rsid w:val="00171E80"/>
    <w:rsid w:val="00172A35"/>
    <w:rsid w:val="00173685"/>
    <w:rsid w:val="00173D9F"/>
    <w:rsid w:val="00173F51"/>
    <w:rsid w:val="00175E70"/>
    <w:rsid w:val="00176055"/>
    <w:rsid w:val="0017694D"/>
    <w:rsid w:val="00176BA6"/>
    <w:rsid w:val="00176F73"/>
    <w:rsid w:val="00177021"/>
    <w:rsid w:val="00180C56"/>
    <w:rsid w:val="00180D9D"/>
    <w:rsid w:val="00181054"/>
    <w:rsid w:val="001812FF"/>
    <w:rsid w:val="00181691"/>
    <w:rsid w:val="00181958"/>
    <w:rsid w:val="00184231"/>
    <w:rsid w:val="001853F6"/>
    <w:rsid w:val="001855DF"/>
    <w:rsid w:val="001857BC"/>
    <w:rsid w:val="00185F83"/>
    <w:rsid w:val="00186315"/>
    <w:rsid w:val="00186AC0"/>
    <w:rsid w:val="00190192"/>
    <w:rsid w:val="00190535"/>
    <w:rsid w:val="00190926"/>
    <w:rsid w:val="00190E27"/>
    <w:rsid w:val="00191288"/>
    <w:rsid w:val="00191445"/>
    <w:rsid w:val="00191A11"/>
    <w:rsid w:val="00192020"/>
    <w:rsid w:val="001924B8"/>
    <w:rsid w:val="00192C5C"/>
    <w:rsid w:val="00192CB0"/>
    <w:rsid w:val="00192E82"/>
    <w:rsid w:val="00192F74"/>
    <w:rsid w:val="001931CC"/>
    <w:rsid w:val="0019408F"/>
    <w:rsid w:val="001942B6"/>
    <w:rsid w:val="0019469F"/>
    <w:rsid w:val="001948C3"/>
    <w:rsid w:val="00195161"/>
    <w:rsid w:val="00195694"/>
    <w:rsid w:val="001956B5"/>
    <w:rsid w:val="00195D1A"/>
    <w:rsid w:val="00196432"/>
    <w:rsid w:val="001970AF"/>
    <w:rsid w:val="00197A7E"/>
    <w:rsid w:val="00197B79"/>
    <w:rsid w:val="001A047B"/>
    <w:rsid w:val="001A089B"/>
    <w:rsid w:val="001A0A63"/>
    <w:rsid w:val="001A0E78"/>
    <w:rsid w:val="001A127D"/>
    <w:rsid w:val="001A173F"/>
    <w:rsid w:val="001A1ECA"/>
    <w:rsid w:val="001A20D1"/>
    <w:rsid w:val="001A24FC"/>
    <w:rsid w:val="001A2832"/>
    <w:rsid w:val="001A2DB7"/>
    <w:rsid w:val="001A381E"/>
    <w:rsid w:val="001A3CBC"/>
    <w:rsid w:val="001A4226"/>
    <w:rsid w:val="001A5667"/>
    <w:rsid w:val="001A5C99"/>
    <w:rsid w:val="001A5CA1"/>
    <w:rsid w:val="001A602A"/>
    <w:rsid w:val="001A62C4"/>
    <w:rsid w:val="001A7079"/>
    <w:rsid w:val="001B02D8"/>
    <w:rsid w:val="001B0B56"/>
    <w:rsid w:val="001B0B61"/>
    <w:rsid w:val="001B0BD8"/>
    <w:rsid w:val="001B1475"/>
    <w:rsid w:val="001B25A3"/>
    <w:rsid w:val="001B28C1"/>
    <w:rsid w:val="001B31D9"/>
    <w:rsid w:val="001B3285"/>
    <w:rsid w:val="001B374B"/>
    <w:rsid w:val="001B3A77"/>
    <w:rsid w:val="001B3B91"/>
    <w:rsid w:val="001B53A9"/>
    <w:rsid w:val="001B5502"/>
    <w:rsid w:val="001B5693"/>
    <w:rsid w:val="001B60E2"/>
    <w:rsid w:val="001B6BA3"/>
    <w:rsid w:val="001B6C10"/>
    <w:rsid w:val="001B6D6C"/>
    <w:rsid w:val="001B7D26"/>
    <w:rsid w:val="001C1782"/>
    <w:rsid w:val="001C1D13"/>
    <w:rsid w:val="001C269E"/>
    <w:rsid w:val="001C2906"/>
    <w:rsid w:val="001C4170"/>
    <w:rsid w:val="001C4EAC"/>
    <w:rsid w:val="001C4ED4"/>
    <w:rsid w:val="001C7C56"/>
    <w:rsid w:val="001D0528"/>
    <w:rsid w:val="001D091B"/>
    <w:rsid w:val="001D0989"/>
    <w:rsid w:val="001D16A4"/>
    <w:rsid w:val="001D2E0E"/>
    <w:rsid w:val="001D2E19"/>
    <w:rsid w:val="001D32E9"/>
    <w:rsid w:val="001D3793"/>
    <w:rsid w:val="001D4416"/>
    <w:rsid w:val="001D4FD7"/>
    <w:rsid w:val="001D5288"/>
    <w:rsid w:val="001D6410"/>
    <w:rsid w:val="001D64E3"/>
    <w:rsid w:val="001D67F9"/>
    <w:rsid w:val="001D6F51"/>
    <w:rsid w:val="001D77D5"/>
    <w:rsid w:val="001D781A"/>
    <w:rsid w:val="001D7E0D"/>
    <w:rsid w:val="001E03AF"/>
    <w:rsid w:val="001E081B"/>
    <w:rsid w:val="001E108B"/>
    <w:rsid w:val="001E1A21"/>
    <w:rsid w:val="001E1A6A"/>
    <w:rsid w:val="001E23ED"/>
    <w:rsid w:val="001E2498"/>
    <w:rsid w:val="001E4568"/>
    <w:rsid w:val="001E4AEB"/>
    <w:rsid w:val="001E4BE1"/>
    <w:rsid w:val="001E50B2"/>
    <w:rsid w:val="001E561C"/>
    <w:rsid w:val="001E5B19"/>
    <w:rsid w:val="001E608D"/>
    <w:rsid w:val="001E6AA5"/>
    <w:rsid w:val="001E6DCD"/>
    <w:rsid w:val="001E794F"/>
    <w:rsid w:val="001E7ECF"/>
    <w:rsid w:val="001E7F47"/>
    <w:rsid w:val="001F1837"/>
    <w:rsid w:val="001F1DA7"/>
    <w:rsid w:val="001F1E02"/>
    <w:rsid w:val="001F2163"/>
    <w:rsid w:val="001F38B2"/>
    <w:rsid w:val="001F3F9E"/>
    <w:rsid w:val="001F424F"/>
    <w:rsid w:val="001F5C77"/>
    <w:rsid w:val="001F6A9E"/>
    <w:rsid w:val="001F6B2D"/>
    <w:rsid w:val="001F7516"/>
    <w:rsid w:val="001F7523"/>
    <w:rsid w:val="0020015A"/>
    <w:rsid w:val="00200D33"/>
    <w:rsid w:val="00200EA6"/>
    <w:rsid w:val="00202061"/>
    <w:rsid w:val="00202992"/>
    <w:rsid w:val="00202B2B"/>
    <w:rsid w:val="00202DA2"/>
    <w:rsid w:val="00203BA1"/>
    <w:rsid w:val="00203BBE"/>
    <w:rsid w:val="00203EBE"/>
    <w:rsid w:val="002043FD"/>
    <w:rsid w:val="0020454B"/>
    <w:rsid w:val="00205610"/>
    <w:rsid w:val="00206474"/>
    <w:rsid w:val="00206E50"/>
    <w:rsid w:val="00206F94"/>
    <w:rsid w:val="002070B2"/>
    <w:rsid w:val="002070BF"/>
    <w:rsid w:val="002074F9"/>
    <w:rsid w:val="002077A6"/>
    <w:rsid w:val="0021258C"/>
    <w:rsid w:val="0021273B"/>
    <w:rsid w:val="002128F7"/>
    <w:rsid w:val="002137B3"/>
    <w:rsid w:val="00213E9B"/>
    <w:rsid w:val="00214E94"/>
    <w:rsid w:val="00215007"/>
    <w:rsid w:val="002162F7"/>
    <w:rsid w:val="00216AAA"/>
    <w:rsid w:val="00216D03"/>
    <w:rsid w:val="00217258"/>
    <w:rsid w:val="00217648"/>
    <w:rsid w:val="00220A15"/>
    <w:rsid w:val="00220B48"/>
    <w:rsid w:val="002214A0"/>
    <w:rsid w:val="00221548"/>
    <w:rsid w:val="00221C15"/>
    <w:rsid w:val="00222B8E"/>
    <w:rsid w:val="00223197"/>
    <w:rsid w:val="002243ED"/>
    <w:rsid w:val="00225688"/>
    <w:rsid w:val="00226684"/>
    <w:rsid w:val="00227ACD"/>
    <w:rsid w:val="00227D92"/>
    <w:rsid w:val="00227D9E"/>
    <w:rsid w:val="002300AB"/>
    <w:rsid w:val="00230288"/>
    <w:rsid w:val="0023069C"/>
    <w:rsid w:val="00230D6C"/>
    <w:rsid w:val="00230E09"/>
    <w:rsid w:val="00230F2E"/>
    <w:rsid w:val="00231B2F"/>
    <w:rsid w:val="00232A69"/>
    <w:rsid w:val="00232ADC"/>
    <w:rsid w:val="002337EC"/>
    <w:rsid w:val="00233EE5"/>
    <w:rsid w:val="002344D9"/>
    <w:rsid w:val="002349E4"/>
    <w:rsid w:val="00235488"/>
    <w:rsid w:val="002354E2"/>
    <w:rsid w:val="00235958"/>
    <w:rsid w:val="002365C4"/>
    <w:rsid w:val="0023674A"/>
    <w:rsid w:val="00237D7B"/>
    <w:rsid w:val="00237DD9"/>
    <w:rsid w:val="002400A8"/>
    <w:rsid w:val="002405A9"/>
    <w:rsid w:val="00240DEA"/>
    <w:rsid w:val="002411D3"/>
    <w:rsid w:val="002414FC"/>
    <w:rsid w:val="0024183B"/>
    <w:rsid w:val="002424E6"/>
    <w:rsid w:val="0024289B"/>
    <w:rsid w:val="00242DCF"/>
    <w:rsid w:val="002438EA"/>
    <w:rsid w:val="00243B03"/>
    <w:rsid w:val="002440DA"/>
    <w:rsid w:val="002450AA"/>
    <w:rsid w:val="00245513"/>
    <w:rsid w:val="00246112"/>
    <w:rsid w:val="00246323"/>
    <w:rsid w:val="0024671F"/>
    <w:rsid w:val="00246852"/>
    <w:rsid w:val="00246888"/>
    <w:rsid w:val="00246AD7"/>
    <w:rsid w:val="00246B02"/>
    <w:rsid w:val="002500CA"/>
    <w:rsid w:val="0025045F"/>
    <w:rsid w:val="002507DC"/>
    <w:rsid w:val="00251801"/>
    <w:rsid w:val="00252420"/>
    <w:rsid w:val="00252DB4"/>
    <w:rsid w:val="00253117"/>
    <w:rsid w:val="00253515"/>
    <w:rsid w:val="00255224"/>
    <w:rsid w:val="0025536A"/>
    <w:rsid w:val="00255677"/>
    <w:rsid w:val="00255913"/>
    <w:rsid w:val="00256D07"/>
    <w:rsid w:val="002570B7"/>
    <w:rsid w:val="002578E2"/>
    <w:rsid w:val="00257CD2"/>
    <w:rsid w:val="00257D60"/>
    <w:rsid w:val="002603B4"/>
    <w:rsid w:val="00260AE2"/>
    <w:rsid w:val="00260B7D"/>
    <w:rsid w:val="00260C50"/>
    <w:rsid w:val="00261E48"/>
    <w:rsid w:val="00261E65"/>
    <w:rsid w:val="002624AE"/>
    <w:rsid w:val="002626CF"/>
    <w:rsid w:val="00262CCF"/>
    <w:rsid w:val="0026305E"/>
    <w:rsid w:val="002631F2"/>
    <w:rsid w:val="00263AA2"/>
    <w:rsid w:val="00263F52"/>
    <w:rsid w:val="002643EE"/>
    <w:rsid w:val="00264C66"/>
    <w:rsid w:val="00264D6B"/>
    <w:rsid w:val="00266870"/>
    <w:rsid w:val="0026785B"/>
    <w:rsid w:val="00270B43"/>
    <w:rsid w:val="00270DB7"/>
    <w:rsid w:val="00270DF9"/>
    <w:rsid w:val="00271ED5"/>
    <w:rsid w:val="0027223C"/>
    <w:rsid w:val="00274548"/>
    <w:rsid w:val="00274564"/>
    <w:rsid w:val="002746AF"/>
    <w:rsid w:val="00274B67"/>
    <w:rsid w:val="002756C4"/>
    <w:rsid w:val="00275DE5"/>
    <w:rsid w:val="0027673D"/>
    <w:rsid w:val="00276824"/>
    <w:rsid w:val="00276A0C"/>
    <w:rsid w:val="00276B12"/>
    <w:rsid w:val="00276D50"/>
    <w:rsid w:val="0027728D"/>
    <w:rsid w:val="002779A2"/>
    <w:rsid w:val="00277F8E"/>
    <w:rsid w:val="002802F2"/>
    <w:rsid w:val="00281485"/>
    <w:rsid w:val="002819B5"/>
    <w:rsid w:val="00281A0E"/>
    <w:rsid w:val="002821B8"/>
    <w:rsid w:val="00282DD5"/>
    <w:rsid w:val="00283724"/>
    <w:rsid w:val="002837C6"/>
    <w:rsid w:val="002839EF"/>
    <w:rsid w:val="00283FA2"/>
    <w:rsid w:val="0028402C"/>
    <w:rsid w:val="00284687"/>
    <w:rsid w:val="0028476A"/>
    <w:rsid w:val="00285054"/>
    <w:rsid w:val="0028576B"/>
    <w:rsid w:val="00285F18"/>
    <w:rsid w:val="002865DA"/>
    <w:rsid w:val="00286639"/>
    <w:rsid w:val="00286BAA"/>
    <w:rsid w:val="00290401"/>
    <w:rsid w:val="00290565"/>
    <w:rsid w:val="00290A03"/>
    <w:rsid w:val="00290E83"/>
    <w:rsid w:val="00291A2A"/>
    <w:rsid w:val="0029269B"/>
    <w:rsid w:val="00292B70"/>
    <w:rsid w:val="00293B32"/>
    <w:rsid w:val="002946CD"/>
    <w:rsid w:val="00294BCA"/>
    <w:rsid w:val="00294E17"/>
    <w:rsid w:val="00295E87"/>
    <w:rsid w:val="00295FDC"/>
    <w:rsid w:val="00296308"/>
    <w:rsid w:val="00296558"/>
    <w:rsid w:val="00296AEC"/>
    <w:rsid w:val="00296BFC"/>
    <w:rsid w:val="002977DE"/>
    <w:rsid w:val="002A000B"/>
    <w:rsid w:val="002A047D"/>
    <w:rsid w:val="002A0595"/>
    <w:rsid w:val="002A0C1F"/>
    <w:rsid w:val="002A103A"/>
    <w:rsid w:val="002A1AE8"/>
    <w:rsid w:val="002A1C48"/>
    <w:rsid w:val="002A2751"/>
    <w:rsid w:val="002A2E15"/>
    <w:rsid w:val="002A3255"/>
    <w:rsid w:val="002A3523"/>
    <w:rsid w:val="002A3AE5"/>
    <w:rsid w:val="002A3D5B"/>
    <w:rsid w:val="002A4CD3"/>
    <w:rsid w:val="002A512B"/>
    <w:rsid w:val="002A51AC"/>
    <w:rsid w:val="002A58C0"/>
    <w:rsid w:val="002A59D5"/>
    <w:rsid w:val="002A5F3F"/>
    <w:rsid w:val="002A6E02"/>
    <w:rsid w:val="002A78A9"/>
    <w:rsid w:val="002B05EE"/>
    <w:rsid w:val="002B0763"/>
    <w:rsid w:val="002B09C0"/>
    <w:rsid w:val="002B0A8D"/>
    <w:rsid w:val="002B0D18"/>
    <w:rsid w:val="002B0F72"/>
    <w:rsid w:val="002B1062"/>
    <w:rsid w:val="002B1B58"/>
    <w:rsid w:val="002B2619"/>
    <w:rsid w:val="002B2748"/>
    <w:rsid w:val="002B2C8D"/>
    <w:rsid w:val="002B2CA5"/>
    <w:rsid w:val="002B4324"/>
    <w:rsid w:val="002B4486"/>
    <w:rsid w:val="002B44D5"/>
    <w:rsid w:val="002B4A70"/>
    <w:rsid w:val="002B579B"/>
    <w:rsid w:val="002B5BA5"/>
    <w:rsid w:val="002B5C64"/>
    <w:rsid w:val="002B5E4A"/>
    <w:rsid w:val="002B6660"/>
    <w:rsid w:val="002B67DE"/>
    <w:rsid w:val="002B6F35"/>
    <w:rsid w:val="002B7061"/>
    <w:rsid w:val="002B71BB"/>
    <w:rsid w:val="002B7DB0"/>
    <w:rsid w:val="002C026B"/>
    <w:rsid w:val="002C0D98"/>
    <w:rsid w:val="002C0EBE"/>
    <w:rsid w:val="002C129C"/>
    <w:rsid w:val="002C213E"/>
    <w:rsid w:val="002C2A1B"/>
    <w:rsid w:val="002C2E3A"/>
    <w:rsid w:val="002C307B"/>
    <w:rsid w:val="002C3C33"/>
    <w:rsid w:val="002C3EFF"/>
    <w:rsid w:val="002C56A6"/>
    <w:rsid w:val="002C6E67"/>
    <w:rsid w:val="002C6E9D"/>
    <w:rsid w:val="002C794D"/>
    <w:rsid w:val="002C7C97"/>
    <w:rsid w:val="002D02D0"/>
    <w:rsid w:val="002D0623"/>
    <w:rsid w:val="002D0ED2"/>
    <w:rsid w:val="002D19B9"/>
    <w:rsid w:val="002D2794"/>
    <w:rsid w:val="002D2C4B"/>
    <w:rsid w:val="002D322A"/>
    <w:rsid w:val="002D3512"/>
    <w:rsid w:val="002D378C"/>
    <w:rsid w:val="002D3BA0"/>
    <w:rsid w:val="002D3D6D"/>
    <w:rsid w:val="002D409F"/>
    <w:rsid w:val="002D40D4"/>
    <w:rsid w:val="002D43EB"/>
    <w:rsid w:val="002D4D7A"/>
    <w:rsid w:val="002D536E"/>
    <w:rsid w:val="002D566A"/>
    <w:rsid w:val="002D5AC5"/>
    <w:rsid w:val="002D62F3"/>
    <w:rsid w:val="002D74A0"/>
    <w:rsid w:val="002E0D29"/>
    <w:rsid w:val="002E0F7F"/>
    <w:rsid w:val="002E2498"/>
    <w:rsid w:val="002E26C8"/>
    <w:rsid w:val="002E3C4C"/>
    <w:rsid w:val="002E413A"/>
    <w:rsid w:val="002E4420"/>
    <w:rsid w:val="002E45E8"/>
    <w:rsid w:val="002E4E66"/>
    <w:rsid w:val="002E5957"/>
    <w:rsid w:val="002E5A14"/>
    <w:rsid w:val="002E6515"/>
    <w:rsid w:val="002E72C7"/>
    <w:rsid w:val="002E7808"/>
    <w:rsid w:val="002F10ED"/>
    <w:rsid w:val="002F152D"/>
    <w:rsid w:val="002F1A5D"/>
    <w:rsid w:val="002F1A87"/>
    <w:rsid w:val="002F1C44"/>
    <w:rsid w:val="002F1C53"/>
    <w:rsid w:val="002F1FAA"/>
    <w:rsid w:val="002F2041"/>
    <w:rsid w:val="002F37FB"/>
    <w:rsid w:val="002F4795"/>
    <w:rsid w:val="002F5D09"/>
    <w:rsid w:val="002F63EA"/>
    <w:rsid w:val="002F6612"/>
    <w:rsid w:val="002F673F"/>
    <w:rsid w:val="002F6B96"/>
    <w:rsid w:val="002F7DC4"/>
    <w:rsid w:val="0030046F"/>
    <w:rsid w:val="00301170"/>
    <w:rsid w:val="0030139F"/>
    <w:rsid w:val="003019EA"/>
    <w:rsid w:val="00301CD3"/>
    <w:rsid w:val="00301D17"/>
    <w:rsid w:val="003020BD"/>
    <w:rsid w:val="00302139"/>
    <w:rsid w:val="003022E1"/>
    <w:rsid w:val="0030246B"/>
    <w:rsid w:val="00302BCD"/>
    <w:rsid w:val="00302E9C"/>
    <w:rsid w:val="0030438C"/>
    <w:rsid w:val="0030445B"/>
    <w:rsid w:val="0030539F"/>
    <w:rsid w:val="003055DF"/>
    <w:rsid w:val="00305B89"/>
    <w:rsid w:val="00305DFC"/>
    <w:rsid w:val="003101C0"/>
    <w:rsid w:val="00310352"/>
    <w:rsid w:val="00311303"/>
    <w:rsid w:val="00311CE0"/>
    <w:rsid w:val="003124BC"/>
    <w:rsid w:val="003127BE"/>
    <w:rsid w:val="00312D17"/>
    <w:rsid w:val="00313AAA"/>
    <w:rsid w:val="00313C2C"/>
    <w:rsid w:val="003146BA"/>
    <w:rsid w:val="00315178"/>
    <w:rsid w:val="00315737"/>
    <w:rsid w:val="00315D1B"/>
    <w:rsid w:val="00316213"/>
    <w:rsid w:val="00316D2E"/>
    <w:rsid w:val="003170AE"/>
    <w:rsid w:val="003177D5"/>
    <w:rsid w:val="00320931"/>
    <w:rsid w:val="003209A0"/>
    <w:rsid w:val="003211F6"/>
    <w:rsid w:val="0032149E"/>
    <w:rsid w:val="00321A83"/>
    <w:rsid w:val="00321A8D"/>
    <w:rsid w:val="00322C2C"/>
    <w:rsid w:val="00322FE9"/>
    <w:rsid w:val="00323AD9"/>
    <w:rsid w:val="0032417F"/>
    <w:rsid w:val="0032432C"/>
    <w:rsid w:val="00324A57"/>
    <w:rsid w:val="00324B64"/>
    <w:rsid w:val="003250AA"/>
    <w:rsid w:val="00325CBD"/>
    <w:rsid w:val="003262F7"/>
    <w:rsid w:val="00326756"/>
    <w:rsid w:val="00327084"/>
    <w:rsid w:val="00327795"/>
    <w:rsid w:val="00330246"/>
    <w:rsid w:val="00330866"/>
    <w:rsid w:val="00330E93"/>
    <w:rsid w:val="00330F74"/>
    <w:rsid w:val="00331A61"/>
    <w:rsid w:val="0033262C"/>
    <w:rsid w:val="00332F2A"/>
    <w:rsid w:val="00333A0E"/>
    <w:rsid w:val="00333B5E"/>
    <w:rsid w:val="003342E0"/>
    <w:rsid w:val="0033580F"/>
    <w:rsid w:val="0033649D"/>
    <w:rsid w:val="00336674"/>
    <w:rsid w:val="0033724B"/>
    <w:rsid w:val="00337D66"/>
    <w:rsid w:val="0034010D"/>
    <w:rsid w:val="00341081"/>
    <w:rsid w:val="00341A17"/>
    <w:rsid w:val="00341C5F"/>
    <w:rsid w:val="003426B1"/>
    <w:rsid w:val="00342D34"/>
    <w:rsid w:val="003431D1"/>
    <w:rsid w:val="00343416"/>
    <w:rsid w:val="003436D9"/>
    <w:rsid w:val="00343A03"/>
    <w:rsid w:val="003440DC"/>
    <w:rsid w:val="00344165"/>
    <w:rsid w:val="003449EF"/>
    <w:rsid w:val="00344DC9"/>
    <w:rsid w:val="00344F82"/>
    <w:rsid w:val="003452F4"/>
    <w:rsid w:val="00345520"/>
    <w:rsid w:val="003466FE"/>
    <w:rsid w:val="00346F2F"/>
    <w:rsid w:val="00347C5D"/>
    <w:rsid w:val="00347EA7"/>
    <w:rsid w:val="00347F9E"/>
    <w:rsid w:val="00347FAC"/>
    <w:rsid w:val="003500CC"/>
    <w:rsid w:val="00350141"/>
    <w:rsid w:val="003503E5"/>
    <w:rsid w:val="00350466"/>
    <w:rsid w:val="003514D1"/>
    <w:rsid w:val="00351570"/>
    <w:rsid w:val="00352165"/>
    <w:rsid w:val="003526EF"/>
    <w:rsid w:val="00352E18"/>
    <w:rsid w:val="003532E6"/>
    <w:rsid w:val="00353402"/>
    <w:rsid w:val="0035475C"/>
    <w:rsid w:val="0035492C"/>
    <w:rsid w:val="00354AAF"/>
    <w:rsid w:val="00354D82"/>
    <w:rsid w:val="00355118"/>
    <w:rsid w:val="0035529C"/>
    <w:rsid w:val="00355820"/>
    <w:rsid w:val="00355A38"/>
    <w:rsid w:val="00355AB7"/>
    <w:rsid w:val="0035623D"/>
    <w:rsid w:val="003563B6"/>
    <w:rsid w:val="003567D0"/>
    <w:rsid w:val="003568A7"/>
    <w:rsid w:val="00356A55"/>
    <w:rsid w:val="00357213"/>
    <w:rsid w:val="003577A2"/>
    <w:rsid w:val="003600E5"/>
    <w:rsid w:val="0036058F"/>
    <w:rsid w:val="003606AB"/>
    <w:rsid w:val="003607AE"/>
    <w:rsid w:val="00360B62"/>
    <w:rsid w:val="00360B8A"/>
    <w:rsid w:val="00360F87"/>
    <w:rsid w:val="0036121C"/>
    <w:rsid w:val="00361360"/>
    <w:rsid w:val="00362076"/>
    <w:rsid w:val="003629AF"/>
    <w:rsid w:val="00362E2D"/>
    <w:rsid w:val="003635E6"/>
    <w:rsid w:val="00363882"/>
    <w:rsid w:val="003639E1"/>
    <w:rsid w:val="00365751"/>
    <w:rsid w:val="00365834"/>
    <w:rsid w:val="00365B33"/>
    <w:rsid w:val="00365E88"/>
    <w:rsid w:val="00367083"/>
    <w:rsid w:val="003678B2"/>
    <w:rsid w:val="00370C64"/>
    <w:rsid w:val="00370E4C"/>
    <w:rsid w:val="00371944"/>
    <w:rsid w:val="00371D2A"/>
    <w:rsid w:val="00372072"/>
    <w:rsid w:val="003720F9"/>
    <w:rsid w:val="00373ADC"/>
    <w:rsid w:val="003752A9"/>
    <w:rsid w:val="00375F09"/>
    <w:rsid w:val="0037617A"/>
    <w:rsid w:val="00376B31"/>
    <w:rsid w:val="0037794C"/>
    <w:rsid w:val="00377F15"/>
    <w:rsid w:val="0038175A"/>
    <w:rsid w:val="00382052"/>
    <w:rsid w:val="00382345"/>
    <w:rsid w:val="003826AC"/>
    <w:rsid w:val="0038283D"/>
    <w:rsid w:val="00382B05"/>
    <w:rsid w:val="00382B5C"/>
    <w:rsid w:val="00383079"/>
    <w:rsid w:val="003830BF"/>
    <w:rsid w:val="003830F6"/>
    <w:rsid w:val="00383C3D"/>
    <w:rsid w:val="00383E2E"/>
    <w:rsid w:val="003849D1"/>
    <w:rsid w:val="003855D4"/>
    <w:rsid w:val="003874AE"/>
    <w:rsid w:val="003906DB"/>
    <w:rsid w:val="00390EB0"/>
    <w:rsid w:val="003916F9"/>
    <w:rsid w:val="00391A69"/>
    <w:rsid w:val="003920CE"/>
    <w:rsid w:val="00392A59"/>
    <w:rsid w:val="00392DF7"/>
    <w:rsid w:val="00393242"/>
    <w:rsid w:val="00393BD0"/>
    <w:rsid w:val="00394803"/>
    <w:rsid w:val="0039484B"/>
    <w:rsid w:val="00394BF5"/>
    <w:rsid w:val="00394FAD"/>
    <w:rsid w:val="0039504C"/>
    <w:rsid w:val="00395653"/>
    <w:rsid w:val="00396417"/>
    <w:rsid w:val="0039682E"/>
    <w:rsid w:val="00396999"/>
    <w:rsid w:val="00397410"/>
    <w:rsid w:val="00397D05"/>
    <w:rsid w:val="00397E45"/>
    <w:rsid w:val="003A0190"/>
    <w:rsid w:val="003A1550"/>
    <w:rsid w:val="003A1D52"/>
    <w:rsid w:val="003A28DA"/>
    <w:rsid w:val="003A333A"/>
    <w:rsid w:val="003A54C7"/>
    <w:rsid w:val="003A5FC8"/>
    <w:rsid w:val="003A65DB"/>
    <w:rsid w:val="003A7CE8"/>
    <w:rsid w:val="003B171D"/>
    <w:rsid w:val="003B1E61"/>
    <w:rsid w:val="003B1FAB"/>
    <w:rsid w:val="003B302F"/>
    <w:rsid w:val="003B36F9"/>
    <w:rsid w:val="003B4175"/>
    <w:rsid w:val="003B4215"/>
    <w:rsid w:val="003B61E5"/>
    <w:rsid w:val="003B690B"/>
    <w:rsid w:val="003C0C95"/>
    <w:rsid w:val="003C1A30"/>
    <w:rsid w:val="003C1C63"/>
    <w:rsid w:val="003C1DF1"/>
    <w:rsid w:val="003C20D6"/>
    <w:rsid w:val="003C29C9"/>
    <w:rsid w:val="003C2CD7"/>
    <w:rsid w:val="003C3C3D"/>
    <w:rsid w:val="003C3D98"/>
    <w:rsid w:val="003C3FEB"/>
    <w:rsid w:val="003C412F"/>
    <w:rsid w:val="003C4863"/>
    <w:rsid w:val="003C4C0F"/>
    <w:rsid w:val="003C547F"/>
    <w:rsid w:val="003C5DD3"/>
    <w:rsid w:val="003C5E54"/>
    <w:rsid w:val="003C648D"/>
    <w:rsid w:val="003C6AC6"/>
    <w:rsid w:val="003C6B4A"/>
    <w:rsid w:val="003C6C2C"/>
    <w:rsid w:val="003D2944"/>
    <w:rsid w:val="003D2A7B"/>
    <w:rsid w:val="003D2E62"/>
    <w:rsid w:val="003D3E3D"/>
    <w:rsid w:val="003D3F39"/>
    <w:rsid w:val="003D45EB"/>
    <w:rsid w:val="003D59A1"/>
    <w:rsid w:val="003D69FA"/>
    <w:rsid w:val="003D7BD9"/>
    <w:rsid w:val="003E030D"/>
    <w:rsid w:val="003E11A4"/>
    <w:rsid w:val="003E1A77"/>
    <w:rsid w:val="003E21A6"/>
    <w:rsid w:val="003E2E58"/>
    <w:rsid w:val="003E3666"/>
    <w:rsid w:val="003E4C22"/>
    <w:rsid w:val="003E54C2"/>
    <w:rsid w:val="003E560F"/>
    <w:rsid w:val="003E7600"/>
    <w:rsid w:val="003E7749"/>
    <w:rsid w:val="003F09FD"/>
    <w:rsid w:val="003F1010"/>
    <w:rsid w:val="003F1832"/>
    <w:rsid w:val="003F19CC"/>
    <w:rsid w:val="003F19E3"/>
    <w:rsid w:val="003F1FA3"/>
    <w:rsid w:val="003F2455"/>
    <w:rsid w:val="003F33FF"/>
    <w:rsid w:val="003F3CF0"/>
    <w:rsid w:val="003F41D9"/>
    <w:rsid w:val="003F42EC"/>
    <w:rsid w:val="003F4A4F"/>
    <w:rsid w:val="003F5826"/>
    <w:rsid w:val="003F59C1"/>
    <w:rsid w:val="003F61F5"/>
    <w:rsid w:val="003F62DD"/>
    <w:rsid w:val="003F673D"/>
    <w:rsid w:val="004009EF"/>
    <w:rsid w:val="00401308"/>
    <w:rsid w:val="00401CF1"/>
    <w:rsid w:val="00401D4D"/>
    <w:rsid w:val="004025BF"/>
    <w:rsid w:val="00402AA3"/>
    <w:rsid w:val="0040378E"/>
    <w:rsid w:val="00403989"/>
    <w:rsid w:val="00403ADA"/>
    <w:rsid w:val="00403E34"/>
    <w:rsid w:val="00403EAC"/>
    <w:rsid w:val="00404471"/>
    <w:rsid w:val="00404825"/>
    <w:rsid w:val="004048AD"/>
    <w:rsid w:val="00404B22"/>
    <w:rsid w:val="00405167"/>
    <w:rsid w:val="00405455"/>
    <w:rsid w:val="0040571C"/>
    <w:rsid w:val="00405981"/>
    <w:rsid w:val="00406052"/>
    <w:rsid w:val="00406E67"/>
    <w:rsid w:val="004074B1"/>
    <w:rsid w:val="00407C3A"/>
    <w:rsid w:val="004115A2"/>
    <w:rsid w:val="00411A98"/>
    <w:rsid w:val="00412B74"/>
    <w:rsid w:val="00412C06"/>
    <w:rsid w:val="00412D9D"/>
    <w:rsid w:val="0041304E"/>
    <w:rsid w:val="004131D5"/>
    <w:rsid w:val="004149F0"/>
    <w:rsid w:val="00415630"/>
    <w:rsid w:val="00416454"/>
    <w:rsid w:val="00416728"/>
    <w:rsid w:val="00416F6A"/>
    <w:rsid w:val="00417229"/>
    <w:rsid w:val="00417A21"/>
    <w:rsid w:val="00417C2A"/>
    <w:rsid w:val="00417E09"/>
    <w:rsid w:val="004204CB"/>
    <w:rsid w:val="00420AB3"/>
    <w:rsid w:val="00421789"/>
    <w:rsid w:val="00421893"/>
    <w:rsid w:val="00421BDE"/>
    <w:rsid w:val="0042213E"/>
    <w:rsid w:val="004232B2"/>
    <w:rsid w:val="00424BF2"/>
    <w:rsid w:val="00425057"/>
    <w:rsid w:val="0042506F"/>
    <w:rsid w:val="004262CE"/>
    <w:rsid w:val="00426745"/>
    <w:rsid w:val="00426E52"/>
    <w:rsid w:val="00427488"/>
    <w:rsid w:val="004274AF"/>
    <w:rsid w:val="00427EB1"/>
    <w:rsid w:val="00430038"/>
    <w:rsid w:val="00430F58"/>
    <w:rsid w:val="00431CF7"/>
    <w:rsid w:val="00431D3A"/>
    <w:rsid w:val="0043246B"/>
    <w:rsid w:val="004330C8"/>
    <w:rsid w:val="004337DA"/>
    <w:rsid w:val="004337F7"/>
    <w:rsid w:val="00433A80"/>
    <w:rsid w:val="0043543C"/>
    <w:rsid w:val="00435C0A"/>
    <w:rsid w:val="0043672F"/>
    <w:rsid w:val="004374E7"/>
    <w:rsid w:val="00437B86"/>
    <w:rsid w:val="00437BB7"/>
    <w:rsid w:val="0044003D"/>
    <w:rsid w:val="004402AC"/>
    <w:rsid w:val="0044080B"/>
    <w:rsid w:val="00440841"/>
    <w:rsid w:val="00440CD5"/>
    <w:rsid w:val="0044150F"/>
    <w:rsid w:val="00441C53"/>
    <w:rsid w:val="00441CFE"/>
    <w:rsid w:val="00441EAF"/>
    <w:rsid w:val="00442635"/>
    <w:rsid w:val="00442C94"/>
    <w:rsid w:val="00444071"/>
    <w:rsid w:val="00444B5B"/>
    <w:rsid w:val="00446062"/>
    <w:rsid w:val="00446146"/>
    <w:rsid w:val="00446534"/>
    <w:rsid w:val="0044668E"/>
    <w:rsid w:val="00446B85"/>
    <w:rsid w:val="00446BEE"/>
    <w:rsid w:val="00450252"/>
    <w:rsid w:val="00450A5A"/>
    <w:rsid w:val="00450AA2"/>
    <w:rsid w:val="00451180"/>
    <w:rsid w:val="00451575"/>
    <w:rsid w:val="0045157E"/>
    <w:rsid w:val="004517F5"/>
    <w:rsid w:val="004519C1"/>
    <w:rsid w:val="00452385"/>
    <w:rsid w:val="0045242E"/>
    <w:rsid w:val="004528E2"/>
    <w:rsid w:val="00452D34"/>
    <w:rsid w:val="00452D8A"/>
    <w:rsid w:val="0045615D"/>
    <w:rsid w:val="00456A54"/>
    <w:rsid w:val="00456A84"/>
    <w:rsid w:val="00457286"/>
    <w:rsid w:val="00461864"/>
    <w:rsid w:val="00461937"/>
    <w:rsid w:val="00461F8F"/>
    <w:rsid w:val="00463A05"/>
    <w:rsid w:val="00463C1D"/>
    <w:rsid w:val="00464BE2"/>
    <w:rsid w:val="00464E4E"/>
    <w:rsid w:val="004655E6"/>
    <w:rsid w:val="00466304"/>
    <w:rsid w:val="00466547"/>
    <w:rsid w:val="004677E7"/>
    <w:rsid w:val="00467D7B"/>
    <w:rsid w:val="0047036A"/>
    <w:rsid w:val="00470D98"/>
    <w:rsid w:val="004710DA"/>
    <w:rsid w:val="004711DE"/>
    <w:rsid w:val="00471CA6"/>
    <w:rsid w:val="00472124"/>
    <w:rsid w:val="0047296E"/>
    <w:rsid w:val="00472B5D"/>
    <w:rsid w:val="00472FF9"/>
    <w:rsid w:val="00473DA7"/>
    <w:rsid w:val="00474347"/>
    <w:rsid w:val="004744A1"/>
    <w:rsid w:val="004760C0"/>
    <w:rsid w:val="00476536"/>
    <w:rsid w:val="0047699A"/>
    <w:rsid w:val="00477721"/>
    <w:rsid w:val="00477984"/>
    <w:rsid w:val="00477F65"/>
    <w:rsid w:val="00481608"/>
    <w:rsid w:val="00481689"/>
    <w:rsid w:val="004816F9"/>
    <w:rsid w:val="00482562"/>
    <w:rsid w:val="00483038"/>
    <w:rsid w:val="004835CB"/>
    <w:rsid w:val="004838D8"/>
    <w:rsid w:val="0048391A"/>
    <w:rsid w:val="0048415D"/>
    <w:rsid w:val="0048430C"/>
    <w:rsid w:val="0048477D"/>
    <w:rsid w:val="00484ABB"/>
    <w:rsid w:val="00484AE3"/>
    <w:rsid w:val="00486123"/>
    <w:rsid w:val="00486CC6"/>
    <w:rsid w:val="00486FA0"/>
    <w:rsid w:val="00490FD6"/>
    <w:rsid w:val="00493110"/>
    <w:rsid w:val="00493477"/>
    <w:rsid w:val="00493FA8"/>
    <w:rsid w:val="00494DB3"/>
    <w:rsid w:val="004950D4"/>
    <w:rsid w:val="00495D7B"/>
    <w:rsid w:val="00496192"/>
    <w:rsid w:val="004962F2"/>
    <w:rsid w:val="0049631A"/>
    <w:rsid w:val="00496363"/>
    <w:rsid w:val="00497C81"/>
    <w:rsid w:val="00497F19"/>
    <w:rsid w:val="00497F32"/>
    <w:rsid w:val="004A0236"/>
    <w:rsid w:val="004A0340"/>
    <w:rsid w:val="004A05C2"/>
    <w:rsid w:val="004A0744"/>
    <w:rsid w:val="004A099D"/>
    <w:rsid w:val="004A0AD5"/>
    <w:rsid w:val="004A0E6A"/>
    <w:rsid w:val="004A1765"/>
    <w:rsid w:val="004A17DA"/>
    <w:rsid w:val="004A1801"/>
    <w:rsid w:val="004A1ADF"/>
    <w:rsid w:val="004A1D70"/>
    <w:rsid w:val="004A2992"/>
    <w:rsid w:val="004A2998"/>
    <w:rsid w:val="004A29DC"/>
    <w:rsid w:val="004A3D73"/>
    <w:rsid w:val="004A560A"/>
    <w:rsid w:val="004A5739"/>
    <w:rsid w:val="004A5E82"/>
    <w:rsid w:val="004A5F3A"/>
    <w:rsid w:val="004A6E7A"/>
    <w:rsid w:val="004A6E7C"/>
    <w:rsid w:val="004A7562"/>
    <w:rsid w:val="004A794E"/>
    <w:rsid w:val="004A7A00"/>
    <w:rsid w:val="004A7DBD"/>
    <w:rsid w:val="004A7E1B"/>
    <w:rsid w:val="004A7F88"/>
    <w:rsid w:val="004B085F"/>
    <w:rsid w:val="004B1690"/>
    <w:rsid w:val="004B1AFF"/>
    <w:rsid w:val="004B1E10"/>
    <w:rsid w:val="004B2316"/>
    <w:rsid w:val="004B248D"/>
    <w:rsid w:val="004B2AD5"/>
    <w:rsid w:val="004B2DA3"/>
    <w:rsid w:val="004B3656"/>
    <w:rsid w:val="004B3DFF"/>
    <w:rsid w:val="004B4144"/>
    <w:rsid w:val="004B49D4"/>
    <w:rsid w:val="004B4C6F"/>
    <w:rsid w:val="004B5988"/>
    <w:rsid w:val="004B5F28"/>
    <w:rsid w:val="004B66E4"/>
    <w:rsid w:val="004B678B"/>
    <w:rsid w:val="004B6E21"/>
    <w:rsid w:val="004B7538"/>
    <w:rsid w:val="004B7601"/>
    <w:rsid w:val="004B7A3E"/>
    <w:rsid w:val="004B7D70"/>
    <w:rsid w:val="004C0126"/>
    <w:rsid w:val="004C0576"/>
    <w:rsid w:val="004C0650"/>
    <w:rsid w:val="004C06C1"/>
    <w:rsid w:val="004C0D41"/>
    <w:rsid w:val="004C1C04"/>
    <w:rsid w:val="004C3A6F"/>
    <w:rsid w:val="004C3B06"/>
    <w:rsid w:val="004C4DDA"/>
    <w:rsid w:val="004C539E"/>
    <w:rsid w:val="004C54B7"/>
    <w:rsid w:val="004C5CDB"/>
    <w:rsid w:val="004C621D"/>
    <w:rsid w:val="004C6255"/>
    <w:rsid w:val="004C6833"/>
    <w:rsid w:val="004C6854"/>
    <w:rsid w:val="004C6C58"/>
    <w:rsid w:val="004C6ED6"/>
    <w:rsid w:val="004C7138"/>
    <w:rsid w:val="004C797C"/>
    <w:rsid w:val="004D0C61"/>
    <w:rsid w:val="004D2AF6"/>
    <w:rsid w:val="004D344E"/>
    <w:rsid w:val="004D445D"/>
    <w:rsid w:val="004D6803"/>
    <w:rsid w:val="004D7471"/>
    <w:rsid w:val="004D7C54"/>
    <w:rsid w:val="004E0538"/>
    <w:rsid w:val="004E0773"/>
    <w:rsid w:val="004E0C03"/>
    <w:rsid w:val="004E0F2C"/>
    <w:rsid w:val="004E12BA"/>
    <w:rsid w:val="004E17BA"/>
    <w:rsid w:val="004E21CA"/>
    <w:rsid w:val="004E2441"/>
    <w:rsid w:val="004E2D6F"/>
    <w:rsid w:val="004E2EBD"/>
    <w:rsid w:val="004E3E1C"/>
    <w:rsid w:val="004E432C"/>
    <w:rsid w:val="004E470B"/>
    <w:rsid w:val="004E5492"/>
    <w:rsid w:val="004E5EB9"/>
    <w:rsid w:val="004E6AA6"/>
    <w:rsid w:val="004E6DE7"/>
    <w:rsid w:val="004E75B5"/>
    <w:rsid w:val="004E7E32"/>
    <w:rsid w:val="004E7EC0"/>
    <w:rsid w:val="004F026E"/>
    <w:rsid w:val="004F05FC"/>
    <w:rsid w:val="004F06D0"/>
    <w:rsid w:val="004F1035"/>
    <w:rsid w:val="004F1050"/>
    <w:rsid w:val="004F2730"/>
    <w:rsid w:val="004F2F73"/>
    <w:rsid w:val="004F369A"/>
    <w:rsid w:val="004F36C2"/>
    <w:rsid w:val="004F53A1"/>
    <w:rsid w:val="004F5771"/>
    <w:rsid w:val="004F5E75"/>
    <w:rsid w:val="004F630C"/>
    <w:rsid w:val="004F64C6"/>
    <w:rsid w:val="004F6531"/>
    <w:rsid w:val="004F6BA6"/>
    <w:rsid w:val="004F726F"/>
    <w:rsid w:val="004F78C0"/>
    <w:rsid w:val="00500117"/>
    <w:rsid w:val="00500817"/>
    <w:rsid w:val="00500BAA"/>
    <w:rsid w:val="00500D3E"/>
    <w:rsid w:val="005013FB"/>
    <w:rsid w:val="005022A7"/>
    <w:rsid w:val="0050232E"/>
    <w:rsid w:val="00502A4C"/>
    <w:rsid w:val="00502C78"/>
    <w:rsid w:val="00503954"/>
    <w:rsid w:val="005041B2"/>
    <w:rsid w:val="0050455B"/>
    <w:rsid w:val="005045FF"/>
    <w:rsid w:val="005046F6"/>
    <w:rsid w:val="00504735"/>
    <w:rsid w:val="00504D33"/>
    <w:rsid w:val="005063B1"/>
    <w:rsid w:val="00506B68"/>
    <w:rsid w:val="0050734F"/>
    <w:rsid w:val="00507787"/>
    <w:rsid w:val="00507CFF"/>
    <w:rsid w:val="0051065A"/>
    <w:rsid w:val="00510692"/>
    <w:rsid w:val="00510B35"/>
    <w:rsid w:val="00511458"/>
    <w:rsid w:val="00511746"/>
    <w:rsid w:val="00511F1A"/>
    <w:rsid w:val="005127AD"/>
    <w:rsid w:val="005127D6"/>
    <w:rsid w:val="00513433"/>
    <w:rsid w:val="00513692"/>
    <w:rsid w:val="005142ED"/>
    <w:rsid w:val="005144C2"/>
    <w:rsid w:val="0051554C"/>
    <w:rsid w:val="005157CB"/>
    <w:rsid w:val="005175F7"/>
    <w:rsid w:val="00517A46"/>
    <w:rsid w:val="005201FE"/>
    <w:rsid w:val="0052028C"/>
    <w:rsid w:val="00520648"/>
    <w:rsid w:val="00523780"/>
    <w:rsid w:val="00523E17"/>
    <w:rsid w:val="0052425C"/>
    <w:rsid w:val="00525499"/>
    <w:rsid w:val="00525B2F"/>
    <w:rsid w:val="00525DBC"/>
    <w:rsid w:val="005261C7"/>
    <w:rsid w:val="00526A42"/>
    <w:rsid w:val="00526F9C"/>
    <w:rsid w:val="00527B50"/>
    <w:rsid w:val="00527D38"/>
    <w:rsid w:val="00530670"/>
    <w:rsid w:val="0053176A"/>
    <w:rsid w:val="005317CF"/>
    <w:rsid w:val="0053212C"/>
    <w:rsid w:val="00532381"/>
    <w:rsid w:val="005329F9"/>
    <w:rsid w:val="005333F2"/>
    <w:rsid w:val="00533D7F"/>
    <w:rsid w:val="00534336"/>
    <w:rsid w:val="0053446A"/>
    <w:rsid w:val="00534B91"/>
    <w:rsid w:val="00534D6D"/>
    <w:rsid w:val="0053588C"/>
    <w:rsid w:val="00535B67"/>
    <w:rsid w:val="00535BDD"/>
    <w:rsid w:val="0053630A"/>
    <w:rsid w:val="0053658C"/>
    <w:rsid w:val="005409C7"/>
    <w:rsid w:val="00540D2B"/>
    <w:rsid w:val="0054253C"/>
    <w:rsid w:val="0054262B"/>
    <w:rsid w:val="00542653"/>
    <w:rsid w:val="005430CF"/>
    <w:rsid w:val="005441B7"/>
    <w:rsid w:val="005449AD"/>
    <w:rsid w:val="00545426"/>
    <w:rsid w:val="00545B6E"/>
    <w:rsid w:val="00546661"/>
    <w:rsid w:val="005468EB"/>
    <w:rsid w:val="005474D2"/>
    <w:rsid w:val="00551128"/>
    <w:rsid w:val="00551236"/>
    <w:rsid w:val="0055326E"/>
    <w:rsid w:val="005533E9"/>
    <w:rsid w:val="00553AD6"/>
    <w:rsid w:val="005540DF"/>
    <w:rsid w:val="00554221"/>
    <w:rsid w:val="00554E96"/>
    <w:rsid w:val="0055560F"/>
    <w:rsid w:val="00555863"/>
    <w:rsid w:val="00555877"/>
    <w:rsid w:val="00555C04"/>
    <w:rsid w:val="00556051"/>
    <w:rsid w:val="0055669C"/>
    <w:rsid w:val="00556DFF"/>
    <w:rsid w:val="00557469"/>
    <w:rsid w:val="00561C46"/>
    <w:rsid w:val="00561D9B"/>
    <w:rsid w:val="00561F1C"/>
    <w:rsid w:val="00562A9C"/>
    <w:rsid w:val="00562B7F"/>
    <w:rsid w:val="00562BE5"/>
    <w:rsid w:val="00562C0C"/>
    <w:rsid w:val="00562D4A"/>
    <w:rsid w:val="0056303F"/>
    <w:rsid w:val="005639CD"/>
    <w:rsid w:val="00563A87"/>
    <w:rsid w:val="00563B50"/>
    <w:rsid w:val="00563FCD"/>
    <w:rsid w:val="0056503A"/>
    <w:rsid w:val="0056613A"/>
    <w:rsid w:val="00566711"/>
    <w:rsid w:val="00566EB5"/>
    <w:rsid w:val="00566FB1"/>
    <w:rsid w:val="0057001C"/>
    <w:rsid w:val="005702A0"/>
    <w:rsid w:val="00570636"/>
    <w:rsid w:val="005709D9"/>
    <w:rsid w:val="00570FB9"/>
    <w:rsid w:val="00571297"/>
    <w:rsid w:val="005716D6"/>
    <w:rsid w:val="00571DCF"/>
    <w:rsid w:val="0057239A"/>
    <w:rsid w:val="005733F7"/>
    <w:rsid w:val="00574981"/>
    <w:rsid w:val="00574E16"/>
    <w:rsid w:val="005750C9"/>
    <w:rsid w:val="005759B0"/>
    <w:rsid w:val="0057642A"/>
    <w:rsid w:val="00580BF1"/>
    <w:rsid w:val="005810DD"/>
    <w:rsid w:val="005811DF"/>
    <w:rsid w:val="00581874"/>
    <w:rsid w:val="00581903"/>
    <w:rsid w:val="005827AD"/>
    <w:rsid w:val="00582EC7"/>
    <w:rsid w:val="0058327E"/>
    <w:rsid w:val="005833F3"/>
    <w:rsid w:val="005838C7"/>
    <w:rsid w:val="00583E9A"/>
    <w:rsid w:val="00584C37"/>
    <w:rsid w:val="00584FFF"/>
    <w:rsid w:val="00585125"/>
    <w:rsid w:val="0058536E"/>
    <w:rsid w:val="00585ADB"/>
    <w:rsid w:val="00586861"/>
    <w:rsid w:val="0058686B"/>
    <w:rsid w:val="00586C6A"/>
    <w:rsid w:val="005875AD"/>
    <w:rsid w:val="005900E9"/>
    <w:rsid w:val="0059063F"/>
    <w:rsid w:val="005914A7"/>
    <w:rsid w:val="00591863"/>
    <w:rsid w:val="00591D7B"/>
    <w:rsid w:val="00592349"/>
    <w:rsid w:val="005926C1"/>
    <w:rsid w:val="00592D13"/>
    <w:rsid w:val="005930AA"/>
    <w:rsid w:val="005941BF"/>
    <w:rsid w:val="00594B50"/>
    <w:rsid w:val="00594BB0"/>
    <w:rsid w:val="005952AC"/>
    <w:rsid w:val="00595339"/>
    <w:rsid w:val="005953EA"/>
    <w:rsid w:val="005954E7"/>
    <w:rsid w:val="0059550A"/>
    <w:rsid w:val="00596CAA"/>
    <w:rsid w:val="00597041"/>
    <w:rsid w:val="005972BF"/>
    <w:rsid w:val="00597378"/>
    <w:rsid w:val="005977FA"/>
    <w:rsid w:val="005978F1"/>
    <w:rsid w:val="00597A58"/>
    <w:rsid w:val="005A0161"/>
    <w:rsid w:val="005A06DA"/>
    <w:rsid w:val="005A107F"/>
    <w:rsid w:val="005A11F3"/>
    <w:rsid w:val="005A1654"/>
    <w:rsid w:val="005A1A82"/>
    <w:rsid w:val="005A1C8F"/>
    <w:rsid w:val="005A1C91"/>
    <w:rsid w:val="005A1FCC"/>
    <w:rsid w:val="005A2177"/>
    <w:rsid w:val="005A23CF"/>
    <w:rsid w:val="005A2761"/>
    <w:rsid w:val="005A286D"/>
    <w:rsid w:val="005A2C59"/>
    <w:rsid w:val="005A3590"/>
    <w:rsid w:val="005A3AAE"/>
    <w:rsid w:val="005A3B68"/>
    <w:rsid w:val="005A3F04"/>
    <w:rsid w:val="005A4393"/>
    <w:rsid w:val="005A4A0D"/>
    <w:rsid w:val="005A53C3"/>
    <w:rsid w:val="005A5FAF"/>
    <w:rsid w:val="005A72BE"/>
    <w:rsid w:val="005B014D"/>
    <w:rsid w:val="005B020B"/>
    <w:rsid w:val="005B072E"/>
    <w:rsid w:val="005B20EA"/>
    <w:rsid w:val="005B26F5"/>
    <w:rsid w:val="005B29E9"/>
    <w:rsid w:val="005B302E"/>
    <w:rsid w:val="005B3301"/>
    <w:rsid w:val="005B3405"/>
    <w:rsid w:val="005B3556"/>
    <w:rsid w:val="005B39E2"/>
    <w:rsid w:val="005B4DB4"/>
    <w:rsid w:val="005B53B9"/>
    <w:rsid w:val="005B54D1"/>
    <w:rsid w:val="005B596A"/>
    <w:rsid w:val="005B6299"/>
    <w:rsid w:val="005B6311"/>
    <w:rsid w:val="005B6C19"/>
    <w:rsid w:val="005C029D"/>
    <w:rsid w:val="005C0ABD"/>
    <w:rsid w:val="005C0E49"/>
    <w:rsid w:val="005C103B"/>
    <w:rsid w:val="005C161C"/>
    <w:rsid w:val="005C2239"/>
    <w:rsid w:val="005C2C53"/>
    <w:rsid w:val="005C302F"/>
    <w:rsid w:val="005C30A1"/>
    <w:rsid w:val="005C5071"/>
    <w:rsid w:val="005C5682"/>
    <w:rsid w:val="005C5ABB"/>
    <w:rsid w:val="005C5C9F"/>
    <w:rsid w:val="005C5D33"/>
    <w:rsid w:val="005C6846"/>
    <w:rsid w:val="005C6905"/>
    <w:rsid w:val="005C6B4F"/>
    <w:rsid w:val="005C791B"/>
    <w:rsid w:val="005D0365"/>
    <w:rsid w:val="005D1BE2"/>
    <w:rsid w:val="005D1C89"/>
    <w:rsid w:val="005D1E16"/>
    <w:rsid w:val="005D292B"/>
    <w:rsid w:val="005D2B46"/>
    <w:rsid w:val="005D39EE"/>
    <w:rsid w:val="005D3D83"/>
    <w:rsid w:val="005D4774"/>
    <w:rsid w:val="005D4B1F"/>
    <w:rsid w:val="005D4E49"/>
    <w:rsid w:val="005D55AF"/>
    <w:rsid w:val="005D5688"/>
    <w:rsid w:val="005D5E8F"/>
    <w:rsid w:val="005D64BC"/>
    <w:rsid w:val="005D667C"/>
    <w:rsid w:val="005D67CC"/>
    <w:rsid w:val="005D6FB3"/>
    <w:rsid w:val="005D7316"/>
    <w:rsid w:val="005E036C"/>
    <w:rsid w:val="005E0BD1"/>
    <w:rsid w:val="005E10AD"/>
    <w:rsid w:val="005E1417"/>
    <w:rsid w:val="005E1A99"/>
    <w:rsid w:val="005E1C65"/>
    <w:rsid w:val="005E240F"/>
    <w:rsid w:val="005E29D4"/>
    <w:rsid w:val="005E2C73"/>
    <w:rsid w:val="005E3779"/>
    <w:rsid w:val="005E39CD"/>
    <w:rsid w:val="005E3A6D"/>
    <w:rsid w:val="005E3B1C"/>
    <w:rsid w:val="005E4303"/>
    <w:rsid w:val="005E4749"/>
    <w:rsid w:val="005E4C04"/>
    <w:rsid w:val="005E57CA"/>
    <w:rsid w:val="005E60E3"/>
    <w:rsid w:val="005E65D8"/>
    <w:rsid w:val="005E6F9C"/>
    <w:rsid w:val="005E70A8"/>
    <w:rsid w:val="005E7D9B"/>
    <w:rsid w:val="005F03ED"/>
    <w:rsid w:val="005F0DA4"/>
    <w:rsid w:val="005F1BEF"/>
    <w:rsid w:val="005F1C0D"/>
    <w:rsid w:val="005F3540"/>
    <w:rsid w:val="005F3964"/>
    <w:rsid w:val="005F4463"/>
    <w:rsid w:val="005F49D7"/>
    <w:rsid w:val="005F5B5F"/>
    <w:rsid w:val="005F6E80"/>
    <w:rsid w:val="00600836"/>
    <w:rsid w:val="006017D0"/>
    <w:rsid w:val="0060245E"/>
    <w:rsid w:val="0060247C"/>
    <w:rsid w:val="00602AAA"/>
    <w:rsid w:val="00602C54"/>
    <w:rsid w:val="00602ECC"/>
    <w:rsid w:val="00603A8F"/>
    <w:rsid w:val="00603B8E"/>
    <w:rsid w:val="00603BF9"/>
    <w:rsid w:val="006049C5"/>
    <w:rsid w:val="006051DE"/>
    <w:rsid w:val="006059FF"/>
    <w:rsid w:val="00605EB9"/>
    <w:rsid w:val="006060C3"/>
    <w:rsid w:val="00606674"/>
    <w:rsid w:val="00606F5A"/>
    <w:rsid w:val="00607632"/>
    <w:rsid w:val="00607B4C"/>
    <w:rsid w:val="00610A81"/>
    <w:rsid w:val="006110FA"/>
    <w:rsid w:val="006112B5"/>
    <w:rsid w:val="0061179F"/>
    <w:rsid w:val="006124C3"/>
    <w:rsid w:val="006125B2"/>
    <w:rsid w:val="00612876"/>
    <w:rsid w:val="006128B3"/>
    <w:rsid w:val="006132E1"/>
    <w:rsid w:val="00613349"/>
    <w:rsid w:val="00614AFE"/>
    <w:rsid w:val="00615AB0"/>
    <w:rsid w:val="006163C3"/>
    <w:rsid w:val="00616D93"/>
    <w:rsid w:val="00616FB5"/>
    <w:rsid w:val="006171F0"/>
    <w:rsid w:val="00620171"/>
    <w:rsid w:val="00620207"/>
    <w:rsid w:val="0062021F"/>
    <w:rsid w:val="0062091C"/>
    <w:rsid w:val="00620F44"/>
    <w:rsid w:val="00621A5D"/>
    <w:rsid w:val="00621E73"/>
    <w:rsid w:val="006248D1"/>
    <w:rsid w:val="0062506A"/>
    <w:rsid w:val="006256B9"/>
    <w:rsid w:val="00625710"/>
    <w:rsid w:val="006259FB"/>
    <w:rsid w:val="00625D61"/>
    <w:rsid w:val="00626E95"/>
    <w:rsid w:val="006272BE"/>
    <w:rsid w:val="006276EF"/>
    <w:rsid w:val="00627A94"/>
    <w:rsid w:val="00630500"/>
    <w:rsid w:val="006309EF"/>
    <w:rsid w:val="00630EB2"/>
    <w:rsid w:val="00631478"/>
    <w:rsid w:val="0063150D"/>
    <w:rsid w:val="00631C2C"/>
    <w:rsid w:val="00633D09"/>
    <w:rsid w:val="00633FB8"/>
    <w:rsid w:val="00634419"/>
    <w:rsid w:val="006346BD"/>
    <w:rsid w:val="00634976"/>
    <w:rsid w:val="00634E2D"/>
    <w:rsid w:val="006357AE"/>
    <w:rsid w:val="006357F4"/>
    <w:rsid w:val="0063591E"/>
    <w:rsid w:val="00635AB1"/>
    <w:rsid w:val="00635DD7"/>
    <w:rsid w:val="0063615B"/>
    <w:rsid w:val="00636556"/>
    <w:rsid w:val="00636825"/>
    <w:rsid w:val="00636C4D"/>
    <w:rsid w:val="00636EE4"/>
    <w:rsid w:val="006372A3"/>
    <w:rsid w:val="0063770E"/>
    <w:rsid w:val="00640CE0"/>
    <w:rsid w:val="00641780"/>
    <w:rsid w:val="00641B73"/>
    <w:rsid w:val="006421F8"/>
    <w:rsid w:val="0064228B"/>
    <w:rsid w:val="006424EB"/>
    <w:rsid w:val="006426BC"/>
    <w:rsid w:val="00643566"/>
    <w:rsid w:val="00644606"/>
    <w:rsid w:val="00645123"/>
    <w:rsid w:val="00645164"/>
    <w:rsid w:val="00645648"/>
    <w:rsid w:val="0064642A"/>
    <w:rsid w:val="0064683B"/>
    <w:rsid w:val="006468ED"/>
    <w:rsid w:val="00646903"/>
    <w:rsid w:val="00647F1F"/>
    <w:rsid w:val="006505F0"/>
    <w:rsid w:val="00651213"/>
    <w:rsid w:val="006516BD"/>
    <w:rsid w:val="00651996"/>
    <w:rsid w:val="0065237E"/>
    <w:rsid w:val="006526B6"/>
    <w:rsid w:val="00652A77"/>
    <w:rsid w:val="00652D49"/>
    <w:rsid w:val="00653CC5"/>
    <w:rsid w:val="00653E3D"/>
    <w:rsid w:val="0065433F"/>
    <w:rsid w:val="00654496"/>
    <w:rsid w:val="00654837"/>
    <w:rsid w:val="00655044"/>
    <w:rsid w:val="006560C7"/>
    <w:rsid w:val="006563A0"/>
    <w:rsid w:val="0065646D"/>
    <w:rsid w:val="00656767"/>
    <w:rsid w:val="00656ACC"/>
    <w:rsid w:val="00656ECF"/>
    <w:rsid w:val="0066020D"/>
    <w:rsid w:val="00661112"/>
    <w:rsid w:val="00661FB5"/>
    <w:rsid w:val="0066217F"/>
    <w:rsid w:val="00662DA4"/>
    <w:rsid w:val="0066372B"/>
    <w:rsid w:val="00664549"/>
    <w:rsid w:val="0066496E"/>
    <w:rsid w:val="00665048"/>
    <w:rsid w:val="00665F25"/>
    <w:rsid w:val="00666013"/>
    <w:rsid w:val="0066626E"/>
    <w:rsid w:val="00666D5D"/>
    <w:rsid w:val="00667EA4"/>
    <w:rsid w:val="00670054"/>
    <w:rsid w:val="00670A1C"/>
    <w:rsid w:val="00670C24"/>
    <w:rsid w:val="0067130F"/>
    <w:rsid w:val="0067183D"/>
    <w:rsid w:val="006719CC"/>
    <w:rsid w:val="00672528"/>
    <w:rsid w:val="006728BE"/>
    <w:rsid w:val="00673F30"/>
    <w:rsid w:val="00674484"/>
    <w:rsid w:val="00674A6C"/>
    <w:rsid w:val="0067537C"/>
    <w:rsid w:val="0067546F"/>
    <w:rsid w:val="006756C5"/>
    <w:rsid w:val="00675D40"/>
    <w:rsid w:val="00676147"/>
    <w:rsid w:val="006771F2"/>
    <w:rsid w:val="0067743E"/>
    <w:rsid w:val="00677905"/>
    <w:rsid w:val="006802BC"/>
    <w:rsid w:val="0068034B"/>
    <w:rsid w:val="00680A18"/>
    <w:rsid w:val="00680FA3"/>
    <w:rsid w:val="0068129C"/>
    <w:rsid w:val="0068133F"/>
    <w:rsid w:val="006819AE"/>
    <w:rsid w:val="0068258D"/>
    <w:rsid w:val="00682D18"/>
    <w:rsid w:val="0068303B"/>
    <w:rsid w:val="00683155"/>
    <w:rsid w:val="006840C6"/>
    <w:rsid w:val="006842B2"/>
    <w:rsid w:val="006847A5"/>
    <w:rsid w:val="00684963"/>
    <w:rsid w:val="00686728"/>
    <w:rsid w:val="006874DD"/>
    <w:rsid w:val="0068756D"/>
    <w:rsid w:val="00687DB0"/>
    <w:rsid w:val="00690B85"/>
    <w:rsid w:val="00691022"/>
    <w:rsid w:val="006912BE"/>
    <w:rsid w:val="00691569"/>
    <w:rsid w:val="00691668"/>
    <w:rsid w:val="00691715"/>
    <w:rsid w:val="00691795"/>
    <w:rsid w:val="00693641"/>
    <w:rsid w:val="00693B84"/>
    <w:rsid w:val="0069427C"/>
    <w:rsid w:val="0069468F"/>
    <w:rsid w:val="00695792"/>
    <w:rsid w:val="00696582"/>
    <w:rsid w:val="006969EB"/>
    <w:rsid w:val="00696CF1"/>
    <w:rsid w:val="00696ED4"/>
    <w:rsid w:val="006A165C"/>
    <w:rsid w:val="006A203B"/>
    <w:rsid w:val="006A22CE"/>
    <w:rsid w:val="006A2C97"/>
    <w:rsid w:val="006A3086"/>
    <w:rsid w:val="006A3F07"/>
    <w:rsid w:val="006A3F62"/>
    <w:rsid w:val="006A4337"/>
    <w:rsid w:val="006A47A6"/>
    <w:rsid w:val="006A4BA5"/>
    <w:rsid w:val="006A4D40"/>
    <w:rsid w:val="006A52ED"/>
    <w:rsid w:val="006A54EC"/>
    <w:rsid w:val="006A7704"/>
    <w:rsid w:val="006B0000"/>
    <w:rsid w:val="006B02B4"/>
    <w:rsid w:val="006B19DF"/>
    <w:rsid w:val="006B1DC3"/>
    <w:rsid w:val="006B31BF"/>
    <w:rsid w:val="006B37EA"/>
    <w:rsid w:val="006B381D"/>
    <w:rsid w:val="006B389F"/>
    <w:rsid w:val="006B4456"/>
    <w:rsid w:val="006B44A5"/>
    <w:rsid w:val="006B49DB"/>
    <w:rsid w:val="006B4BE7"/>
    <w:rsid w:val="006B5247"/>
    <w:rsid w:val="006B578F"/>
    <w:rsid w:val="006B5DC0"/>
    <w:rsid w:val="006B5FEF"/>
    <w:rsid w:val="006B6E67"/>
    <w:rsid w:val="006B70F7"/>
    <w:rsid w:val="006B7CE4"/>
    <w:rsid w:val="006C084B"/>
    <w:rsid w:val="006C09F8"/>
    <w:rsid w:val="006C0FC5"/>
    <w:rsid w:val="006C2DC7"/>
    <w:rsid w:val="006C3132"/>
    <w:rsid w:val="006C319A"/>
    <w:rsid w:val="006C3B8A"/>
    <w:rsid w:val="006C5B65"/>
    <w:rsid w:val="006C6533"/>
    <w:rsid w:val="006C669A"/>
    <w:rsid w:val="006C6CBA"/>
    <w:rsid w:val="006C732C"/>
    <w:rsid w:val="006C7596"/>
    <w:rsid w:val="006C7AD1"/>
    <w:rsid w:val="006D0FEA"/>
    <w:rsid w:val="006D0FF7"/>
    <w:rsid w:val="006D12A8"/>
    <w:rsid w:val="006D177B"/>
    <w:rsid w:val="006D1D8E"/>
    <w:rsid w:val="006D2462"/>
    <w:rsid w:val="006D2979"/>
    <w:rsid w:val="006D2AF5"/>
    <w:rsid w:val="006D3D5B"/>
    <w:rsid w:val="006D413E"/>
    <w:rsid w:val="006D44ED"/>
    <w:rsid w:val="006D5B38"/>
    <w:rsid w:val="006D641E"/>
    <w:rsid w:val="006D6DED"/>
    <w:rsid w:val="006D77B9"/>
    <w:rsid w:val="006D7ACC"/>
    <w:rsid w:val="006D7C21"/>
    <w:rsid w:val="006E09C6"/>
    <w:rsid w:val="006E1A1A"/>
    <w:rsid w:val="006E2B50"/>
    <w:rsid w:val="006E3B6B"/>
    <w:rsid w:val="006E3BCE"/>
    <w:rsid w:val="006E487B"/>
    <w:rsid w:val="006E4D3B"/>
    <w:rsid w:val="006E5ED6"/>
    <w:rsid w:val="006F043A"/>
    <w:rsid w:val="006F0490"/>
    <w:rsid w:val="006F06EB"/>
    <w:rsid w:val="006F1DBA"/>
    <w:rsid w:val="006F1FEF"/>
    <w:rsid w:val="006F27C0"/>
    <w:rsid w:val="006F2E7B"/>
    <w:rsid w:val="006F32C4"/>
    <w:rsid w:val="006F367C"/>
    <w:rsid w:val="006F36E0"/>
    <w:rsid w:val="006F3A6B"/>
    <w:rsid w:val="006F3B56"/>
    <w:rsid w:val="006F577D"/>
    <w:rsid w:val="006F5DD6"/>
    <w:rsid w:val="006F6281"/>
    <w:rsid w:val="006F65AF"/>
    <w:rsid w:val="006F7C72"/>
    <w:rsid w:val="006F7EC8"/>
    <w:rsid w:val="00700152"/>
    <w:rsid w:val="00701C50"/>
    <w:rsid w:val="00701C7B"/>
    <w:rsid w:val="00702156"/>
    <w:rsid w:val="00702159"/>
    <w:rsid w:val="00702564"/>
    <w:rsid w:val="0070341E"/>
    <w:rsid w:val="007036CE"/>
    <w:rsid w:val="00704B29"/>
    <w:rsid w:val="00704D22"/>
    <w:rsid w:val="007055F7"/>
    <w:rsid w:val="007068DA"/>
    <w:rsid w:val="00706A29"/>
    <w:rsid w:val="00706B23"/>
    <w:rsid w:val="0071031C"/>
    <w:rsid w:val="007106DC"/>
    <w:rsid w:val="0071075F"/>
    <w:rsid w:val="00710AB5"/>
    <w:rsid w:val="00710C95"/>
    <w:rsid w:val="00710DD3"/>
    <w:rsid w:val="00711024"/>
    <w:rsid w:val="0071189D"/>
    <w:rsid w:val="00711C8F"/>
    <w:rsid w:val="00711E52"/>
    <w:rsid w:val="007126D6"/>
    <w:rsid w:val="007127B4"/>
    <w:rsid w:val="00712A8E"/>
    <w:rsid w:val="007145D4"/>
    <w:rsid w:val="007149FB"/>
    <w:rsid w:val="0071566E"/>
    <w:rsid w:val="007156F7"/>
    <w:rsid w:val="007161A2"/>
    <w:rsid w:val="007162FD"/>
    <w:rsid w:val="00716FED"/>
    <w:rsid w:val="00717C1D"/>
    <w:rsid w:val="00720611"/>
    <w:rsid w:val="00720B12"/>
    <w:rsid w:val="00721B1D"/>
    <w:rsid w:val="00722652"/>
    <w:rsid w:val="0072289F"/>
    <w:rsid w:val="007228A2"/>
    <w:rsid w:val="00722BB7"/>
    <w:rsid w:val="00723709"/>
    <w:rsid w:val="0072376A"/>
    <w:rsid w:val="007245B5"/>
    <w:rsid w:val="00725847"/>
    <w:rsid w:val="00725B3D"/>
    <w:rsid w:val="00725CE5"/>
    <w:rsid w:val="007262B9"/>
    <w:rsid w:val="00727DBC"/>
    <w:rsid w:val="00727DFF"/>
    <w:rsid w:val="0073038F"/>
    <w:rsid w:val="0073119E"/>
    <w:rsid w:val="00731281"/>
    <w:rsid w:val="00731E5E"/>
    <w:rsid w:val="00732D45"/>
    <w:rsid w:val="00732E56"/>
    <w:rsid w:val="0073372A"/>
    <w:rsid w:val="00733CAE"/>
    <w:rsid w:val="00734289"/>
    <w:rsid w:val="007351C6"/>
    <w:rsid w:val="00735A92"/>
    <w:rsid w:val="00735E51"/>
    <w:rsid w:val="0073609F"/>
    <w:rsid w:val="0073630C"/>
    <w:rsid w:val="007367B6"/>
    <w:rsid w:val="00736A51"/>
    <w:rsid w:val="00736EEE"/>
    <w:rsid w:val="00737BE7"/>
    <w:rsid w:val="007406BF"/>
    <w:rsid w:val="00740CC9"/>
    <w:rsid w:val="007410BA"/>
    <w:rsid w:val="0074116A"/>
    <w:rsid w:val="00741B10"/>
    <w:rsid w:val="00741C0D"/>
    <w:rsid w:val="0074245D"/>
    <w:rsid w:val="007425D5"/>
    <w:rsid w:val="00742722"/>
    <w:rsid w:val="007429EE"/>
    <w:rsid w:val="00742F44"/>
    <w:rsid w:val="007431C9"/>
    <w:rsid w:val="007447E4"/>
    <w:rsid w:val="00744DE9"/>
    <w:rsid w:val="00746D08"/>
    <w:rsid w:val="00746D16"/>
    <w:rsid w:val="00746E73"/>
    <w:rsid w:val="00746F29"/>
    <w:rsid w:val="007473F9"/>
    <w:rsid w:val="00747559"/>
    <w:rsid w:val="007476A5"/>
    <w:rsid w:val="00750810"/>
    <w:rsid w:val="00750CB1"/>
    <w:rsid w:val="00751A20"/>
    <w:rsid w:val="00751C7B"/>
    <w:rsid w:val="00751F78"/>
    <w:rsid w:val="00751FED"/>
    <w:rsid w:val="00753335"/>
    <w:rsid w:val="00754FE0"/>
    <w:rsid w:val="00755314"/>
    <w:rsid w:val="00755B67"/>
    <w:rsid w:val="00755F3B"/>
    <w:rsid w:val="00756474"/>
    <w:rsid w:val="0075702E"/>
    <w:rsid w:val="0075724F"/>
    <w:rsid w:val="00760CEF"/>
    <w:rsid w:val="00760FDD"/>
    <w:rsid w:val="00761B03"/>
    <w:rsid w:val="00761DD4"/>
    <w:rsid w:val="00762538"/>
    <w:rsid w:val="00763604"/>
    <w:rsid w:val="00763A05"/>
    <w:rsid w:val="00763D5B"/>
    <w:rsid w:val="0076401E"/>
    <w:rsid w:val="007647B0"/>
    <w:rsid w:val="00765225"/>
    <w:rsid w:val="007652FB"/>
    <w:rsid w:val="00765A44"/>
    <w:rsid w:val="00765FD8"/>
    <w:rsid w:val="00765FDD"/>
    <w:rsid w:val="007670B7"/>
    <w:rsid w:val="007677D3"/>
    <w:rsid w:val="00770CE2"/>
    <w:rsid w:val="00770F74"/>
    <w:rsid w:val="00771A62"/>
    <w:rsid w:val="00771F4F"/>
    <w:rsid w:val="00772FBB"/>
    <w:rsid w:val="00773D66"/>
    <w:rsid w:val="00774B77"/>
    <w:rsid w:val="00774CE9"/>
    <w:rsid w:val="0077567C"/>
    <w:rsid w:val="00775B23"/>
    <w:rsid w:val="00775CC4"/>
    <w:rsid w:val="007767A6"/>
    <w:rsid w:val="00776820"/>
    <w:rsid w:val="00776BC8"/>
    <w:rsid w:val="00777F6C"/>
    <w:rsid w:val="00780308"/>
    <w:rsid w:val="00780386"/>
    <w:rsid w:val="007812DE"/>
    <w:rsid w:val="007815B9"/>
    <w:rsid w:val="00782409"/>
    <w:rsid w:val="00782A62"/>
    <w:rsid w:val="00784723"/>
    <w:rsid w:val="00784ED9"/>
    <w:rsid w:val="0078552C"/>
    <w:rsid w:val="00785667"/>
    <w:rsid w:val="00785F75"/>
    <w:rsid w:val="00786E01"/>
    <w:rsid w:val="00786FD1"/>
    <w:rsid w:val="007874EA"/>
    <w:rsid w:val="0078791F"/>
    <w:rsid w:val="00787C4A"/>
    <w:rsid w:val="00787E06"/>
    <w:rsid w:val="00790733"/>
    <w:rsid w:val="00790C6F"/>
    <w:rsid w:val="00790D82"/>
    <w:rsid w:val="0079119B"/>
    <w:rsid w:val="00791266"/>
    <w:rsid w:val="007912BE"/>
    <w:rsid w:val="00791B84"/>
    <w:rsid w:val="00792BE2"/>
    <w:rsid w:val="0079318A"/>
    <w:rsid w:val="007937A0"/>
    <w:rsid w:val="00794A59"/>
    <w:rsid w:val="00794F03"/>
    <w:rsid w:val="0079549C"/>
    <w:rsid w:val="007972CC"/>
    <w:rsid w:val="0079739E"/>
    <w:rsid w:val="00797631"/>
    <w:rsid w:val="00797BAC"/>
    <w:rsid w:val="007A0100"/>
    <w:rsid w:val="007A0598"/>
    <w:rsid w:val="007A09A4"/>
    <w:rsid w:val="007A0B12"/>
    <w:rsid w:val="007A0D1B"/>
    <w:rsid w:val="007A118D"/>
    <w:rsid w:val="007A12BF"/>
    <w:rsid w:val="007A1EC5"/>
    <w:rsid w:val="007A2E60"/>
    <w:rsid w:val="007A318E"/>
    <w:rsid w:val="007A34A1"/>
    <w:rsid w:val="007A4FCA"/>
    <w:rsid w:val="007A5A90"/>
    <w:rsid w:val="007A5AFA"/>
    <w:rsid w:val="007A6DE8"/>
    <w:rsid w:val="007A7608"/>
    <w:rsid w:val="007A7E54"/>
    <w:rsid w:val="007B0128"/>
    <w:rsid w:val="007B0532"/>
    <w:rsid w:val="007B07BB"/>
    <w:rsid w:val="007B1067"/>
    <w:rsid w:val="007B2242"/>
    <w:rsid w:val="007B4111"/>
    <w:rsid w:val="007B454B"/>
    <w:rsid w:val="007B4583"/>
    <w:rsid w:val="007B49A1"/>
    <w:rsid w:val="007B4A6D"/>
    <w:rsid w:val="007B519F"/>
    <w:rsid w:val="007B53D7"/>
    <w:rsid w:val="007B632E"/>
    <w:rsid w:val="007B775C"/>
    <w:rsid w:val="007C029B"/>
    <w:rsid w:val="007C1B7C"/>
    <w:rsid w:val="007C501F"/>
    <w:rsid w:val="007C68E2"/>
    <w:rsid w:val="007C7257"/>
    <w:rsid w:val="007C7FCF"/>
    <w:rsid w:val="007D00C3"/>
    <w:rsid w:val="007D0376"/>
    <w:rsid w:val="007D0C73"/>
    <w:rsid w:val="007D2498"/>
    <w:rsid w:val="007D2C72"/>
    <w:rsid w:val="007D3466"/>
    <w:rsid w:val="007D3E54"/>
    <w:rsid w:val="007D42FF"/>
    <w:rsid w:val="007D5421"/>
    <w:rsid w:val="007D5819"/>
    <w:rsid w:val="007D6DCD"/>
    <w:rsid w:val="007D6FAA"/>
    <w:rsid w:val="007D7110"/>
    <w:rsid w:val="007D72B3"/>
    <w:rsid w:val="007D781B"/>
    <w:rsid w:val="007E003F"/>
    <w:rsid w:val="007E03ED"/>
    <w:rsid w:val="007E0652"/>
    <w:rsid w:val="007E0D45"/>
    <w:rsid w:val="007E0D63"/>
    <w:rsid w:val="007E0E9A"/>
    <w:rsid w:val="007E0EA9"/>
    <w:rsid w:val="007E0FB2"/>
    <w:rsid w:val="007E1D9C"/>
    <w:rsid w:val="007E20F0"/>
    <w:rsid w:val="007E22DE"/>
    <w:rsid w:val="007E240E"/>
    <w:rsid w:val="007E252A"/>
    <w:rsid w:val="007E2837"/>
    <w:rsid w:val="007E290A"/>
    <w:rsid w:val="007E2BCF"/>
    <w:rsid w:val="007E2EFA"/>
    <w:rsid w:val="007E3633"/>
    <w:rsid w:val="007E37E4"/>
    <w:rsid w:val="007E3B70"/>
    <w:rsid w:val="007E40CA"/>
    <w:rsid w:val="007E52A6"/>
    <w:rsid w:val="007E5DDB"/>
    <w:rsid w:val="007E6596"/>
    <w:rsid w:val="007E6C47"/>
    <w:rsid w:val="007E6DBA"/>
    <w:rsid w:val="007E7785"/>
    <w:rsid w:val="007E7D03"/>
    <w:rsid w:val="007E7DE1"/>
    <w:rsid w:val="007E7F32"/>
    <w:rsid w:val="007F0259"/>
    <w:rsid w:val="007F05C5"/>
    <w:rsid w:val="007F067D"/>
    <w:rsid w:val="007F124D"/>
    <w:rsid w:val="007F199B"/>
    <w:rsid w:val="007F1B30"/>
    <w:rsid w:val="007F1D5F"/>
    <w:rsid w:val="007F1FE4"/>
    <w:rsid w:val="007F200B"/>
    <w:rsid w:val="007F295E"/>
    <w:rsid w:val="007F2F99"/>
    <w:rsid w:val="007F3424"/>
    <w:rsid w:val="007F34F0"/>
    <w:rsid w:val="007F36DC"/>
    <w:rsid w:val="007F36E3"/>
    <w:rsid w:val="007F47C8"/>
    <w:rsid w:val="007F5B5C"/>
    <w:rsid w:val="007F6158"/>
    <w:rsid w:val="007F7521"/>
    <w:rsid w:val="007F771D"/>
    <w:rsid w:val="007F78F3"/>
    <w:rsid w:val="00800437"/>
    <w:rsid w:val="008028D9"/>
    <w:rsid w:val="0080368B"/>
    <w:rsid w:val="00803D18"/>
    <w:rsid w:val="0080401A"/>
    <w:rsid w:val="00804390"/>
    <w:rsid w:val="00804685"/>
    <w:rsid w:val="00805166"/>
    <w:rsid w:val="008051E4"/>
    <w:rsid w:val="00805886"/>
    <w:rsid w:val="00805F9A"/>
    <w:rsid w:val="0080646E"/>
    <w:rsid w:val="008072D1"/>
    <w:rsid w:val="00807610"/>
    <w:rsid w:val="008100B2"/>
    <w:rsid w:val="008101F6"/>
    <w:rsid w:val="00810252"/>
    <w:rsid w:val="00810612"/>
    <w:rsid w:val="00810D74"/>
    <w:rsid w:val="00810EE3"/>
    <w:rsid w:val="00810FCD"/>
    <w:rsid w:val="008111C5"/>
    <w:rsid w:val="00811C65"/>
    <w:rsid w:val="00812393"/>
    <w:rsid w:val="00812966"/>
    <w:rsid w:val="00813041"/>
    <w:rsid w:val="008130AF"/>
    <w:rsid w:val="008130E4"/>
    <w:rsid w:val="008142FD"/>
    <w:rsid w:val="0081470A"/>
    <w:rsid w:val="00814EF1"/>
    <w:rsid w:val="00815620"/>
    <w:rsid w:val="0081572C"/>
    <w:rsid w:val="00816124"/>
    <w:rsid w:val="00816888"/>
    <w:rsid w:val="00817750"/>
    <w:rsid w:val="0082050B"/>
    <w:rsid w:val="00820BB1"/>
    <w:rsid w:val="008211C4"/>
    <w:rsid w:val="00821FD2"/>
    <w:rsid w:val="00822686"/>
    <w:rsid w:val="0082381B"/>
    <w:rsid w:val="0082392C"/>
    <w:rsid w:val="008239FB"/>
    <w:rsid w:val="00824B07"/>
    <w:rsid w:val="00825960"/>
    <w:rsid w:val="008262F8"/>
    <w:rsid w:val="0083051E"/>
    <w:rsid w:val="00830652"/>
    <w:rsid w:val="00830FB5"/>
    <w:rsid w:val="0083141B"/>
    <w:rsid w:val="008316E1"/>
    <w:rsid w:val="00831862"/>
    <w:rsid w:val="008322BD"/>
    <w:rsid w:val="0083249C"/>
    <w:rsid w:val="00832667"/>
    <w:rsid w:val="0083288C"/>
    <w:rsid w:val="008328A4"/>
    <w:rsid w:val="008334D3"/>
    <w:rsid w:val="00833D88"/>
    <w:rsid w:val="00834A41"/>
    <w:rsid w:val="00834C0F"/>
    <w:rsid w:val="00834E37"/>
    <w:rsid w:val="00835571"/>
    <w:rsid w:val="00835808"/>
    <w:rsid w:val="00836B0C"/>
    <w:rsid w:val="00837174"/>
    <w:rsid w:val="00837F4C"/>
    <w:rsid w:val="008401A4"/>
    <w:rsid w:val="008409AC"/>
    <w:rsid w:val="0084150B"/>
    <w:rsid w:val="00841B9E"/>
    <w:rsid w:val="008423D3"/>
    <w:rsid w:val="008429E4"/>
    <w:rsid w:val="00842C24"/>
    <w:rsid w:val="00842E1B"/>
    <w:rsid w:val="00845C5D"/>
    <w:rsid w:val="00845E38"/>
    <w:rsid w:val="00845E55"/>
    <w:rsid w:val="00846011"/>
    <w:rsid w:val="0084636C"/>
    <w:rsid w:val="0085304C"/>
    <w:rsid w:val="008556DC"/>
    <w:rsid w:val="00856E52"/>
    <w:rsid w:val="00857027"/>
    <w:rsid w:val="008573DB"/>
    <w:rsid w:val="00857DD4"/>
    <w:rsid w:val="0086035C"/>
    <w:rsid w:val="00860FDA"/>
    <w:rsid w:val="00861024"/>
    <w:rsid w:val="00862766"/>
    <w:rsid w:val="008642FE"/>
    <w:rsid w:val="00865CBC"/>
    <w:rsid w:val="00866152"/>
    <w:rsid w:val="008662FD"/>
    <w:rsid w:val="008669B4"/>
    <w:rsid w:val="00867CFD"/>
    <w:rsid w:val="008707DC"/>
    <w:rsid w:val="008711E6"/>
    <w:rsid w:val="00871202"/>
    <w:rsid w:val="00871ACA"/>
    <w:rsid w:val="00871ADE"/>
    <w:rsid w:val="00871C61"/>
    <w:rsid w:val="00872118"/>
    <w:rsid w:val="00872156"/>
    <w:rsid w:val="008721CF"/>
    <w:rsid w:val="008726A9"/>
    <w:rsid w:val="008726B8"/>
    <w:rsid w:val="00872868"/>
    <w:rsid w:val="00873BF3"/>
    <w:rsid w:val="00873E6A"/>
    <w:rsid w:val="008744B7"/>
    <w:rsid w:val="00875063"/>
    <w:rsid w:val="00875381"/>
    <w:rsid w:val="008755CC"/>
    <w:rsid w:val="008755D4"/>
    <w:rsid w:val="00875B6C"/>
    <w:rsid w:val="00876960"/>
    <w:rsid w:val="00876B3F"/>
    <w:rsid w:val="00876D65"/>
    <w:rsid w:val="00880512"/>
    <w:rsid w:val="0088109B"/>
    <w:rsid w:val="008813D2"/>
    <w:rsid w:val="00882662"/>
    <w:rsid w:val="00883632"/>
    <w:rsid w:val="008848B7"/>
    <w:rsid w:val="00884B2F"/>
    <w:rsid w:val="00885B0F"/>
    <w:rsid w:val="00885B47"/>
    <w:rsid w:val="00886621"/>
    <w:rsid w:val="00886C63"/>
    <w:rsid w:val="00887452"/>
    <w:rsid w:val="0089059A"/>
    <w:rsid w:val="00890663"/>
    <w:rsid w:val="00890965"/>
    <w:rsid w:val="00890B92"/>
    <w:rsid w:val="008911E8"/>
    <w:rsid w:val="00891751"/>
    <w:rsid w:val="00892992"/>
    <w:rsid w:val="00892A56"/>
    <w:rsid w:val="0089367D"/>
    <w:rsid w:val="00894CD7"/>
    <w:rsid w:val="00895361"/>
    <w:rsid w:val="00895B5B"/>
    <w:rsid w:val="00895D0F"/>
    <w:rsid w:val="0089609E"/>
    <w:rsid w:val="0089717C"/>
    <w:rsid w:val="008A0CC0"/>
    <w:rsid w:val="008A0CCA"/>
    <w:rsid w:val="008A112C"/>
    <w:rsid w:val="008A20A9"/>
    <w:rsid w:val="008A3624"/>
    <w:rsid w:val="008A52B2"/>
    <w:rsid w:val="008A5352"/>
    <w:rsid w:val="008A5F88"/>
    <w:rsid w:val="008A6000"/>
    <w:rsid w:val="008A6833"/>
    <w:rsid w:val="008A6BFC"/>
    <w:rsid w:val="008A7C2C"/>
    <w:rsid w:val="008B02FE"/>
    <w:rsid w:val="008B0427"/>
    <w:rsid w:val="008B0A8F"/>
    <w:rsid w:val="008B0D74"/>
    <w:rsid w:val="008B137B"/>
    <w:rsid w:val="008B17A2"/>
    <w:rsid w:val="008B1923"/>
    <w:rsid w:val="008B2165"/>
    <w:rsid w:val="008B2F4F"/>
    <w:rsid w:val="008B320D"/>
    <w:rsid w:val="008B389C"/>
    <w:rsid w:val="008B3C47"/>
    <w:rsid w:val="008B4049"/>
    <w:rsid w:val="008B4A08"/>
    <w:rsid w:val="008B4A4B"/>
    <w:rsid w:val="008B53C9"/>
    <w:rsid w:val="008B5773"/>
    <w:rsid w:val="008B66E4"/>
    <w:rsid w:val="008B671F"/>
    <w:rsid w:val="008B681C"/>
    <w:rsid w:val="008B6D99"/>
    <w:rsid w:val="008B761E"/>
    <w:rsid w:val="008C10C5"/>
    <w:rsid w:val="008C11CA"/>
    <w:rsid w:val="008C152B"/>
    <w:rsid w:val="008C1541"/>
    <w:rsid w:val="008C1CFE"/>
    <w:rsid w:val="008C269A"/>
    <w:rsid w:val="008C3106"/>
    <w:rsid w:val="008C3C49"/>
    <w:rsid w:val="008C5481"/>
    <w:rsid w:val="008C78A7"/>
    <w:rsid w:val="008C7987"/>
    <w:rsid w:val="008C7AF6"/>
    <w:rsid w:val="008D2614"/>
    <w:rsid w:val="008D2703"/>
    <w:rsid w:val="008D2A83"/>
    <w:rsid w:val="008D2CDD"/>
    <w:rsid w:val="008D3C56"/>
    <w:rsid w:val="008D42D8"/>
    <w:rsid w:val="008D46E6"/>
    <w:rsid w:val="008D4F72"/>
    <w:rsid w:val="008D5022"/>
    <w:rsid w:val="008D61C7"/>
    <w:rsid w:val="008D6656"/>
    <w:rsid w:val="008D68B8"/>
    <w:rsid w:val="008D6940"/>
    <w:rsid w:val="008E00A5"/>
    <w:rsid w:val="008E00B7"/>
    <w:rsid w:val="008E022B"/>
    <w:rsid w:val="008E03F8"/>
    <w:rsid w:val="008E13E5"/>
    <w:rsid w:val="008E1544"/>
    <w:rsid w:val="008E157D"/>
    <w:rsid w:val="008E1DF8"/>
    <w:rsid w:val="008E2288"/>
    <w:rsid w:val="008E2407"/>
    <w:rsid w:val="008E248A"/>
    <w:rsid w:val="008E3005"/>
    <w:rsid w:val="008E31E7"/>
    <w:rsid w:val="008E37EF"/>
    <w:rsid w:val="008E4494"/>
    <w:rsid w:val="008E49F1"/>
    <w:rsid w:val="008E4B2F"/>
    <w:rsid w:val="008E4CD8"/>
    <w:rsid w:val="008E577E"/>
    <w:rsid w:val="008E5E88"/>
    <w:rsid w:val="008E6953"/>
    <w:rsid w:val="008E6C86"/>
    <w:rsid w:val="008E79B8"/>
    <w:rsid w:val="008E7BA9"/>
    <w:rsid w:val="008F04BD"/>
    <w:rsid w:val="008F0559"/>
    <w:rsid w:val="008F0B3D"/>
    <w:rsid w:val="008F0C2F"/>
    <w:rsid w:val="008F14F5"/>
    <w:rsid w:val="008F28AD"/>
    <w:rsid w:val="008F30AE"/>
    <w:rsid w:val="008F30FD"/>
    <w:rsid w:val="008F4470"/>
    <w:rsid w:val="008F619D"/>
    <w:rsid w:val="008F6390"/>
    <w:rsid w:val="008F6A3E"/>
    <w:rsid w:val="009005D4"/>
    <w:rsid w:val="0090091E"/>
    <w:rsid w:val="00900A97"/>
    <w:rsid w:val="00900B7C"/>
    <w:rsid w:val="00900BA2"/>
    <w:rsid w:val="0090396F"/>
    <w:rsid w:val="0090454F"/>
    <w:rsid w:val="00904C4F"/>
    <w:rsid w:val="0090623D"/>
    <w:rsid w:val="00906804"/>
    <w:rsid w:val="00906C26"/>
    <w:rsid w:val="00907128"/>
    <w:rsid w:val="00907D6F"/>
    <w:rsid w:val="0091020F"/>
    <w:rsid w:val="009103BF"/>
    <w:rsid w:val="009104F1"/>
    <w:rsid w:val="00910F1A"/>
    <w:rsid w:val="00911F7F"/>
    <w:rsid w:val="009123DD"/>
    <w:rsid w:val="00912FA0"/>
    <w:rsid w:val="009139CE"/>
    <w:rsid w:val="00914225"/>
    <w:rsid w:val="0091431B"/>
    <w:rsid w:val="009144E6"/>
    <w:rsid w:val="00914E53"/>
    <w:rsid w:val="00915188"/>
    <w:rsid w:val="00915B91"/>
    <w:rsid w:val="00915EAF"/>
    <w:rsid w:val="00916372"/>
    <w:rsid w:val="009166CB"/>
    <w:rsid w:val="00916EA8"/>
    <w:rsid w:val="00917128"/>
    <w:rsid w:val="00917542"/>
    <w:rsid w:val="00917D32"/>
    <w:rsid w:val="00920214"/>
    <w:rsid w:val="009205A5"/>
    <w:rsid w:val="00920B84"/>
    <w:rsid w:val="00920C30"/>
    <w:rsid w:val="00920FC7"/>
    <w:rsid w:val="009215A5"/>
    <w:rsid w:val="00922DD9"/>
    <w:rsid w:val="0092328A"/>
    <w:rsid w:val="00924166"/>
    <w:rsid w:val="009241A4"/>
    <w:rsid w:val="00924617"/>
    <w:rsid w:val="00924C47"/>
    <w:rsid w:val="009258D1"/>
    <w:rsid w:val="0092634E"/>
    <w:rsid w:val="00926717"/>
    <w:rsid w:val="009267E7"/>
    <w:rsid w:val="00926C32"/>
    <w:rsid w:val="00927E18"/>
    <w:rsid w:val="00927F25"/>
    <w:rsid w:val="009303D8"/>
    <w:rsid w:val="00930AD8"/>
    <w:rsid w:val="00930FEE"/>
    <w:rsid w:val="00931C32"/>
    <w:rsid w:val="00931CBD"/>
    <w:rsid w:val="009320A4"/>
    <w:rsid w:val="00932936"/>
    <w:rsid w:val="00932C8D"/>
    <w:rsid w:val="00933386"/>
    <w:rsid w:val="00933B51"/>
    <w:rsid w:val="00933BC4"/>
    <w:rsid w:val="00933C93"/>
    <w:rsid w:val="00933E1A"/>
    <w:rsid w:val="009355B6"/>
    <w:rsid w:val="00935846"/>
    <w:rsid w:val="00935DA1"/>
    <w:rsid w:val="00936594"/>
    <w:rsid w:val="00937016"/>
    <w:rsid w:val="00937D0D"/>
    <w:rsid w:val="00937E10"/>
    <w:rsid w:val="00941337"/>
    <w:rsid w:val="009419C8"/>
    <w:rsid w:val="00941B15"/>
    <w:rsid w:val="00941F79"/>
    <w:rsid w:val="009442EE"/>
    <w:rsid w:val="00944457"/>
    <w:rsid w:val="00944DAB"/>
    <w:rsid w:val="00945B48"/>
    <w:rsid w:val="009461D2"/>
    <w:rsid w:val="00946435"/>
    <w:rsid w:val="0094654E"/>
    <w:rsid w:val="0094662E"/>
    <w:rsid w:val="009466C0"/>
    <w:rsid w:val="00946DAA"/>
    <w:rsid w:val="009477C4"/>
    <w:rsid w:val="009502AD"/>
    <w:rsid w:val="00950A8C"/>
    <w:rsid w:val="00951115"/>
    <w:rsid w:val="00951293"/>
    <w:rsid w:val="009517E1"/>
    <w:rsid w:val="009526B3"/>
    <w:rsid w:val="009527E4"/>
    <w:rsid w:val="00953058"/>
    <w:rsid w:val="00953970"/>
    <w:rsid w:val="00954314"/>
    <w:rsid w:val="00954F75"/>
    <w:rsid w:val="00955BCC"/>
    <w:rsid w:val="009566E6"/>
    <w:rsid w:val="00957240"/>
    <w:rsid w:val="009574AE"/>
    <w:rsid w:val="0095753D"/>
    <w:rsid w:val="00960A4B"/>
    <w:rsid w:val="00960D26"/>
    <w:rsid w:val="00961212"/>
    <w:rsid w:val="00961866"/>
    <w:rsid w:val="00962021"/>
    <w:rsid w:val="00962940"/>
    <w:rsid w:val="00963500"/>
    <w:rsid w:val="009639EF"/>
    <w:rsid w:val="009645E2"/>
    <w:rsid w:val="009649A0"/>
    <w:rsid w:val="00965B0F"/>
    <w:rsid w:val="00965EF3"/>
    <w:rsid w:val="0096675C"/>
    <w:rsid w:val="009679F5"/>
    <w:rsid w:val="00967D34"/>
    <w:rsid w:val="0097097D"/>
    <w:rsid w:val="00970F5C"/>
    <w:rsid w:val="00971B1D"/>
    <w:rsid w:val="00972CEF"/>
    <w:rsid w:val="009730CD"/>
    <w:rsid w:val="00974330"/>
    <w:rsid w:val="0097449E"/>
    <w:rsid w:val="00974F72"/>
    <w:rsid w:val="009752C8"/>
    <w:rsid w:val="0097549A"/>
    <w:rsid w:val="00976497"/>
    <w:rsid w:val="00976A06"/>
    <w:rsid w:val="00976F84"/>
    <w:rsid w:val="00977B51"/>
    <w:rsid w:val="00977CE8"/>
    <w:rsid w:val="00980B38"/>
    <w:rsid w:val="00980C03"/>
    <w:rsid w:val="00981327"/>
    <w:rsid w:val="0098152A"/>
    <w:rsid w:val="0098153D"/>
    <w:rsid w:val="009819BF"/>
    <w:rsid w:val="009819F1"/>
    <w:rsid w:val="00981BE0"/>
    <w:rsid w:val="00981E67"/>
    <w:rsid w:val="0098208F"/>
    <w:rsid w:val="00982286"/>
    <w:rsid w:val="00982459"/>
    <w:rsid w:val="00982623"/>
    <w:rsid w:val="00982DD7"/>
    <w:rsid w:val="0098310E"/>
    <w:rsid w:val="0098314C"/>
    <w:rsid w:val="00983975"/>
    <w:rsid w:val="00983D93"/>
    <w:rsid w:val="0098437B"/>
    <w:rsid w:val="00984AA6"/>
    <w:rsid w:val="009853D9"/>
    <w:rsid w:val="00985866"/>
    <w:rsid w:val="00985F0C"/>
    <w:rsid w:val="00985F14"/>
    <w:rsid w:val="00986439"/>
    <w:rsid w:val="00986923"/>
    <w:rsid w:val="00986DC8"/>
    <w:rsid w:val="00986DD5"/>
    <w:rsid w:val="009871F3"/>
    <w:rsid w:val="009876F9"/>
    <w:rsid w:val="009879A8"/>
    <w:rsid w:val="00987E39"/>
    <w:rsid w:val="00987F3E"/>
    <w:rsid w:val="00990DD8"/>
    <w:rsid w:val="00991B18"/>
    <w:rsid w:val="009934AE"/>
    <w:rsid w:val="00994096"/>
    <w:rsid w:val="00994180"/>
    <w:rsid w:val="009942D3"/>
    <w:rsid w:val="0099469B"/>
    <w:rsid w:val="00995204"/>
    <w:rsid w:val="009953CC"/>
    <w:rsid w:val="0099570C"/>
    <w:rsid w:val="009969F0"/>
    <w:rsid w:val="00996FB3"/>
    <w:rsid w:val="00997728"/>
    <w:rsid w:val="009A1107"/>
    <w:rsid w:val="009A112E"/>
    <w:rsid w:val="009A170A"/>
    <w:rsid w:val="009A1771"/>
    <w:rsid w:val="009A1B49"/>
    <w:rsid w:val="009A3143"/>
    <w:rsid w:val="009A36D4"/>
    <w:rsid w:val="009A44FF"/>
    <w:rsid w:val="009A5AEE"/>
    <w:rsid w:val="009A5BAD"/>
    <w:rsid w:val="009A5BB9"/>
    <w:rsid w:val="009A6315"/>
    <w:rsid w:val="009A67A6"/>
    <w:rsid w:val="009A6C68"/>
    <w:rsid w:val="009B01EB"/>
    <w:rsid w:val="009B021D"/>
    <w:rsid w:val="009B0DD2"/>
    <w:rsid w:val="009B1538"/>
    <w:rsid w:val="009B1F4A"/>
    <w:rsid w:val="009B24E3"/>
    <w:rsid w:val="009B2DE3"/>
    <w:rsid w:val="009B3064"/>
    <w:rsid w:val="009B33AD"/>
    <w:rsid w:val="009B49C4"/>
    <w:rsid w:val="009B4F8C"/>
    <w:rsid w:val="009B51D1"/>
    <w:rsid w:val="009B5305"/>
    <w:rsid w:val="009B5BD0"/>
    <w:rsid w:val="009B714B"/>
    <w:rsid w:val="009B73BE"/>
    <w:rsid w:val="009B77F8"/>
    <w:rsid w:val="009B7CB6"/>
    <w:rsid w:val="009C0123"/>
    <w:rsid w:val="009C0293"/>
    <w:rsid w:val="009C03BA"/>
    <w:rsid w:val="009C0741"/>
    <w:rsid w:val="009C0C3A"/>
    <w:rsid w:val="009C0CEF"/>
    <w:rsid w:val="009C112A"/>
    <w:rsid w:val="009C265D"/>
    <w:rsid w:val="009C2CFC"/>
    <w:rsid w:val="009C2D27"/>
    <w:rsid w:val="009C32E3"/>
    <w:rsid w:val="009C41D6"/>
    <w:rsid w:val="009C4329"/>
    <w:rsid w:val="009C45ED"/>
    <w:rsid w:val="009C4661"/>
    <w:rsid w:val="009C4742"/>
    <w:rsid w:val="009C49D4"/>
    <w:rsid w:val="009C4BB6"/>
    <w:rsid w:val="009C4DD2"/>
    <w:rsid w:val="009C6117"/>
    <w:rsid w:val="009D073A"/>
    <w:rsid w:val="009D0E20"/>
    <w:rsid w:val="009D1C72"/>
    <w:rsid w:val="009D1E8F"/>
    <w:rsid w:val="009D2468"/>
    <w:rsid w:val="009D3112"/>
    <w:rsid w:val="009D3791"/>
    <w:rsid w:val="009D3AB3"/>
    <w:rsid w:val="009D494F"/>
    <w:rsid w:val="009D4D07"/>
    <w:rsid w:val="009D64FF"/>
    <w:rsid w:val="009D682D"/>
    <w:rsid w:val="009D693C"/>
    <w:rsid w:val="009D6D90"/>
    <w:rsid w:val="009D7345"/>
    <w:rsid w:val="009D7A9B"/>
    <w:rsid w:val="009D7C5C"/>
    <w:rsid w:val="009E0188"/>
    <w:rsid w:val="009E0329"/>
    <w:rsid w:val="009E04A4"/>
    <w:rsid w:val="009E0CCC"/>
    <w:rsid w:val="009E0F89"/>
    <w:rsid w:val="009E1392"/>
    <w:rsid w:val="009E1471"/>
    <w:rsid w:val="009E1CB2"/>
    <w:rsid w:val="009E202A"/>
    <w:rsid w:val="009E227A"/>
    <w:rsid w:val="009E2AA2"/>
    <w:rsid w:val="009E3DBD"/>
    <w:rsid w:val="009E4595"/>
    <w:rsid w:val="009E4A53"/>
    <w:rsid w:val="009E4B61"/>
    <w:rsid w:val="009E4D85"/>
    <w:rsid w:val="009E550C"/>
    <w:rsid w:val="009E6652"/>
    <w:rsid w:val="009E67F3"/>
    <w:rsid w:val="009E6C0F"/>
    <w:rsid w:val="009E7521"/>
    <w:rsid w:val="009E7A13"/>
    <w:rsid w:val="009F1036"/>
    <w:rsid w:val="009F16DC"/>
    <w:rsid w:val="009F3240"/>
    <w:rsid w:val="009F50D5"/>
    <w:rsid w:val="009F5158"/>
    <w:rsid w:val="009F55E9"/>
    <w:rsid w:val="009F56BE"/>
    <w:rsid w:val="009F6133"/>
    <w:rsid w:val="009F69E7"/>
    <w:rsid w:val="009F6FC4"/>
    <w:rsid w:val="009F7018"/>
    <w:rsid w:val="009F7A7A"/>
    <w:rsid w:val="00A0143E"/>
    <w:rsid w:val="00A01CE6"/>
    <w:rsid w:val="00A01E1F"/>
    <w:rsid w:val="00A024E1"/>
    <w:rsid w:val="00A02DFD"/>
    <w:rsid w:val="00A0331D"/>
    <w:rsid w:val="00A03336"/>
    <w:rsid w:val="00A0372F"/>
    <w:rsid w:val="00A042B7"/>
    <w:rsid w:val="00A044DE"/>
    <w:rsid w:val="00A059D3"/>
    <w:rsid w:val="00A06097"/>
    <w:rsid w:val="00A06945"/>
    <w:rsid w:val="00A06E5F"/>
    <w:rsid w:val="00A078E0"/>
    <w:rsid w:val="00A07E52"/>
    <w:rsid w:val="00A114DB"/>
    <w:rsid w:val="00A11CC4"/>
    <w:rsid w:val="00A11DF6"/>
    <w:rsid w:val="00A1201A"/>
    <w:rsid w:val="00A12069"/>
    <w:rsid w:val="00A12390"/>
    <w:rsid w:val="00A13144"/>
    <w:rsid w:val="00A13325"/>
    <w:rsid w:val="00A13395"/>
    <w:rsid w:val="00A13457"/>
    <w:rsid w:val="00A13E71"/>
    <w:rsid w:val="00A13F51"/>
    <w:rsid w:val="00A14065"/>
    <w:rsid w:val="00A1419F"/>
    <w:rsid w:val="00A14DCA"/>
    <w:rsid w:val="00A14FB1"/>
    <w:rsid w:val="00A158CA"/>
    <w:rsid w:val="00A15B8C"/>
    <w:rsid w:val="00A15FE2"/>
    <w:rsid w:val="00A16C28"/>
    <w:rsid w:val="00A1785E"/>
    <w:rsid w:val="00A17D5C"/>
    <w:rsid w:val="00A20077"/>
    <w:rsid w:val="00A20AE7"/>
    <w:rsid w:val="00A21A44"/>
    <w:rsid w:val="00A21E62"/>
    <w:rsid w:val="00A23088"/>
    <w:rsid w:val="00A23655"/>
    <w:rsid w:val="00A24809"/>
    <w:rsid w:val="00A249A5"/>
    <w:rsid w:val="00A24E1C"/>
    <w:rsid w:val="00A2504F"/>
    <w:rsid w:val="00A252B5"/>
    <w:rsid w:val="00A25A98"/>
    <w:rsid w:val="00A268CF"/>
    <w:rsid w:val="00A304F2"/>
    <w:rsid w:val="00A30763"/>
    <w:rsid w:val="00A30F5A"/>
    <w:rsid w:val="00A30FE8"/>
    <w:rsid w:val="00A31324"/>
    <w:rsid w:val="00A313AC"/>
    <w:rsid w:val="00A316A2"/>
    <w:rsid w:val="00A31776"/>
    <w:rsid w:val="00A31A83"/>
    <w:rsid w:val="00A32A85"/>
    <w:rsid w:val="00A32CD5"/>
    <w:rsid w:val="00A32FFA"/>
    <w:rsid w:val="00A330EE"/>
    <w:rsid w:val="00A3332C"/>
    <w:rsid w:val="00A3422B"/>
    <w:rsid w:val="00A3422C"/>
    <w:rsid w:val="00A3461A"/>
    <w:rsid w:val="00A348FC"/>
    <w:rsid w:val="00A35695"/>
    <w:rsid w:val="00A35859"/>
    <w:rsid w:val="00A358C5"/>
    <w:rsid w:val="00A36807"/>
    <w:rsid w:val="00A36815"/>
    <w:rsid w:val="00A37321"/>
    <w:rsid w:val="00A37F78"/>
    <w:rsid w:val="00A419AE"/>
    <w:rsid w:val="00A42468"/>
    <w:rsid w:val="00A42533"/>
    <w:rsid w:val="00A42678"/>
    <w:rsid w:val="00A431AC"/>
    <w:rsid w:val="00A43330"/>
    <w:rsid w:val="00A4340C"/>
    <w:rsid w:val="00A43523"/>
    <w:rsid w:val="00A43663"/>
    <w:rsid w:val="00A43686"/>
    <w:rsid w:val="00A43760"/>
    <w:rsid w:val="00A43D0E"/>
    <w:rsid w:val="00A442E0"/>
    <w:rsid w:val="00A44A14"/>
    <w:rsid w:val="00A44D64"/>
    <w:rsid w:val="00A45260"/>
    <w:rsid w:val="00A460B8"/>
    <w:rsid w:val="00A46890"/>
    <w:rsid w:val="00A46FAF"/>
    <w:rsid w:val="00A47871"/>
    <w:rsid w:val="00A47B35"/>
    <w:rsid w:val="00A50A93"/>
    <w:rsid w:val="00A51294"/>
    <w:rsid w:val="00A51825"/>
    <w:rsid w:val="00A51AA8"/>
    <w:rsid w:val="00A52178"/>
    <w:rsid w:val="00A523E8"/>
    <w:rsid w:val="00A52555"/>
    <w:rsid w:val="00A52C5B"/>
    <w:rsid w:val="00A52ED9"/>
    <w:rsid w:val="00A53134"/>
    <w:rsid w:val="00A53A92"/>
    <w:rsid w:val="00A550F3"/>
    <w:rsid w:val="00A5596B"/>
    <w:rsid w:val="00A561EA"/>
    <w:rsid w:val="00A56706"/>
    <w:rsid w:val="00A56B08"/>
    <w:rsid w:val="00A60A86"/>
    <w:rsid w:val="00A610AC"/>
    <w:rsid w:val="00A6160C"/>
    <w:rsid w:val="00A62375"/>
    <w:rsid w:val="00A62AB3"/>
    <w:rsid w:val="00A62E57"/>
    <w:rsid w:val="00A63253"/>
    <w:rsid w:val="00A6358D"/>
    <w:rsid w:val="00A638B7"/>
    <w:rsid w:val="00A63B38"/>
    <w:rsid w:val="00A64E39"/>
    <w:rsid w:val="00A65C81"/>
    <w:rsid w:val="00A65E4A"/>
    <w:rsid w:val="00A66293"/>
    <w:rsid w:val="00A66794"/>
    <w:rsid w:val="00A669DB"/>
    <w:rsid w:val="00A66C0D"/>
    <w:rsid w:val="00A67339"/>
    <w:rsid w:val="00A6790C"/>
    <w:rsid w:val="00A67A19"/>
    <w:rsid w:val="00A67F95"/>
    <w:rsid w:val="00A70518"/>
    <w:rsid w:val="00A71C6E"/>
    <w:rsid w:val="00A71F9E"/>
    <w:rsid w:val="00A72880"/>
    <w:rsid w:val="00A7297F"/>
    <w:rsid w:val="00A729A6"/>
    <w:rsid w:val="00A73FD3"/>
    <w:rsid w:val="00A743B1"/>
    <w:rsid w:val="00A7446D"/>
    <w:rsid w:val="00A745DD"/>
    <w:rsid w:val="00A74F60"/>
    <w:rsid w:val="00A750AA"/>
    <w:rsid w:val="00A75493"/>
    <w:rsid w:val="00A758C2"/>
    <w:rsid w:val="00A761DD"/>
    <w:rsid w:val="00A76F3D"/>
    <w:rsid w:val="00A77654"/>
    <w:rsid w:val="00A806AF"/>
    <w:rsid w:val="00A80BD6"/>
    <w:rsid w:val="00A80D68"/>
    <w:rsid w:val="00A80F2D"/>
    <w:rsid w:val="00A81610"/>
    <w:rsid w:val="00A81A57"/>
    <w:rsid w:val="00A82949"/>
    <w:rsid w:val="00A82D75"/>
    <w:rsid w:val="00A82EFC"/>
    <w:rsid w:val="00A8333E"/>
    <w:rsid w:val="00A83701"/>
    <w:rsid w:val="00A83EF3"/>
    <w:rsid w:val="00A85173"/>
    <w:rsid w:val="00A8579C"/>
    <w:rsid w:val="00A85FD1"/>
    <w:rsid w:val="00A864BE"/>
    <w:rsid w:val="00A87790"/>
    <w:rsid w:val="00A87923"/>
    <w:rsid w:val="00A87B19"/>
    <w:rsid w:val="00A900AC"/>
    <w:rsid w:val="00A9037E"/>
    <w:rsid w:val="00A908F8"/>
    <w:rsid w:val="00A90D1B"/>
    <w:rsid w:val="00A90D7E"/>
    <w:rsid w:val="00A91B12"/>
    <w:rsid w:val="00A92B5F"/>
    <w:rsid w:val="00A92BD7"/>
    <w:rsid w:val="00A936E9"/>
    <w:rsid w:val="00A94586"/>
    <w:rsid w:val="00A946EE"/>
    <w:rsid w:val="00A9576F"/>
    <w:rsid w:val="00A960F8"/>
    <w:rsid w:val="00A96BD5"/>
    <w:rsid w:val="00A97258"/>
    <w:rsid w:val="00A974E9"/>
    <w:rsid w:val="00AA0510"/>
    <w:rsid w:val="00AA0DF3"/>
    <w:rsid w:val="00AA18FC"/>
    <w:rsid w:val="00AA2172"/>
    <w:rsid w:val="00AA2234"/>
    <w:rsid w:val="00AA24A9"/>
    <w:rsid w:val="00AA286F"/>
    <w:rsid w:val="00AA575C"/>
    <w:rsid w:val="00AA63BB"/>
    <w:rsid w:val="00AA6423"/>
    <w:rsid w:val="00AA65A3"/>
    <w:rsid w:val="00AA7BBD"/>
    <w:rsid w:val="00AA7D8C"/>
    <w:rsid w:val="00AB0907"/>
    <w:rsid w:val="00AB0E0C"/>
    <w:rsid w:val="00AB1AE7"/>
    <w:rsid w:val="00AB1EB0"/>
    <w:rsid w:val="00AB1F67"/>
    <w:rsid w:val="00AB248F"/>
    <w:rsid w:val="00AB34F3"/>
    <w:rsid w:val="00AB35E3"/>
    <w:rsid w:val="00AB452F"/>
    <w:rsid w:val="00AB4713"/>
    <w:rsid w:val="00AB4ADB"/>
    <w:rsid w:val="00AB533F"/>
    <w:rsid w:val="00AB63B3"/>
    <w:rsid w:val="00AB7AFB"/>
    <w:rsid w:val="00AB7F39"/>
    <w:rsid w:val="00AC29A9"/>
    <w:rsid w:val="00AC2FA7"/>
    <w:rsid w:val="00AC30CA"/>
    <w:rsid w:val="00AC3341"/>
    <w:rsid w:val="00AC3F1C"/>
    <w:rsid w:val="00AC5330"/>
    <w:rsid w:val="00AC5975"/>
    <w:rsid w:val="00AC5B03"/>
    <w:rsid w:val="00AC5BA9"/>
    <w:rsid w:val="00AC6624"/>
    <w:rsid w:val="00AC6878"/>
    <w:rsid w:val="00AC6A8C"/>
    <w:rsid w:val="00AC6E4D"/>
    <w:rsid w:val="00AD055F"/>
    <w:rsid w:val="00AD10D2"/>
    <w:rsid w:val="00AD1AF1"/>
    <w:rsid w:val="00AD1F02"/>
    <w:rsid w:val="00AD2140"/>
    <w:rsid w:val="00AD2CB5"/>
    <w:rsid w:val="00AD2E33"/>
    <w:rsid w:val="00AD337D"/>
    <w:rsid w:val="00AD338A"/>
    <w:rsid w:val="00AD38FC"/>
    <w:rsid w:val="00AD4857"/>
    <w:rsid w:val="00AD4F98"/>
    <w:rsid w:val="00AD5696"/>
    <w:rsid w:val="00AD5D8E"/>
    <w:rsid w:val="00AD5DE6"/>
    <w:rsid w:val="00AD5F63"/>
    <w:rsid w:val="00AD6471"/>
    <w:rsid w:val="00AD66B8"/>
    <w:rsid w:val="00AD6926"/>
    <w:rsid w:val="00AD7168"/>
    <w:rsid w:val="00AD788F"/>
    <w:rsid w:val="00AD7D00"/>
    <w:rsid w:val="00AD7DFF"/>
    <w:rsid w:val="00AE09AC"/>
    <w:rsid w:val="00AE101D"/>
    <w:rsid w:val="00AE16C1"/>
    <w:rsid w:val="00AE1C8C"/>
    <w:rsid w:val="00AE1CB8"/>
    <w:rsid w:val="00AE1F41"/>
    <w:rsid w:val="00AE2130"/>
    <w:rsid w:val="00AE2F56"/>
    <w:rsid w:val="00AE4066"/>
    <w:rsid w:val="00AE4525"/>
    <w:rsid w:val="00AE4582"/>
    <w:rsid w:val="00AE4D0D"/>
    <w:rsid w:val="00AE50E4"/>
    <w:rsid w:val="00AE5222"/>
    <w:rsid w:val="00AE6F40"/>
    <w:rsid w:val="00AE7999"/>
    <w:rsid w:val="00AE7D15"/>
    <w:rsid w:val="00AF08F7"/>
    <w:rsid w:val="00AF0950"/>
    <w:rsid w:val="00AF0CE0"/>
    <w:rsid w:val="00AF1106"/>
    <w:rsid w:val="00AF12D6"/>
    <w:rsid w:val="00AF1ACA"/>
    <w:rsid w:val="00AF1FE6"/>
    <w:rsid w:val="00AF2BF4"/>
    <w:rsid w:val="00AF2EB7"/>
    <w:rsid w:val="00AF38F0"/>
    <w:rsid w:val="00AF3EE5"/>
    <w:rsid w:val="00AF455B"/>
    <w:rsid w:val="00AF4746"/>
    <w:rsid w:val="00AF4857"/>
    <w:rsid w:val="00AF49DF"/>
    <w:rsid w:val="00AF5FD1"/>
    <w:rsid w:val="00AF6043"/>
    <w:rsid w:val="00AF614C"/>
    <w:rsid w:val="00AF6688"/>
    <w:rsid w:val="00AF68B2"/>
    <w:rsid w:val="00AF6CD4"/>
    <w:rsid w:val="00AF73EB"/>
    <w:rsid w:val="00AF7670"/>
    <w:rsid w:val="00AF7B29"/>
    <w:rsid w:val="00AF7E2A"/>
    <w:rsid w:val="00AF7E73"/>
    <w:rsid w:val="00B004CB"/>
    <w:rsid w:val="00B01064"/>
    <w:rsid w:val="00B01F58"/>
    <w:rsid w:val="00B030A5"/>
    <w:rsid w:val="00B046FE"/>
    <w:rsid w:val="00B0513D"/>
    <w:rsid w:val="00B05506"/>
    <w:rsid w:val="00B05B70"/>
    <w:rsid w:val="00B05E08"/>
    <w:rsid w:val="00B069A5"/>
    <w:rsid w:val="00B109F9"/>
    <w:rsid w:val="00B1259B"/>
    <w:rsid w:val="00B1288E"/>
    <w:rsid w:val="00B133EB"/>
    <w:rsid w:val="00B13858"/>
    <w:rsid w:val="00B1399F"/>
    <w:rsid w:val="00B143F4"/>
    <w:rsid w:val="00B144AE"/>
    <w:rsid w:val="00B1461C"/>
    <w:rsid w:val="00B15368"/>
    <w:rsid w:val="00B15EFB"/>
    <w:rsid w:val="00B16639"/>
    <w:rsid w:val="00B16C3D"/>
    <w:rsid w:val="00B16ED0"/>
    <w:rsid w:val="00B16F5E"/>
    <w:rsid w:val="00B17E40"/>
    <w:rsid w:val="00B20079"/>
    <w:rsid w:val="00B20C20"/>
    <w:rsid w:val="00B20C4D"/>
    <w:rsid w:val="00B20F3B"/>
    <w:rsid w:val="00B21087"/>
    <w:rsid w:val="00B21356"/>
    <w:rsid w:val="00B213FE"/>
    <w:rsid w:val="00B21743"/>
    <w:rsid w:val="00B21775"/>
    <w:rsid w:val="00B217EE"/>
    <w:rsid w:val="00B219B8"/>
    <w:rsid w:val="00B21E15"/>
    <w:rsid w:val="00B23361"/>
    <w:rsid w:val="00B24B50"/>
    <w:rsid w:val="00B24BE0"/>
    <w:rsid w:val="00B25091"/>
    <w:rsid w:val="00B253F0"/>
    <w:rsid w:val="00B25E4D"/>
    <w:rsid w:val="00B260F2"/>
    <w:rsid w:val="00B26792"/>
    <w:rsid w:val="00B3048B"/>
    <w:rsid w:val="00B30F62"/>
    <w:rsid w:val="00B3100D"/>
    <w:rsid w:val="00B319E0"/>
    <w:rsid w:val="00B31D41"/>
    <w:rsid w:val="00B31F9F"/>
    <w:rsid w:val="00B32D16"/>
    <w:rsid w:val="00B3324E"/>
    <w:rsid w:val="00B3353C"/>
    <w:rsid w:val="00B33A56"/>
    <w:rsid w:val="00B34437"/>
    <w:rsid w:val="00B34B5A"/>
    <w:rsid w:val="00B35866"/>
    <w:rsid w:val="00B36B60"/>
    <w:rsid w:val="00B36BB5"/>
    <w:rsid w:val="00B370A0"/>
    <w:rsid w:val="00B37541"/>
    <w:rsid w:val="00B37F7E"/>
    <w:rsid w:val="00B40DA2"/>
    <w:rsid w:val="00B412FE"/>
    <w:rsid w:val="00B424F8"/>
    <w:rsid w:val="00B43C6F"/>
    <w:rsid w:val="00B44AA8"/>
    <w:rsid w:val="00B44FD9"/>
    <w:rsid w:val="00B458B2"/>
    <w:rsid w:val="00B466E3"/>
    <w:rsid w:val="00B46A20"/>
    <w:rsid w:val="00B46C38"/>
    <w:rsid w:val="00B474CA"/>
    <w:rsid w:val="00B5085B"/>
    <w:rsid w:val="00B513A0"/>
    <w:rsid w:val="00B515D0"/>
    <w:rsid w:val="00B51AA0"/>
    <w:rsid w:val="00B52C46"/>
    <w:rsid w:val="00B5303D"/>
    <w:rsid w:val="00B532A5"/>
    <w:rsid w:val="00B532D0"/>
    <w:rsid w:val="00B533D4"/>
    <w:rsid w:val="00B5393B"/>
    <w:rsid w:val="00B53C2A"/>
    <w:rsid w:val="00B53D74"/>
    <w:rsid w:val="00B560BB"/>
    <w:rsid w:val="00B56437"/>
    <w:rsid w:val="00B572F5"/>
    <w:rsid w:val="00B577D9"/>
    <w:rsid w:val="00B57CDD"/>
    <w:rsid w:val="00B57FFA"/>
    <w:rsid w:val="00B60BBA"/>
    <w:rsid w:val="00B61A58"/>
    <w:rsid w:val="00B61F43"/>
    <w:rsid w:val="00B633A8"/>
    <w:rsid w:val="00B63954"/>
    <w:rsid w:val="00B639A2"/>
    <w:rsid w:val="00B6422F"/>
    <w:rsid w:val="00B644DB"/>
    <w:rsid w:val="00B6455A"/>
    <w:rsid w:val="00B647C8"/>
    <w:rsid w:val="00B6485A"/>
    <w:rsid w:val="00B64B6B"/>
    <w:rsid w:val="00B650C8"/>
    <w:rsid w:val="00B653F6"/>
    <w:rsid w:val="00B65611"/>
    <w:rsid w:val="00B65647"/>
    <w:rsid w:val="00B6573F"/>
    <w:rsid w:val="00B659D6"/>
    <w:rsid w:val="00B65FBA"/>
    <w:rsid w:val="00B66B7F"/>
    <w:rsid w:val="00B66E27"/>
    <w:rsid w:val="00B70475"/>
    <w:rsid w:val="00B7125B"/>
    <w:rsid w:val="00B71B54"/>
    <w:rsid w:val="00B71B5F"/>
    <w:rsid w:val="00B72175"/>
    <w:rsid w:val="00B730EF"/>
    <w:rsid w:val="00B73925"/>
    <w:rsid w:val="00B73BE4"/>
    <w:rsid w:val="00B742E4"/>
    <w:rsid w:val="00B7441A"/>
    <w:rsid w:val="00B7481F"/>
    <w:rsid w:val="00B7484A"/>
    <w:rsid w:val="00B74A91"/>
    <w:rsid w:val="00B74D08"/>
    <w:rsid w:val="00B757C6"/>
    <w:rsid w:val="00B75B83"/>
    <w:rsid w:val="00B7647E"/>
    <w:rsid w:val="00B76A46"/>
    <w:rsid w:val="00B76E62"/>
    <w:rsid w:val="00B77904"/>
    <w:rsid w:val="00B77B81"/>
    <w:rsid w:val="00B80C57"/>
    <w:rsid w:val="00B824AB"/>
    <w:rsid w:val="00B8255A"/>
    <w:rsid w:val="00B83552"/>
    <w:rsid w:val="00B83725"/>
    <w:rsid w:val="00B83CB4"/>
    <w:rsid w:val="00B83FCA"/>
    <w:rsid w:val="00B8463A"/>
    <w:rsid w:val="00B84736"/>
    <w:rsid w:val="00B84A56"/>
    <w:rsid w:val="00B84A62"/>
    <w:rsid w:val="00B8501B"/>
    <w:rsid w:val="00B850E7"/>
    <w:rsid w:val="00B8530F"/>
    <w:rsid w:val="00B85BD1"/>
    <w:rsid w:val="00B86369"/>
    <w:rsid w:val="00B86B81"/>
    <w:rsid w:val="00B86F1A"/>
    <w:rsid w:val="00B87304"/>
    <w:rsid w:val="00B87A8B"/>
    <w:rsid w:val="00B87C6E"/>
    <w:rsid w:val="00B87C93"/>
    <w:rsid w:val="00B87FC8"/>
    <w:rsid w:val="00B902C7"/>
    <w:rsid w:val="00B903CF"/>
    <w:rsid w:val="00B915E7"/>
    <w:rsid w:val="00B91A76"/>
    <w:rsid w:val="00B928DF"/>
    <w:rsid w:val="00B92F0C"/>
    <w:rsid w:val="00B932CB"/>
    <w:rsid w:val="00B94408"/>
    <w:rsid w:val="00B960C1"/>
    <w:rsid w:val="00B971D1"/>
    <w:rsid w:val="00B9734C"/>
    <w:rsid w:val="00B97377"/>
    <w:rsid w:val="00B976D1"/>
    <w:rsid w:val="00B97E0E"/>
    <w:rsid w:val="00BA099E"/>
    <w:rsid w:val="00BA0E96"/>
    <w:rsid w:val="00BA1552"/>
    <w:rsid w:val="00BA15E2"/>
    <w:rsid w:val="00BA16A9"/>
    <w:rsid w:val="00BA2376"/>
    <w:rsid w:val="00BA2522"/>
    <w:rsid w:val="00BA388B"/>
    <w:rsid w:val="00BA43F0"/>
    <w:rsid w:val="00BA5FDC"/>
    <w:rsid w:val="00BA6998"/>
    <w:rsid w:val="00BA6F8B"/>
    <w:rsid w:val="00BA7773"/>
    <w:rsid w:val="00BA7D6C"/>
    <w:rsid w:val="00BB0210"/>
    <w:rsid w:val="00BB0B1F"/>
    <w:rsid w:val="00BB0E0F"/>
    <w:rsid w:val="00BB0E55"/>
    <w:rsid w:val="00BB12F2"/>
    <w:rsid w:val="00BB145C"/>
    <w:rsid w:val="00BB1E90"/>
    <w:rsid w:val="00BB23A8"/>
    <w:rsid w:val="00BB2C49"/>
    <w:rsid w:val="00BB2F1C"/>
    <w:rsid w:val="00BB2FF1"/>
    <w:rsid w:val="00BB32B9"/>
    <w:rsid w:val="00BB362F"/>
    <w:rsid w:val="00BB4713"/>
    <w:rsid w:val="00BB4FF0"/>
    <w:rsid w:val="00BB5BA1"/>
    <w:rsid w:val="00BB5C20"/>
    <w:rsid w:val="00BB5D15"/>
    <w:rsid w:val="00BB6BFB"/>
    <w:rsid w:val="00BB7137"/>
    <w:rsid w:val="00BB7EDA"/>
    <w:rsid w:val="00BC0106"/>
    <w:rsid w:val="00BC161A"/>
    <w:rsid w:val="00BC1D92"/>
    <w:rsid w:val="00BC203E"/>
    <w:rsid w:val="00BC26F3"/>
    <w:rsid w:val="00BC2B0A"/>
    <w:rsid w:val="00BC3770"/>
    <w:rsid w:val="00BC3C28"/>
    <w:rsid w:val="00BC3CD0"/>
    <w:rsid w:val="00BC40DA"/>
    <w:rsid w:val="00BC5995"/>
    <w:rsid w:val="00BC5C0F"/>
    <w:rsid w:val="00BC5FDE"/>
    <w:rsid w:val="00BC66EA"/>
    <w:rsid w:val="00BC6771"/>
    <w:rsid w:val="00BC6D0F"/>
    <w:rsid w:val="00BC7BA8"/>
    <w:rsid w:val="00BD0520"/>
    <w:rsid w:val="00BD0717"/>
    <w:rsid w:val="00BD11FF"/>
    <w:rsid w:val="00BD1B9A"/>
    <w:rsid w:val="00BD2B5B"/>
    <w:rsid w:val="00BD3135"/>
    <w:rsid w:val="00BD32FF"/>
    <w:rsid w:val="00BD4EB5"/>
    <w:rsid w:val="00BD506E"/>
    <w:rsid w:val="00BD5BB5"/>
    <w:rsid w:val="00BD5BBF"/>
    <w:rsid w:val="00BD7977"/>
    <w:rsid w:val="00BD7B62"/>
    <w:rsid w:val="00BE07F4"/>
    <w:rsid w:val="00BE0C23"/>
    <w:rsid w:val="00BE17F7"/>
    <w:rsid w:val="00BE2070"/>
    <w:rsid w:val="00BE239F"/>
    <w:rsid w:val="00BE23F0"/>
    <w:rsid w:val="00BE2661"/>
    <w:rsid w:val="00BE282E"/>
    <w:rsid w:val="00BE2AA5"/>
    <w:rsid w:val="00BE4473"/>
    <w:rsid w:val="00BE4721"/>
    <w:rsid w:val="00BE49FE"/>
    <w:rsid w:val="00BE4F3F"/>
    <w:rsid w:val="00BE522B"/>
    <w:rsid w:val="00BE65E8"/>
    <w:rsid w:val="00BE6E42"/>
    <w:rsid w:val="00BE76A9"/>
    <w:rsid w:val="00BF01A7"/>
    <w:rsid w:val="00BF04BA"/>
    <w:rsid w:val="00BF1490"/>
    <w:rsid w:val="00BF233C"/>
    <w:rsid w:val="00BF26BC"/>
    <w:rsid w:val="00BF308F"/>
    <w:rsid w:val="00BF319A"/>
    <w:rsid w:val="00BF351E"/>
    <w:rsid w:val="00BF35CA"/>
    <w:rsid w:val="00BF36B8"/>
    <w:rsid w:val="00BF3A26"/>
    <w:rsid w:val="00BF3C08"/>
    <w:rsid w:val="00BF3C1C"/>
    <w:rsid w:val="00BF3FB9"/>
    <w:rsid w:val="00BF41B4"/>
    <w:rsid w:val="00BF41C3"/>
    <w:rsid w:val="00BF5027"/>
    <w:rsid w:val="00BF57B1"/>
    <w:rsid w:val="00BF585A"/>
    <w:rsid w:val="00BF6139"/>
    <w:rsid w:val="00BF6A47"/>
    <w:rsid w:val="00BF6EEB"/>
    <w:rsid w:val="00BF733C"/>
    <w:rsid w:val="00BF7864"/>
    <w:rsid w:val="00C00396"/>
    <w:rsid w:val="00C00586"/>
    <w:rsid w:val="00C00719"/>
    <w:rsid w:val="00C00BB3"/>
    <w:rsid w:val="00C0129A"/>
    <w:rsid w:val="00C01766"/>
    <w:rsid w:val="00C02DC7"/>
    <w:rsid w:val="00C03565"/>
    <w:rsid w:val="00C0480B"/>
    <w:rsid w:val="00C04925"/>
    <w:rsid w:val="00C04F20"/>
    <w:rsid w:val="00C06533"/>
    <w:rsid w:val="00C06648"/>
    <w:rsid w:val="00C067FC"/>
    <w:rsid w:val="00C069B1"/>
    <w:rsid w:val="00C0764F"/>
    <w:rsid w:val="00C0774A"/>
    <w:rsid w:val="00C07C97"/>
    <w:rsid w:val="00C07D19"/>
    <w:rsid w:val="00C111C4"/>
    <w:rsid w:val="00C11354"/>
    <w:rsid w:val="00C11799"/>
    <w:rsid w:val="00C12A0C"/>
    <w:rsid w:val="00C136BF"/>
    <w:rsid w:val="00C1374C"/>
    <w:rsid w:val="00C1471F"/>
    <w:rsid w:val="00C14FF1"/>
    <w:rsid w:val="00C15128"/>
    <w:rsid w:val="00C15615"/>
    <w:rsid w:val="00C1584D"/>
    <w:rsid w:val="00C162AF"/>
    <w:rsid w:val="00C165CC"/>
    <w:rsid w:val="00C1668F"/>
    <w:rsid w:val="00C171E5"/>
    <w:rsid w:val="00C1763D"/>
    <w:rsid w:val="00C178FC"/>
    <w:rsid w:val="00C20228"/>
    <w:rsid w:val="00C204E2"/>
    <w:rsid w:val="00C20C14"/>
    <w:rsid w:val="00C2162B"/>
    <w:rsid w:val="00C217BA"/>
    <w:rsid w:val="00C223DE"/>
    <w:rsid w:val="00C22ADA"/>
    <w:rsid w:val="00C22F14"/>
    <w:rsid w:val="00C22F46"/>
    <w:rsid w:val="00C23F6D"/>
    <w:rsid w:val="00C24A5E"/>
    <w:rsid w:val="00C24B33"/>
    <w:rsid w:val="00C24D74"/>
    <w:rsid w:val="00C25302"/>
    <w:rsid w:val="00C253D7"/>
    <w:rsid w:val="00C261E8"/>
    <w:rsid w:val="00C267FF"/>
    <w:rsid w:val="00C26EBE"/>
    <w:rsid w:val="00C27A63"/>
    <w:rsid w:val="00C301A8"/>
    <w:rsid w:val="00C30258"/>
    <w:rsid w:val="00C31150"/>
    <w:rsid w:val="00C31EB2"/>
    <w:rsid w:val="00C31FFB"/>
    <w:rsid w:val="00C32031"/>
    <w:rsid w:val="00C3237C"/>
    <w:rsid w:val="00C3257D"/>
    <w:rsid w:val="00C32EF7"/>
    <w:rsid w:val="00C33053"/>
    <w:rsid w:val="00C3356F"/>
    <w:rsid w:val="00C33D46"/>
    <w:rsid w:val="00C344FD"/>
    <w:rsid w:val="00C352BA"/>
    <w:rsid w:val="00C35DFE"/>
    <w:rsid w:val="00C35F1F"/>
    <w:rsid w:val="00C366D1"/>
    <w:rsid w:val="00C36BC1"/>
    <w:rsid w:val="00C36BF8"/>
    <w:rsid w:val="00C372CF"/>
    <w:rsid w:val="00C37AA7"/>
    <w:rsid w:val="00C37E80"/>
    <w:rsid w:val="00C402F7"/>
    <w:rsid w:val="00C40B5B"/>
    <w:rsid w:val="00C4102C"/>
    <w:rsid w:val="00C410C6"/>
    <w:rsid w:val="00C4165A"/>
    <w:rsid w:val="00C41E06"/>
    <w:rsid w:val="00C41FA1"/>
    <w:rsid w:val="00C43AEE"/>
    <w:rsid w:val="00C44954"/>
    <w:rsid w:val="00C44C3C"/>
    <w:rsid w:val="00C45647"/>
    <w:rsid w:val="00C458AB"/>
    <w:rsid w:val="00C45CC1"/>
    <w:rsid w:val="00C462E0"/>
    <w:rsid w:val="00C47187"/>
    <w:rsid w:val="00C478E5"/>
    <w:rsid w:val="00C47AC8"/>
    <w:rsid w:val="00C50048"/>
    <w:rsid w:val="00C500D9"/>
    <w:rsid w:val="00C504E8"/>
    <w:rsid w:val="00C510F7"/>
    <w:rsid w:val="00C51B0F"/>
    <w:rsid w:val="00C51C8E"/>
    <w:rsid w:val="00C51EAB"/>
    <w:rsid w:val="00C520D6"/>
    <w:rsid w:val="00C52498"/>
    <w:rsid w:val="00C53505"/>
    <w:rsid w:val="00C53955"/>
    <w:rsid w:val="00C53C16"/>
    <w:rsid w:val="00C5434A"/>
    <w:rsid w:val="00C54AB4"/>
    <w:rsid w:val="00C5519F"/>
    <w:rsid w:val="00C554D1"/>
    <w:rsid w:val="00C55C3B"/>
    <w:rsid w:val="00C56411"/>
    <w:rsid w:val="00C576E7"/>
    <w:rsid w:val="00C579A9"/>
    <w:rsid w:val="00C57CF3"/>
    <w:rsid w:val="00C60D0D"/>
    <w:rsid w:val="00C61070"/>
    <w:rsid w:val="00C615E8"/>
    <w:rsid w:val="00C61DD8"/>
    <w:rsid w:val="00C61E07"/>
    <w:rsid w:val="00C63457"/>
    <w:rsid w:val="00C64100"/>
    <w:rsid w:val="00C6520A"/>
    <w:rsid w:val="00C6538A"/>
    <w:rsid w:val="00C65981"/>
    <w:rsid w:val="00C65BDC"/>
    <w:rsid w:val="00C667C1"/>
    <w:rsid w:val="00C675FE"/>
    <w:rsid w:val="00C67C0E"/>
    <w:rsid w:val="00C702C8"/>
    <w:rsid w:val="00C70361"/>
    <w:rsid w:val="00C70819"/>
    <w:rsid w:val="00C72412"/>
    <w:rsid w:val="00C7293A"/>
    <w:rsid w:val="00C72B58"/>
    <w:rsid w:val="00C73293"/>
    <w:rsid w:val="00C73DD6"/>
    <w:rsid w:val="00C74780"/>
    <w:rsid w:val="00C74CC1"/>
    <w:rsid w:val="00C75C67"/>
    <w:rsid w:val="00C75C85"/>
    <w:rsid w:val="00C75F7E"/>
    <w:rsid w:val="00C7676F"/>
    <w:rsid w:val="00C773ED"/>
    <w:rsid w:val="00C80DD2"/>
    <w:rsid w:val="00C80E06"/>
    <w:rsid w:val="00C8140B"/>
    <w:rsid w:val="00C81C9D"/>
    <w:rsid w:val="00C82391"/>
    <w:rsid w:val="00C823D1"/>
    <w:rsid w:val="00C82945"/>
    <w:rsid w:val="00C832D5"/>
    <w:rsid w:val="00C8411E"/>
    <w:rsid w:val="00C841EE"/>
    <w:rsid w:val="00C842EF"/>
    <w:rsid w:val="00C848C7"/>
    <w:rsid w:val="00C84EAC"/>
    <w:rsid w:val="00C84F1B"/>
    <w:rsid w:val="00C85496"/>
    <w:rsid w:val="00C86643"/>
    <w:rsid w:val="00C868DA"/>
    <w:rsid w:val="00C86B09"/>
    <w:rsid w:val="00C86BE8"/>
    <w:rsid w:val="00C86CCD"/>
    <w:rsid w:val="00C87130"/>
    <w:rsid w:val="00C90EBA"/>
    <w:rsid w:val="00C90FA2"/>
    <w:rsid w:val="00C918FB"/>
    <w:rsid w:val="00C9240F"/>
    <w:rsid w:val="00C925B5"/>
    <w:rsid w:val="00C926FE"/>
    <w:rsid w:val="00C937BC"/>
    <w:rsid w:val="00C93815"/>
    <w:rsid w:val="00C93A1A"/>
    <w:rsid w:val="00C94BDD"/>
    <w:rsid w:val="00C94C0F"/>
    <w:rsid w:val="00C95952"/>
    <w:rsid w:val="00C95EFE"/>
    <w:rsid w:val="00C9610A"/>
    <w:rsid w:val="00C97E26"/>
    <w:rsid w:val="00C97EF8"/>
    <w:rsid w:val="00CA176A"/>
    <w:rsid w:val="00CA1F28"/>
    <w:rsid w:val="00CA2B18"/>
    <w:rsid w:val="00CA2E49"/>
    <w:rsid w:val="00CA3A9D"/>
    <w:rsid w:val="00CA3BC2"/>
    <w:rsid w:val="00CA3DCF"/>
    <w:rsid w:val="00CA422B"/>
    <w:rsid w:val="00CA4841"/>
    <w:rsid w:val="00CA4A65"/>
    <w:rsid w:val="00CA501F"/>
    <w:rsid w:val="00CA5B07"/>
    <w:rsid w:val="00CA64F5"/>
    <w:rsid w:val="00CA6674"/>
    <w:rsid w:val="00CA6DA7"/>
    <w:rsid w:val="00CA7172"/>
    <w:rsid w:val="00CA73CD"/>
    <w:rsid w:val="00CB016E"/>
    <w:rsid w:val="00CB01DF"/>
    <w:rsid w:val="00CB110F"/>
    <w:rsid w:val="00CB1CAF"/>
    <w:rsid w:val="00CB2895"/>
    <w:rsid w:val="00CB2D29"/>
    <w:rsid w:val="00CB2D96"/>
    <w:rsid w:val="00CB2F64"/>
    <w:rsid w:val="00CB3FBB"/>
    <w:rsid w:val="00CB46DA"/>
    <w:rsid w:val="00CB5148"/>
    <w:rsid w:val="00CB567D"/>
    <w:rsid w:val="00CB575C"/>
    <w:rsid w:val="00CB5E4A"/>
    <w:rsid w:val="00CB6152"/>
    <w:rsid w:val="00CB61CC"/>
    <w:rsid w:val="00CB62CA"/>
    <w:rsid w:val="00CB6C54"/>
    <w:rsid w:val="00CB6E6E"/>
    <w:rsid w:val="00CB7A27"/>
    <w:rsid w:val="00CC0B5C"/>
    <w:rsid w:val="00CC0BA9"/>
    <w:rsid w:val="00CC0F9A"/>
    <w:rsid w:val="00CC12EE"/>
    <w:rsid w:val="00CC15E6"/>
    <w:rsid w:val="00CC1E72"/>
    <w:rsid w:val="00CC24F8"/>
    <w:rsid w:val="00CC2530"/>
    <w:rsid w:val="00CC269E"/>
    <w:rsid w:val="00CC35BB"/>
    <w:rsid w:val="00CC37AC"/>
    <w:rsid w:val="00CC3D87"/>
    <w:rsid w:val="00CC43E7"/>
    <w:rsid w:val="00CC4996"/>
    <w:rsid w:val="00CC4ED6"/>
    <w:rsid w:val="00CC5FE7"/>
    <w:rsid w:val="00CC695E"/>
    <w:rsid w:val="00CC6E29"/>
    <w:rsid w:val="00CC70EB"/>
    <w:rsid w:val="00CC7434"/>
    <w:rsid w:val="00CC7920"/>
    <w:rsid w:val="00CC7C15"/>
    <w:rsid w:val="00CC7F2F"/>
    <w:rsid w:val="00CD0D64"/>
    <w:rsid w:val="00CD1666"/>
    <w:rsid w:val="00CD4000"/>
    <w:rsid w:val="00CD4254"/>
    <w:rsid w:val="00CD5493"/>
    <w:rsid w:val="00CD646A"/>
    <w:rsid w:val="00CD6597"/>
    <w:rsid w:val="00CD6759"/>
    <w:rsid w:val="00CD7058"/>
    <w:rsid w:val="00CD73A4"/>
    <w:rsid w:val="00CD7F63"/>
    <w:rsid w:val="00CE03A2"/>
    <w:rsid w:val="00CE0666"/>
    <w:rsid w:val="00CE0C9B"/>
    <w:rsid w:val="00CE0DAB"/>
    <w:rsid w:val="00CE1175"/>
    <w:rsid w:val="00CE145B"/>
    <w:rsid w:val="00CE1C6F"/>
    <w:rsid w:val="00CE27A4"/>
    <w:rsid w:val="00CE2F80"/>
    <w:rsid w:val="00CE3041"/>
    <w:rsid w:val="00CE33B2"/>
    <w:rsid w:val="00CE3C8C"/>
    <w:rsid w:val="00CE40AA"/>
    <w:rsid w:val="00CE414B"/>
    <w:rsid w:val="00CE4382"/>
    <w:rsid w:val="00CE59C5"/>
    <w:rsid w:val="00CE5EDC"/>
    <w:rsid w:val="00CE6126"/>
    <w:rsid w:val="00CE7516"/>
    <w:rsid w:val="00CF0CE0"/>
    <w:rsid w:val="00CF140B"/>
    <w:rsid w:val="00CF1648"/>
    <w:rsid w:val="00CF173F"/>
    <w:rsid w:val="00CF1AEE"/>
    <w:rsid w:val="00CF243A"/>
    <w:rsid w:val="00CF251A"/>
    <w:rsid w:val="00CF2FF1"/>
    <w:rsid w:val="00CF31D3"/>
    <w:rsid w:val="00CF3701"/>
    <w:rsid w:val="00CF3912"/>
    <w:rsid w:val="00CF42D3"/>
    <w:rsid w:val="00CF4BB1"/>
    <w:rsid w:val="00CF4F05"/>
    <w:rsid w:val="00CF505E"/>
    <w:rsid w:val="00CF5137"/>
    <w:rsid w:val="00CF58D5"/>
    <w:rsid w:val="00CF6713"/>
    <w:rsid w:val="00CF6E72"/>
    <w:rsid w:val="00D00524"/>
    <w:rsid w:val="00D00C55"/>
    <w:rsid w:val="00D011E7"/>
    <w:rsid w:val="00D02189"/>
    <w:rsid w:val="00D0236A"/>
    <w:rsid w:val="00D02758"/>
    <w:rsid w:val="00D0353F"/>
    <w:rsid w:val="00D03727"/>
    <w:rsid w:val="00D03B4C"/>
    <w:rsid w:val="00D043ED"/>
    <w:rsid w:val="00D04544"/>
    <w:rsid w:val="00D05149"/>
    <w:rsid w:val="00D05518"/>
    <w:rsid w:val="00D05EDE"/>
    <w:rsid w:val="00D10079"/>
    <w:rsid w:val="00D106E5"/>
    <w:rsid w:val="00D10866"/>
    <w:rsid w:val="00D11379"/>
    <w:rsid w:val="00D11CFE"/>
    <w:rsid w:val="00D11E94"/>
    <w:rsid w:val="00D1275A"/>
    <w:rsid w:val="00D12D5C"/>
    <w:rsid w:val="00D1416A"/>
    <w:rsid w:val="00D14480"/>
    <w:rsid w:val="00D1576E"/>
    <w:rsid w:val="00D15CA6"/>
    <w:rsid w:val="00D16754"/>
    <w:rsid w:val="00D16A26"/>
    <w:rsid w:val="00D1725C"/>
    <w:rsid w:val="00D17318"/>
    <w:rsid w:val="00D1787A"/>
    <w:rsid w:val="00D17901"/>
    <w:rsid w:val="00D17ACD"/>
    <w:rsid w:val="00D2020F"/>
    <w:rsid w:val="00D2028A"/>
    <w:rsid w:val="00D2031D"/>
    <w:rsid w:val="00D20412"/>
    <w:rsid w:val="00D207AF"/>
    <w:rsid w:val="00D208C5"/>
    <w:rsid w:val="00D20BCF"/>
    <w:rsid w:val="00D2252A"/>
    <w:rsid w:val="00D22B43"/>
    <w:rsid w:val="00D22B56"/>
    <w:rsid w:val="00D22FC5"/>
    <w:rsid w:val="00D243CD"/>
    <w:rsid w:val="00D248B5"/>
    <w:rsid w:val="00D25868"/>
    <w:rsid w:val="00D25B5E"/>
    <w:rsid w:val="00D25C48"/>
    <w:rsid w:val="00D25E6E"/>
    <w:rsid w:val="00D264FF"/>
    <w:rsid w:val="00D265EA"/>
    <w:rsid w:val="00D26608"/>
    <w:rsid w:val="00D26A56"/>
    <w:rsid w:val="00D26C4F"/>
    <w:rsid w:val="00D27016"/>
    <w:rsid w:val="00D27809"/>
    <w:rsid w:val="00D30137"/>
    <w:rsid w:val="00D308EB"/>
    <w:rsid w:val="00D30965"/>
    <w:rsid w:val="00D30A28"/>
    <w:rsid w:val="00D30F54"/>
    <w:rsid w:val="00D3128E"/>
    <w:rsid w:val="00D3134D"/>
    <w:rsid w:val="00D329E9"/>
    <w:rsid w:val="00D3328F"/>
    <w:rsid w:val="00D33E27"/>
    <w:rsid w:val="00D340FE"/>
    <w:rsid w:val="00D34654"/>
    <w:rsid w:val="00D34A3B"/>
    <w:rsid w:val="00D34D23"/>
    <w:rsid w:val="00D35A79"/>
    <w:rsid w:val="00D362D4"/>
    <w:rsid w:val="00D364DF"/>
    <w:rsid w:val="00D36827"/>
    <w:rsid w:val="00D36C97"/>
    <w:rsid w:val="00D3790E"/>
    <w:rsid w:val="00D37A57"/>
    <w:rsid w:val="00D37C76"/>
    <w:rsid w:val="00D37DAE"/>
    <w:rsid w:val="00D37EDD"/>
    <w:rsid w:val="00D41B6C"/>
    <w:rsid w:val="00D4222F"/>
    <w:rsid w:val="00D42724"/>
    <w:rsid w:val="00D42CA8"/>
    <w:rsid w:val="00D42D17"/>
    <w:rsid w:val="00D42E5C"/>
    <w:rsid w:val="00D439F8"/>
    <w:rsid w:val="00D43B1B"/>
    <w:rsid w:val="00D43CD2"/>
    <w:rsid w:val="00D44182"/>
    <w:rsid w:val="00D446CB"/>
    <w:rsid w:val="00D44EC0"/>
    <w:rsid w:val="00D44FB2"/>
    <w:rsid w:val="00D459B2"/>
    <w:rsid w:val="00D467A1"/>
    <w:rsid w:val="00D46B62"/>
    <w:rsid w:val="00D4774A"/>
    <w:rsid w:val="00D47A06"/>
    <w:rsid w:val="00D47C2E"/>
    <w:rsid w:val="00D50C91"/>
    <w:rsid w:val="00D50D64"/>
    <w:rsid w:val="00D50DB5"/>
    <w:rsid w:val="00D50DF8"/>
    <w:rsid w:val="00D51E40"/>
    <w:rsid w:val="00D521D9"/>
    <w:rsid w:val="00D53378"/>
    <w:rsid w:val="00D547BC"/>
    <w:rsid w:val="00D55182"/>
    <w:rsid w:val="00D5627C"/>
    <w:rsid w:val="00D567B1"/>
    <w:rsid w:val="00D56F8C"/>
    <w:rsid w:val="00D5707A"/>
    <w:rsid w:val="00D578E9"/>
    <w:rsid w:val="00D57ADB"/>
    <w:rsid w:val="00D57E02"/>
    <w:rsid w:val="00D60A7B"/>
    <w:rsid w:val="00D61023"/>
    <w:rsid w:val="00D61C7E"/>
    <w:rsid w:val="00D61F0C"/>
    <w:rsid w:val="00D61F45"/>
    <w:rsid w:val="00D61F9C"/>
    <w:rsid w:val="00D6271B"/>
    <w:rsid w:val="00D6295D"/>
    <w:rsid w:val="00D63B8C"/>
    <w:rsid w:val="00D63CBF"/>
    <w:rsid w:val="00D6452A"/>
    <w:rsid w:val="00D64843"/>
    <w:rsid w:val="00D66159"/>
    <w:rsid w:val="00D6645E"/>
    <w:rsid w:val="00D66F45"/>
    <w:rsid w:val="00D67067"/>
    <w:rsid w:val="00D67B72"/>
    <w:rsid w:val="00D67DFE"/>
    <w:rsid w:val="00D702CE"/>
    <w:rsid w:val="00D70430"/>
    <w:rsid w:val="00D707C8"/>
    <w:rsid w:val="00D71C40"/>
    <w:rsid w:val="00D722EB"/>
    <w:rsid w:val="00D730A8"/>
    <w:rsid w:val="00D7335F"/>
    <w:rsid w:val="00D735D5"/>
    <w:rsid w:val="00D74285"/>
    <w:rsid w:val="00D74907"/>
    <w:rsid w:val="00D7524B"/>
    <w:rsid w:val="00D77711"/>
    <w:rsid w:val="00D77837"/>
    <w:rsid w:val="00D77883"/>
    <w:rsid w:val="00D77BB6"/>
    <w:rsid w:val="00D77CCE"/>
    <w:rsid w:val="00D80643"/>
    <w:rsid w:val="00D8155C"/>
    <w:rsid w:val="00D81AEC"/>
    <w:rsid w:val="00D81DFF"/>
    <w:rsid w:val="00D81F4D"/>
    <w:rsid w:val="00D82510"/>
    <w:rsid w:val="00D82B1F"/>
    <w:rsid w:val="00D82E9A"/>
    <w:rsid w:val="00D846E4"/>
    <w:rsid w:val="00D8488D"/>
    <w:rsid w:val="00D84C51"/>
    <w:rsid w:val="00D8546E"/>
    <w:rsid w:val="00D85C49"/>
    <w:rsid w:val="00D86485"/>
    <w:rsid w:val="00D8798A"/>
    <w:rsid w:val="00D90670"/>
    <w:rsid w:val="00D90994"/>
    <w:rsid w:val="00D90C16"/>
    <w:rsid w:val="00D90F8B"/>
    <w:rsid w:val="00D910DD"/>
    <w:rsid w:val="00D91340"/>
    <w:rsid w:val="00D91CAE"/>
    <w:rsid w:val="00D9202B"/>
    <w:rsid w:val="00D9227F"/>
    <w:rsid w:val="00D92AC8"/>
    <w:rsid w:val="00D92D25"/>
    <w:rsid w:val="00D93E5F"/>
    <w:rsid w:val="00D9608B"/>
    <w:rsid w:val="00D968C8"/>
    <w:rsid w:val="00D96DDF"/>
    <w:rsid w:val="00D97657"/>
    <w:rsid w:val="00D978EA"/>
    <w:rsid w:val="00D97C1F"/>
    <w:rsid w:val="00D97ED9"/>
    <w:rsid w:val="00DA04D2"/>
    <w:rsid w:val="00DA056A"/>
    <w:rsid w:val="00DA06E4"/>
    <w:rsid w:val="00DA0BB4"/>
    <w:rsid w:val="00DA1491"/>
    <w:rsid w:val="00DA162E"/>
    <w:rsid w:val="00DA1640"/>
    <w:rsid w:val="00DA28E6"/>
    <w:rsid w:val="00DA35BA"/>
    <w:rsid w:val="00DA3A91"/>
    <w:rsid w:val="00DA58B4"/>
    <w:rsid w:val="00DA5ABF"/>
    <w:rsid w:val="00DA5B72"/>
    <w:rsid w:val="00DA65F8"/>
    <w:rsid w:val="00DA679B"/>
    <w:rsid w:val="00DA731B"/>
    <w:rsid w:val="00DA74FE"/>
    <w:rsid w:val="00DA76E4"/>
    <w:rsid w:val="00DA7A04"/>
    <w:rsid w:val="00DA7EBB"/>
    <w:rsid w:val="00DB05EF"/>
    <w:rsid w:val="00DB1ABF"/>
    <w:rsid w:val="00DB1B29"/>
    <w:rsid w:val="00DB1B55"/>
    <w:rsid w:val="00DB2668"/>
    <w:rsid w:val="00DB34E1"/>
    <w:rsid w:val="00DB3654"/>
    <w:rsid w:val="00DB39E1"/>
    <w:rsid w:val="00DB39F7"/>
    <w:rsid w:val="00DB3CF9"/>
    <w:rsid w:val="00DB3D16"/>
    <w:rsid w:val="00DB46FB"/>
    <w:rsid w:val="00DB4C24"/>
    <w:rsid w:val="00DB68CF"/>
    <w:rsid w:val="00DB6D7C"/>
    <w:rsid w:val="00DB6E01"/>
    <w:rsid w:val="00DB721B"/>
    <w:rsid w:val="00DB72BD"/>
    <w:rsid w:val="00DB79D7"/>
    <w:rsid w:val="00DB7C5B"/>
    <w:rsid w:val="00DB7D6A"/>
    <w:rsid w:val="00DC045B"/>
    <w:rsid w:val="00DC05C8"/>
    <w:rsid w:val="00DC0AF0"/>
    <w:rsid w:val="00DC13D4"/>
    <w:rsid w:val="00DC3EBE"/>
    <w:rsid w:val="00DC425E"/>
    <w:rsid w:val="00DC4C34"/>
    <w:rsid w:val="00DC4C69"/>
    <w:rsid w:val="00DC4F1C"/>
    <w:rsid w:val="00DC5BA6"/>
    <w:rsid w:val="00DC7650"/>
    <w:rsid w:val="00DD01F7"/>
    <w:rsid w:val="00DD0B79"/>
    <w:rsid w:val="00DD118E"/>
    <w:rsid w:val="00DD122E"/>
    <w:rsid w:val="00DD180E"/>
    <w:rsid w:val="00DD19DE"/>
    <w:rsid w:val="00DD215B"/>
    <w:rsid w:val="00DD243D"/>
    <w:rsid w:val="00DD26D3"/>
    <w:rsid w:val="00DD2815"/>
    <w:rsid w:val="00DD2DA9"/>
    <w:rsid w:val="00DD2E8F"/>
    <w:rsid w:val="00DD30E2"/>
    <w:rsid w:val="00DD3623"/>
    <w:rsid w:val="00DD3693"/>
    <w:rsid w:val="00DD36C9"/>
    <w:rsid w:val="00DD400A"/>
    <w:rsid w:val="00DD4323"/>
    <w:rsid w:val="00DD4445"/>
    <w:rsid w:val="00DD4489"/>
    <w:rsid w:val="00DD51FE"/>
    <w:rsid w:val="00DD5B75"/>
    <w:rsid w:val="00DD66AC"/>
    <w:rsid w:val="00DD6C7C"/>
    <w:rsid w:val="00DD7617"/>
    <w:rsid w:val="00DD7DD0"/>
    <w:rsid w:val="00DD7F4E"/>
    <w:rsid w:val="00DE04AC"/>
    <w:rsid w:val="00DE06C6"/>
    <w:rsid w:val="00DE1704"/>
    <w:rsid w:val="00DE276B"/>
    <w:rsid w:val="00DE3FFC"/>
    <w:rsid w:val="00DE487A"/>
    <w:rsid w:val="00DE4B42"/>
    <w:rsid w:val="00DE4CD2"/>
    <w:rsid w:val="00DE4E04"/>
    <w:rsid w:val="00DE4E95"/>
    <w:rsid w:val="00DE5723"/>
    <w:rsid w:val="00DE57D9"/>
    <w:rsid w:val="00DE63D2"/>
    <w:rsid w:val="00DE6DA7"/>
    <w:rsid w:val="00DE6E50"/>
    <w:rsid w:val="00DE6F31"/>
    <w:rsid w:val="00DE7D8E"/>
    <w:rsid w:val="00DE7DC1"/>
    <w:rsid w:val="00DE7E5B"/>
    <w:rsid w:val="00DE7EA0"/>
    <w:rsid w:val="00DF04E0"/>
    <w:rsid w:val="00DF0610"/>
    <w:rsid w:val="00DF13CD"/>
    <w:rsid w:val="00DF22FF"/>
    <w:rsid w:val="00DF271B"/>
    <w:rsid w:val="00DF2DD7"/>
    <w:rsid w:val="00DF3022"/>
    <w:rsid w:val="00DF3190"/>
    <w:rsid w:val="00DF35FA"/>
    <w:rsid w:val="00DF3C4B"/>
    <w:rsid w:val="00DF4E8E"/>
    <w:rsid w:val="00DF57BE"/>
    <w:rsid w:val="00DF6E11"/>
    <w:rsid w:val="00DF73EF"/>
    <w:rsid w:val="00DF769F"/>
    <w:rsid w:val="00DF7E7A"/>
    <w:rsid w:val="00E00B91"/>
    <w:rsid w:val="00E0137B"/>
    <w:rsid w:val="00E01D45"/>
    <w:rsid w:val="00E025F6"/>
    <w:rsid w:val="00E027F4"/>
    <w:rsid w:val="00E02D95"/>
    <w:rsid w:val="00E037D9"/>
    <w:rsid w:val="00E03B45"/>
    <w:rsid w:val="00E03BAD"/>
    <w:rsid w:val="00E049A1"/>
    <w:rsid w:val="00E06885"/>
    <w:rsid w:val="00E070C4"/>
    <w:rsid w:val="00E11139"/>
    <w:rsid w:val="00E11D38"/>
    <w:rsid w:val="00E1271F"/>
    <w:rsid w:val="00E13766"/>
    <w:rsid w:val="00E13A00"/>
    <w:rsid w:val="00E13EA1"/>
    <w:rsid w:val="00E14FF4"/>
    <w:rsid w:val="00E15044"/>
    <w:rsid w:val="00E156EA"/>
    <w:rsid w:val="00E16C15"/>
    <w:rsid w:val="00E17887"/>
    <w:rsid w:val="00E206BB"/>
    <w:rsid w:val="00E206E8"/>
    <w:rsid w:val="00E210D4"/>
    <w:rsid w:val="00E21451"/>
    <w:rsid w:val="00E21F1A"/>
    <w:rsid w:val="00E22BAE"/>
    <w:rsid w:val="00E22EA7"/>
    <w:rsid w:val="00E2338A"/>
    <w:rsid w:val="00E23B55"/>
    <w:rsid w:val="00E23F7A"/>
    <w:rsid w:val="00E242DB"/>
    <w:rsid w:val="00E24C36"/>
    <w:rsid w:val="00E24FA1"/>
    <w:rsid w:val="00E256EA"/>
    <w:rsid w:val="00E26123"/>
    <w:rsid w:val="00E2623F"/>
    <w:rsid w:val="00E26EB1"/>
    <w:rsid w:val="00E270EA"/>
    <w:rsid w:val="00E276AF"/>
    <w:rsid w:val="00E3002D"/>
    <w:rsid w:val="00E30BE1"/>
    <w:rsid w:val="00E31965"/>
    <w:rsid w:val="00E31D1B"/>
    <w:rsid w:val="00E32768"/>
    <w:rsid w:val="00E329BD"/>
    <w:rsid w:val="00E32CAD"/>
    <w:rsid w:val="00E32CDE"/>
    <w:rsid w:val="00E339D8"/>
    <w:rsid w:val="00E34248"/>
    <w:rsid w:val="00E3468F"/>
    <w:rsid w:val="00E34AEF"/>
    <w:rsid w:val="00E34B72"/>
    <w:rsid w:val="00E34E34"/>
    <w:rsid w:val="00E34FC5"/>
    <w:rsid w:val="00E35417"/>
    <w:rsid w:val="00E358DB"/>
    <w:rsid w:val="00E35D53"/>
    <w:rsid w:val="00E36103"/>
    <w:rsid w:val="00E36197"/>
    <w:rsid w:val="00E362BC"/>
    <w:rsid w:val="00E3646F"/>
    <w:rsid w:val="00E367EC"/>
    <w:rsid w:val="00E36E11"/>
    <w:rsid w:val="00E36FBE"/>
    <w:rsid w:val="00E371FB"/>
    <w:rsid w:val="00E407A5"/>
    <w:rsid w:val="00E40B5C"/>
    <w:rsid w:val="00E4115C"/>
    <w:rsid w:val="00E417C8"/>
    <w:rsid w:val="00E42519"/>
    <w:rsid w:val="00E42A80"/>
    <w:rsid w:val="00E43133"/>
    <w:rsid w:val="00E43C8F"/>
    <w:rsid w:val="00E44C78"/>
    <w:rsid w:val="00E44FC4"/>
    <w:rsid w:val="00E45A1A"/>
    <w:rsid w:val="00E45CAF"/>
    <w:rsid w:val="00E45E2D"/>
    <w:rsid w:val="00E4661D"/>
    <w:rsid w:val="00E5001C"/>
    <w:rsid w:val="00E50E54"/>
    <w:rsid w:val="00E51019"/>
    <w:rsid w:val="00E5113B"/>
    <w:rsid w:val="00E51E23"/>
    <w:rsid w:val="00E51EE9"/>
    <w:rsid w:val="00E529F5"/>
    <w:rsid w:val="00E52C4C"/>
    <w:rsid w:val="00E52CAF"/>
    <w:rsid w:val="00E5364B"/>
    <w:rsid w:val="00E53D1E"/>
    <w:rsid w:val="00E543E9"/>
    <w:rsid w:val="00E54762"/>
    <w:rsid w:val="00E547E1"/>
    <w:rsid w:val="00E55D5E"/>
    <w:rsid w:val="00E568AA"/>
    <w:rsid w:val="00E5694D"/>
    <w:rsid w:val="00E56A20"/>
    <w:rsid w:val="00E56A8F"/>
    <w:rsid w:val="00E57273"/>
    <w:rsid w:val="00E57810"/>
    <w:rsid w:val="00E57E18"/>
    <w:rsid w:val="00E60B34"/>
    <w:rsid w:val="00E60E0E"/>
    <w:rsid w:val="00E617D1"/>
    <w:rsid w:val="00E61837"/>
    <w:rsid w:val="00E622A7"/>
    <w:rsid w:val="00E62FC6"/>
    <w:rsid w:val="00E63834"/>
    <w:rsid w:val="00E63CC2"/>
    <w:rsid w:val="00E63FA6"/>
    <w:rsid w:val="00E642EC"/>
    <w:rsid w:val="00E646FE"/>
    <w:rsid w:val="00E65011"/>
    <w:rsid w:val="00E65234"/>
    <w:rsid w:val="00E66278"/>
    <w:rsid w:val="00E66606"/>
    <w:rsid w:val="00E66BA5"/>
    <w:rsid w:val="00E67F91"/>
    <w:rsid w:val="00E709CF"/>
    <w:rsid w:val="00E70EA8"/>
    <w:rsid w:val="00E70EE6"/>
    <w:rsid w:val="00E70FCF"/>
    <w:rsid w:val="00E71497"/>
    <w:rsid w:val="00E71974"/>
    <w:rsid w:val="00E71E0A"/>
    <w:rsid w:val="00E72125"/>
    <w:rsid w:val="00E72776"/>
    <w:rsid w:val="00E73216"/>
    <w:rsid w:val="00E740C5"/>
    <w:rsid w:val="00E746B2"/>
    <w:rsid w:val="00E7475F"/>
    <w:rsid w:val="00E74C27"/>
    <w:rsid w:val="00E74C60"/>
    <w:rsid w:val="00E75247"/>
    <w:rsid w:val="00E757D1"/>
    <w:rsid w:val="00E75C7E"/>
    <w:rsid w:val="00E7642C"/>
    <w:rsid w:val="00E768C6"/>
    <w:rsid w:val="00E776A8"/>
    <w:rsid w:val="00E805C6"/>
    <w:rsid w:val="00E81041"/>
    <w:rsid w:val="00E8143E"/>
    <w:rsid w:val="00E824E7"/>
    <w:rsid w:val="00E82667"/>
    <w:rsid w:val="00E82F15"/>
    <w:rsid w:val="00E836C5"/>
    <w:rsid w:val="00E8393A"/>
    <w:rsid w:val="00E83C50"/>
    <w:rsid w:val="00E8450F"/>
    <w:rsid w:val="00E84863"/>
    <w:rsid w:val="00E84AE8"/>
    <w:rsid w:val="00E850D3"/>
    <w:rsid w:val="00E851EA"/>
    <w:rsid w:val="00E85C93"/>
    <w:rsid w:val="00E85E5A"/>
    <w:rsid w:val="00E8633D"/>
    <w:rsid w:val="00E8726D"/>
    <w:rsid w:val="00E876E4"/>
    <w:rsid w:val="00E877F4"/>
    <w:rsid w:val="00E87D8E"/>
    <w:rsid w:val="00E9018A"/>
    <w:rsid w:val="00E91C3D"/>
    <w:rsid w:val="00E92ADC"/>
    <w:rsid w:val="00E93D00"/>
    <w:rsid w:val="00E93FBE"/>
    <w:rsid w:val="00E9440F"/>
    <w:rsid w:val="00E94D2F"/>
    <w:rsid w:val="00E9527E"/>
    <w:rsid w:val="00E95623"/>
    <w:rsid w:val="00E95650"/>
    <w:rsid w:val="00E95760"/>
    <w:rsid w:val="00E9646C"/>
    <w:rsid w:val="00E9651D"/>
    <w:rsid w:val="00E9728E"/>
    <w:rsid w:val="00E975DC"/>
    <w:rsid w:val="00E97CC3"/>
    <w:rsid w:val="00EA04F3"/>
    <w:rsid w:val="00EA07BD"/>
    <w:rsid w:val="00EA0A74"/>
    <w:rsid w:val="00EA1A0F"/>
    <w:rsid w:val="00EA1E45"/>
    <w:rsid w:val="00EA2867"/>
    <w:rsid w:val="00EA2A28"/>
    <w:rsid w:val="00EA4630"/>
    <w:rsid w:val="00EA48B5"/>
    <w:rsid w:val="00EA5006"/>
    <w:rsid w:val="00EA54A2"/>
    <w:rsid w:val="00EA5D35"/>
    <w:rsid w:val="00EA6325"/>
    <w:rsid w:val="00EA6389"/>
    <w:rsid w:val="00EA6C07"/>
    <w:rsid w:val="00EA6D09"/>
    <w:rsid w:val="00EA6E1D"/>
    <w:rsid w:val="00EA7162"/>
    <w:rsid w:val="00EA7442"/>
    <w:rsid w:val="00EA7CF7"/>
    <w:rsid w:val="00EB0C80"/>
    <w:rsid w:val="00EB0E2B"/>
    <w:rsid w:val="00EB138A"/>
    <w:rsid w:val="00EB13D5"/>
    <w:rsid w:val="00EB14D3"/>
    <w:rsid w:val="00EB164A"/>
    <w:rsid w:val="00EB17C0"/>
    <w:rsid w:val="00EB29FE"/>
    <w:rsid w:val="00EB2B43"/>
    <w:rsid w:val="00EB2FB0"/>
    <w:rsid w:val="00EB3125"/>
    <w:rsid w:val="00EB3C7B"/>
    <w:rsid w:val="00EB41B1"/>
    <w:rsid w:val="00EB4944"/>
    <w:rsid w:val="00EB4AC6"/>
    <w:rsid w:val="00EB4B4F"/>
    <w:rsid w:val="00EB4E56"/>
    <w:rsid w:val="00EB5249"/>
    <w:rsid w:val="00EB55C2"/>
    <w:rsid w:val="00EB56CC"/>
    <w:rsid w:val="00EB588D"/>
    <w:rsid w:val="00EB6310"/>
    <w:rsid w:val="00EB6553"/>
    <w:rsid w:val="00EB6A9F"/>
    <w:rsid w:val="00EB75F8"/>
    <w:rsid w:val="00EB7657"/>
    <w:rsid w:val="00EB76E0"/>
    <w:rsid w:val="00EB7772"/>
    <w:rsid w:val="00EB7ED0"/>
    <w:rsid w:val="00EC047F"/>
    <w:rsid w:val="00EC04C4"/>
    <w:rsid w:val="00EC0C1F"/>
    <w:rsid w:val="00EC101A"/>
    <w:rsid w:val="00EC16E3"/>
    <w:rsid w:val="00EC17DE"/>
    <w:rsid w:val="00EC1A2C"/>
    <w:rsid w:val="00EC1D9F"/>
    <w:rsid w:val="00EC2453"/>
    <w:rsid w:val="00EC354A"/>
    <w:rsid w:val="00EC4904"/>
    <w:rsid w:val="00EC4B2B"/>
    <w:rsid w:val="00EC5802"/>
    <w:rsid w:val="00EC6FAE"/>
    <w:rsid w:val="00EC7117"/>
    <w:rsid w:val="00EC792C"/>
    <w:rsid w:val="00EC7B00"/>
    <w:rsid w:val="00ED05B8"/>
    <w:rsid w:val="00ED0C01"/>
    <w:rsid w:val="00ED2197"/>
    <w:rsid w:val="00ED2239"/>
    <w:rsid w:val="00ED2315"/>
    <w:rsid w:val="00ED2694"/>
    <w:rsid w:val="00ED3C4A"/>
    <w:rsid w:val="00ED3D2E"/>
    <w:rsid w:val="00ED49D9"/>
    <w:rsid w:val="00ED4C90"/>
    <w:rsid w:val="00ED50AB"/>
    <w:rsid w:val="00ED79C3"/>
    <w:rsid w:val="00ED7B66"/>
    <w:rsid w:val="00ED7C2A"/>
    <w:rsid w:val="00EE154E"/>
    <w:rsid w:val="00EE20CA"/>
    <w:rsid w:val="00EE2550"/>
    <w:rsid w:val="00EE277E"/>
    <w:rsid w:val="00EE2BFD"/>
    <w:rsid w:val="00EE43E6"/>
    <w:rsid w:val="00EE4880"/>
    <w:rsid w:val="00EE4AEA"/>
    <w:rsid w:val="00EE4C75"/>
    <w:rsid w:val="00EE504A"/>
    <w:rsid w:val="00EE51AF"/>
    <w:rsid w:val="00EE5C18"/>
    <w:rsid w:val="00EE66CC"/>
    <w:rsid w:val="00EE6A5E"/>
    <w:rsid w:val="00EE6D09"/>
    <w:rsid w:val="00EE7CD7"/>
    <w:rsid w:val="00EF12CD"/>
    <w:rsid w:val="00EF1B92"/>
    <w:rsid w:val="00EF20E3"/>
    <w:rsid w:val="00EF2292"/>
    <w:rsid w:val="00EF3017"/>
    <w:rsid w:val="00EF34E7"/>
    <w:rsid w:val="00EF3B61"/>
    <w:rsid w:val="00EF3CCA"/>
    <w:rsid w:val="00EF4694"/>
    <w:rsid w:val="00EF48CD"/>
    <w:rsid w:val="00EF4CDE"/>
    <w:rsid w:val="00EF537E"/>
    <w:rsid w:val="00EF5E98"/>
    <w:rsid w:val="00EF5F8F"/>
    <w:rsid w:val="00EF6378"/>
    <w:rsid w:val="00EF670F"/>
    <w:rsid w:val="00EF7795"/>
    <w:rsid w:val="00F00177"/>
    <w:rsid w:val="00F004B7"/>
    <w:rsid w:val="00F00AF7"/>
    <w:rsid w:val="00F00CB1"/>
    <w:rsid w:val="00F014D3"/>
    <w:rsid w:val="00F021EE"/>
    <w:rsid w:val="00F023E6"/>
    <w:rsid w:val="00F02883"/>
    <w:rsid w:val="00F02AA1"/>
    <w:rsid w:val="00F02F57"/>
    <w:rsid w:val="00F034F4"/>
    <w:rsid w:val="00F03F1F"/>
    <w:rsid w:val="00F04848"/>
    <w:rsid w:val="00F056A5"/>
    <w:rsid w:val="00F06094"/>
    <w:rsid w:val="00F071C8"/>
    <w:rsid w:val="00F0762A"/>
    <w:rsid w:val="00F10A53"/>
    <w:rsid w:val="00F1119B"/>
    <w:rsid w:val="00F11BAC"/>
    <w:rsid w:val="00F13406"/>
    <w:rsid w:val="00F13880"/>
    <w:rsid w:val="00F13A96"/>
    <w:rsid w:val="00F13F92"/>
    <w:rsid w:val="00F14275"/>
    <w:rsid w:val="00F145BA"/>
    <w:rsid w:val="00F1465E"/>
    <w:rsid w:val="00F14CE1"/>
    <w:rsid w:val="00F15F24"/>
    <w:rsid w:val="00F15F44"/>
    <w:rsid w:val="00F16160"/>
    <w:rsid w:val="00F165E7"/>
    <w:rsid w:val="00F1679A"/>
    <w:rsid w:val="00F170CC"/>
    <w:rsid w:val="00F20EF7"/>
    <w:rsid w:val="00F212E9"/>
    <w:rsid w:val="00F21DB9"/>
    <w:rsid w:val="00F228F8"/>
    <w:rsid w:val="00F2327B"/>
    <w:rsid w:val="00F23430"/>
    <w:rsid w:val="00F2346B"/>
    <w:rsid w:val="00F238A0"/>
    <w:rsid w:val="00F23BBF"/>
    <w:rsid w:val="00F23DA9"/>
    <w:rsid w:val="00F24321"/>
    <w:rsid w:val="00F24836"/>
    <w:rsid w:val="00F24B81"/>
    <w:rsid w:val="00F24E66"/>
    <w:rsid w:val="00F25353"/>
    <w:rsid w:val="00F2542E"/>
    <w:rsid w:val="00F25453"/>
    <w:rsid w:val="00F274BE"/>
    <w:rsid w:val="00F278F2"/>
    <w:rsid w:val="00F3023D"/>
    <w:rsid w:val="00F3141F"/>
    <w:rsid w:val="00F31961"/>
    <w:rsid w:val="00F31F35"/>
    <w:rsid w:val="00F32139"/>
    <w:rsid w:val="00F327F7"/>
    <w:rsid w:val="00F32AEE"/>
    <w:rsid w:val="00F32E67"/>
    <w:rsid w:val="00F32F69"/>
    <w:rsid w:val="00F332BE"/>
    <w:rsid w:val="00F34569"/>
    <w:rsid w:val="00F34763"/>
    <w:rsid w:val="00F34C11"/>
    <w:rsid w:val="00F34DB7"/>
    <w:rsid w:val="00F3661C"/>
    <w:rsid w:val="00F36E44"/>
    <w:rsid w:val="00F3784B"/>
    <w:rsid w:val="00F40124"/>
    <w:rsid w:val="00F405C9"/>
    <w:rsid w:val="00F40F5B"/>
    <w:rsid w:val="00F42C59"/>
    <w:rsid w:val="00F434DE"/>
    <w:rsid w:val="00F4356E"/>
    <w:rsid w:val="00F4460F"/>
    <w:rsid w:val="00F44B9D"/>
    <w:rsid w:val="00F450FA"/>
    <w:rsid w:val="00F456E4"/>
    <w:rsid w:val="00F45854"/>
    <w:rsid w:val="00F469F7"/>
    <w:rsid w:val="00F47068"/>
    <w:rsid w:val="00F472CB"/>
    <w:rsid w:val="00F4761E"/>
    <w:rsid w:val="00F4787D"/>
    <w:rsid w:val="00F47FA4"/>
    <w:rsid w:val="00F51CFE"/>
    <w:rsid w:val="00F51DBF"/>
    <w:rsid w:val="00F53789"/>
    <w:rsid w:val="00F53EA5"/>
    <w:rsid w:val="00F53F80"/>
    <w:rsid w:val="00F546D4"/>
    <w:rsid w:val="00F554A6"/>
    <w:rsid w:val="00F5565C"/>
    <w:rsid w:val="00F55B15"/>
    <w:rsid w:val="00F56048"/>
    <w:rsid w:val="00F563F6"/>
    <w:rsid w:val="00F56A74"/>
    <w:rsid w:val="00F56CD8"/>
    <w:rsid w:val="00F56DA3"/>
    <w:rsid w:val="00F577DF"/>
    <w:rsid w:val="00F579B6"/>
    <w:rsid w:val="00F57CAE"/>
    <w:rsid w:val="00F61997"/>
    <w:rsid w:val="00F61A47"/>
    <w:rsid w:val="00F6293D"/>
    <w:rsid w:val="00F62AD1"/>
    <w:rsid w:val="00F62DAE"/>
    <w:rsid w:val="00F62E9E"/>
    <w:rsid w:val="00F63083"/>
    <w:rsid w:val="00F63310"/>
    <w:rsid w:val="00F63670"/>
    <w:rsid w:val="00F64192"/>
    <w:rsid w:val="00F64268"/>
    <w:rsid w:val="00F6458C"/>
    <w:rsid w:val="00F64983"/>
    <w:rsid w:val="00F6583E"/>
    <w:rsid w:val="00F665E1"/>
    <w:rsid w:val="00F66773"/>
    <w:rsid w:val="00F67164"/>
    <w:rsid w:val="00F67191"/>
    <w:rsid w:val="00F67B32"/>
    <w:rsid w:val="00F67F75"/>
    <w:rsid w:val="00F700BB"/>
    <w:rsid w:val="00F7037C"/>
    <w:rsid w:val="00F71625"/>
    <w:rsid w:val="00F71CD5"/>
    <w:rsid w:val="00F726A9"/>
    <w:rsid w:val="00F727A3"/>
    <w:rsid w:val="00F72B69"/>
    <w:rsid w:val="00F72ECD"/>
    <w:rsid w:val="00F73637"/>
    <w:rsid w:val="00F7539D"/>
    <w:rsid w:val="00F76FE5"/>
    <w:rsid w:val="00F77136"/>
    <w:rsid w:val="00F7726C"/>
    <w:rsid w:val="00F77849"/>
    <w:rsid w:val="00F80A95"/>
    <w:rsid w:val="00F80FF0"/>
    <w:rsid w:val="00F81038"/>
    <w:rsid w:val="00F81219"/>
    <w:rsid w:val="00F81578"/>
    <w:rsid w:val="00F81814"/>
    <w:rsid w:val="00F81851"/>
    <w:rsid w:val="00F81AF3"/>
    <w:rsid w:val="00F81D81"/>
    <w:rsid w:val="00F820F9"/>
    <w:rsid w:val="00F828BA"/>
    <w:rsid w:val="00F84148"/>
    <w:rsid w:val="00F84793"/>
    <w:rsid w:val="00F84A0C"/>
    <w:rsid w:val="00F84DCE"/>
    <w:rsid w:val="00F85D9C"/>
    <w:rsid w:val="00F861D9"/>
    <w:rsid w:val="00F86425"/>
    <w:rsid w:val="00F86AC8"/>
    <w:rsid w:val="00F87547"/>
    <w:rsid w:val="00F8780D"/>
    <w:rsid w:val="00F907B3"/>
    <w:rsid w:val="00F90F8F"/>
    <w:rsid w:val="00F91469"/>
    <w:rsid w:val="00F91D9A"/>
    <w:rsid w:val="00F923B0"/>
    <w:rsid w:val="00F93859"/>
    <w:rsid w:val="00F9490A"/>
    <w:rsid w:val="00F94CC3"/>
    <w:rsid w:val="00F94D6B"/>
    <w:rsid w:val="00F9504C"/>
    <w:rsid w:val="00F95138"/>
    <w:rsid w:val="00F95656"/>
    <w:rsid w:val="00F95A8B"/>
    <w:rsid w:val="00F95E52"/>
    <w:rsid w:val="00F9683B"/>
    <w:rsid w:val="00FA0130"/>
    <w:rsid w:val="00FA1090"/>
    <w:rsid w:val="00FA1ABF"/>
    <w:rsid w:val="00FA1C49"/>
    <w:rsid w:val="00FA2EF3"/>
    <w:rsid w:val="00FA32A0"/>
    <w:rsid w:val="00FA33B6"/>
    <w:rsid w:val="00FA3545"/>
    <w:rsid w:val="00FA4630"/>
    <w:rsid w:val="00FA5925"/>
    <w:rsid w:val="00FA5A9C"/>
    <w:rsid w:val="00FA607A"/>
    <w:rsid w:val="00FA64B6"/>
    <w:rsid w:val="00FA78FF"/>
    <w:rsid w:val="00FA7D8F"/>
    <w:rsid w:val="00FB0B96"/>
    <w:rsid w:val="00FB1F19"/>
    <w:rsid w:val="00FB2E54"/>
    <w:rsid w:val="00FB2ED3"/>
    <w:rsid w:val="00FB30A6"/>
    <w:rsid w:val="00FB3909"/>
    <w:rsid w:val="00FB3D1E"/>
    <w:rsid w:val="00FB42A8"/>
    <w:rsid w:val="00FB4358"/>
    <w:rsid w:val="00FB470C"/>
    <w:rsid w:val="00FB5201"/>
    <w:rsid w:val="00FB595B"/>
    <w:rsid w:val="00FB5F48"/>
    <w:rsid w:val="00FB5F5E"/>
    <w:rsid w:val="00FB7594"/>
    <w:rsid w:val="00FB7A01"/>
    <w:rsid w:val="00FB7BAB"/>
    <w:rsid w:val="00FB7EA1"/>
    <w:rsid w:val="00FC0056"/>
    <w:rsid w:val="00FC016A"/>
    <w:rsid w:val="00FC03C3"/>
    <w:rsid w:val="00FC10D7"/>
    <w:rsid w:val="00FC2540"/>
    <w:rsid w:val="00FC277F"/>
    <w:rsid w:val="00FC28C3"/>
    <w:rsid w:val="00FC2E57"/>
    <w:rsid w:val="00FC2F31"/>
    <w:rsid w:val="00FC39E2"/>
    <w:rsid w:val="00FC3A93"/>
    <w:rsid w:val="00FC3EEA"/>
    <w:rsid w:val="00FC4103"/>
    <w:rsid w:val="00FC457C"/>
    <w:rsid w:val="00FC49E8"/>
    <w:rsid w:val="00FC4CC4"/>
    <w:rsid w:val="00FC5671"/>
    <w:rsid w:val="00FC5743"/>
    <w:rsid w:val="00FC5962"/>
    <w:rsid w:val="00FC5B0D"/>
    <w:rsid w:val="00FC5BBB"/>
    <w:rsid w:val="00FC6535"/>
    <w:rsid w:val="00FC70B8"/>
    <w:rsid w:val="00FC7B11"/>
    <w:rsid w:val="00FD01E4"/>
    <w:rsid w:val="00FD0273"/>
    <w:rsid w:val="00FD14E9"/>
    <w:rsid w:val="00FD1765"/>
    <w:rsid w:val="00FD1990"/>
    <w:rsid w:val="00FD22AB"/>
    <w:rsid w:val="00FD241C"/>
    <w:rsid w:val="00FD2A3B"/>
    <w:rsid w:val="00FD2E5E"/>
    <w:rsid w:val="00FD32C8"/>
    <w:rsid w:val="00FD3429"/>
    <w:rsid w:val="00FD3588"/>
    <w:rsid w:val="00FD38BB"/>
    <w:rsid w:val="00FD41DB"/>
    <w:rsid w:val="00FD46FB"/>
    <w:rsid w:val="00FD4C5A"/>
    <w:rsid w:val="00FD525B"/>
    <w:rsid w:val="00FD5441"/>
    <w:rsid w:val="00FD5D0E"/>
    <w:rsid w:val="00FD625C"/>
    <w:rsid w:val="00FD79EC"/>
    <w:rsid w:val="00FD7B33"/>
    <w:rsid w:val="00FD7EF9"/>
    <w:rsid w:val="00FE03DC"/>
    <w:rsid w:val="00FE0581"/>
    <w:rsid w:val="00FE087B"/>
    <w:rsid w:val="00FE0FDC"/>
    <w:rsid w:val="00FE16CB"/>
    <w:rsid w:val="00FE305A"/>
    <w:rsid w:val="00FE382B"/>
    <w:rsid w:val="00FE3BAC"/>
    <w:rsid w:val="00FE42EE"/>
    <w:rsid w:val="00FE445F"/>
    <w:rsid w:val="00FE4D75"/>
    <w:rsid w:val="00FE54A7"/>
    <w:rsid w:val="00FE560D"/>
    <w:rsid w:val="00FE579F"/>
    <w:rsid w:val="00FE57C8"/>
    <w:rsid w:val="00FE5BBA"/>
    <w:rsid w:val="00FE606D"/>
    <w:rsid w:val="00FE64A3"/>
    <w:rsid w:val="00FE662C"/>
    <w:rsid w:val="00FE69B6"/>
    <w:rsid w:val="00FE6AE9"/>
    <w:rsid w:val="00FF19AA"/>
    <w:rsid w:val="00FF2A0B"/>
    <w:rsid w:val="00FF3323"/>
    <w:rsid w:val="00FF3550"/>
    <w:rsid w:val="00FF3E51"/>
    <w:rsid w:val="00FF421A"/>
    <w:rsid w:val="00FF4225"/>
    <w:rsid w:val="00FF4361"/>
    <w:rsid w:val="00FF45E0"/>
    <w:rsid w:val="00FF46B8"/>
    <w:rsid w:val="00FF54F9"/>
    <w:rsid w:val="00FF59A3"/>
    <w:rsid w:val="00FF5E91"/>
    <w:rsid w:val="00FF6572"/>
    <w:rsid w:val="00FF6C29"/>
    <w:rsid w:val="00FF6C8E"/>
    <w:rsid w:val="00FF727A"/>
    <w:rsid w:val="00FF7A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f">
      <v:fill color="white" on="f"/>
      <v:stroke on="f"/>
    </o:shapedefaults>
    <o:shapelayout v:ext="edit">
      <o:idmap v:ext="edit" data="1"/>
    </o:shapelayout>
  </w:shapeDefaults>
  <w:decimalSymbol w:val="."/>
  <w:listSeparator w:val=","/>
  <w14:docId w14:val="17C9107A"/>
  <w15:docId w15:val="{25893DC6-AE3E-43D2-A71F-824DFEF5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C1541"/>
    <w:pPr>
      <w:spacing w:before="120" w:after="120"/>
    </w:pPr>
    <w:rPr>
      <w:rFonts w:ascii="Arial" w:hAnsi="Arial"/>
      <w:sz w:val="22"/>
    </w:rPr>
  </w:style>
  <w:style w:type="paragraph" w:styleId="Heading1">
    <w:name w:val="heading 1"/>
    <w:basedOn w:val="Normal"/>
    <w:next w:val="Normal"/>
    <w:link w:val="Heading1Char"/>
    <w:autoRedefine/>
    <w:qFormat/>
    <w:rsid w:val="00F7539D"/>
    <w:pPr>
      <w:keepNext/>
      <w:spacing w:before="360"/>
      <w:jc w:val="center"/>
      <w:outlineLvl w:val="0"/>
    </w:pPr>
    <w:rPr>
      <w:rFonts w:ascii="Arial Bold" w:hAnsi="Arial Bold"/>
      <w:b/>
      <w:caps/>
      <w:sz w:val="24"/>
      <w:lang w:val="en-CA"/>
    </w:rPr>
  </w:style>
  <w:style w:type="paragraph" w:styleId="Heading2">
    <w:name w:val="heading 2"/>
    <w:basedOn w:val="Normal"/>
    <w:next w:val="Normal"/>
    <w:link w:val="Heading2Char"/>
    <w:autoRedefine/>
    <w:qFormat/>
    <w:rsid w:val="003C4C0F"/>
    <w:pPr>
      <w:keepNext/>
      <w:spacing w:before="240"/>
      <w:outlineLvl w:val="1"/>
    </w:pPr>
    <w:rPr>
      <w:rFonts w:cs="Arial"/>
      <w:b/>
      <w:caps/>
      <w:sz w:val="24"/>
      <w:lang w:val="en-CA"/>
    </w:rPr>
  </w:style>
  <w:style w:type="paragraph" w:styleId="Heading3">
    <w:name w:val="heading 3"/>
    <w:basedOn w:val="Normal"/>
    <w:next w:val="Normal"/>
    <w:link w:val="Heading3Char"/>
    <w:autoRedefine/>
    <w:qFormat/>
    <w:rsid w:val="006771F2"/>
    <w:pPr>
      <w:keepNext/>
      <w:spacing w:before="240"/>
      <w:contextualSpacing/>
      <w:outlineLvl w:val="2"/>
    </w:pPr>
    <w:rPr>
      <w:b/>
      <w:bCs/>
      <w:iCs/>
      <w:color w:val="000000" w:themeColor="text1"/>
      <w:szCs w:val="22"/>
      <w:lang w:val="fr-CA"/>
    </w:rPr>
  </w:style>
  <w:style w:type="paragraph" w:styleId="Heading4">
    <w:name w:val="heading 4"/>
    <w:basedOn w:val="Normal"/>
    <w:next w:val="Normal"/>
    <w:link w:val="Heading4Char"/>
    <w:autoRedefine/>
    <w:qFormat/>
    <w:rsid w:val="008C1541"/>
    <w:pPr>
      <w:keepNext/>
      <w:ind w:left="360"/>
      <w:outlineLvl w:val="3"/>
    </w:pPr>
    <w:rPr>
      <w:b/>
      <w:bCs/>
      <w:szCs w:val="28"/>
    </w:rPr>
  </w:style>
  <w:style w:type="paragraph" w:styleId="Heading5">
    <w:name w:val="heading 5"/>
    <w:basedOn w:val="Normal"/>
    <w:next w:val="Normal"/>
    <w:link w:val="Heading5Char"/>
    <w:qFormat/>
    <w:rsid w:val="008C1541"/>
    <w:pPr>
      <w:keepNext/>
      <w:ind w:left="567"/>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C4C0F"/>
    <w:rPr>
      <w:rFonts w:ascii="Arial" w:hAnsi="Arial" w:cs="Arial"/>
      <w:b/>
      <w:caps/>
      <w:sz w:val="24"/>
      <w:lang w:val="en-CA"/>
    </w:rPr>
  </w:style>
  <w:style w:type="paragraph" w:styleId="Header">
    <w:name w:val="header"/>
    <w:basedOn w:val="Normal"/>
    <w:link w:val="HeaderChar"/>
    <w:uiPriority w:val="99"/>
    <w:unhideWhenUsed/>
    <w:rsid w:val="008C1541"/>
    <w:pPr>
      <w:tabs>
        <w:tab w:val="center" w:pos="4680"/>
        <w:tab w:val="right" w:pos="9360"/>
      </w:tabs>
      <w:spacing w:before="0" w:after="0"/>
    </w:pPr>
  </w:style>
  <w:style w:type="character" w:customStyle="1" w:styleId="HeaderChar">
    <w:name w:val="Header Char"/>
    <w:basedOn w:val="DefaultParagraphFont"/>
    <w:link w:val="Header"/>
    <w:uiPriority w:val="99"/>
    <w:rsid w:val="008C1541"/>
    <w:rPr>
      <w:rFonts w:ascii="Arial" w:hAnsi="Arial"/>
      <w:sz w:val="22"/>
    </w:rPr>
  </w:style>
  <w:style w:type="paragraph" w:styleId="Footer">
    <w:name w:val="footer"/>
    <w:basedOn w:val="Normal"/>
    <w:link w:val="FooterChar"/>
    <w:uiPriority w:val="99"/>
    <w:rsid w:val="008C1541"/>
    <w:pPr>
      <w:tabs>
        <w:tab w:val="center" w:pos="4320"/>
        <w:tab w:val="right" w:pos="8640"/>
      </w:tabs>
    </w:pPr>
  </w:style>
  <w:style w:type="character" w:customStyle="1" w:styleId="FooterChar">
    <w:name w:val="Footer Char"/>
    <w:basedOn w:val="DefaultParagraphFont"/>
    <w:link w:val="Footer"/>
    <w:uiPriority w:val="99"/>
    <w:rsid w:val="00095841"/>
    <w:rPr>
      <w:rFonts w:ascii="Arial" w:hAnsi="Arial"/>
      <w:sz w:val="22"/>
    </w:rPr>
  </w:style>
  <w:style w:type="character" w:styleId="Hyperlink">
    <w:name w:val="Hyperlink"/>
    <w:uiPriority w:val="99"/>
    <w:rsid w:val="008C1541"/>
    <w:rPr>
      <w:rFonts w:ascii="Arial" w:hAnsi="Arial"/>
      <w:color w:val="0000FF"/>
      <w:sz w:val="22"/>
      <w:u w:val="single"/>
    </w:rPr>
  </w:style>
  <w:style w:type="paragraph" w:styleId="BodyText">
    <w:name w:val="Body Text"/>
    <w:basedOn w:val="Normal"/>
    <w:link w:val="BodyTextChar"/>
    <w:qFormat/>
    <w:rsid w:val="008C1541"/>
  </w:style>
  <w:style w:type="character" w:customStyle="1" w:styleId="BodyTextChar4">
    <w:name w:val="Body Text Char4"/>
    <w:aliases w:val="Body Text Char1 Char,Body Text Char Char Char,Body Text Char Char1,Body Text Char2 Char1"/>
    <w:rsid w:val="009F69E7"/>
    <w:rPr>
      <w:sz w:val="24"/>
      <w:szCs w:val="24"/>
      <w:lang w:val="en-US" w:eastAsia="en-US" w:bidi="ar-SA"/>
    </w:rPr>
  </w:style>
  <w:style w:type="paragraph" w:customStyle="1" w:styleId="Reference">
    <w:name w:val="Reference"/>
    <w:basedOn w:val="Normal"/>
    <w:rsid w:val="009F69E7"/>
    <w:pPr>
      <w:ind w:left="720" w:hanging="720"/>
    </w:pPr>
  </w:style>
  <w:style w:type="paragraph" w:customStyle="1" w:styleId="Cover">
    <w:name w:val="Cover"/>
    <w:basedOn w:val="Normal"/>
    <w:rsid w:val="009F69E7"/>
  </w:style>
  <w:style w:type="character" w:styleId="PageNumber">
    <w:name w:val="page number"/>
    <w:basedOn w:val="DefaultParagraphFont"/>
    <w:rsid w:val="00B92F0C"/>
  </w:style>
  <w:style w:type="paragraph" w:styleId="Caption">
    <w:name w:val="caption"/>
    <w:basedOn w:val="Normal"/>
    <w:next w:val="Normal"/>
    <w:qFormat/>
    <w:rsid w:val="00B92F0C"/>
    <w:rPr>
      <w:b/>
      <w:bCs/>
      <w:sz w:val="20"/>
    </w:rPr>
  </w:style>
  <w:style w:type="table" w:styleId="TableGrid">
    <w:name w:val="Table Grid"/>
    <w:basedOn w:val="TableNormal"/>
    <w:uiPriority w:val="59"/>
    <w:rsid w:val="00123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12337C"/>
    <w:pPr>
      <w:spacing w:before="240" w:after="60"/>
      <w:jc w:val="center"/>
      <w:outlineLvl w:val="0"/>
    </w:pPr>
    <w:rPr>
      <w:rFonts w:cs="Arial"/>
      <w:b/>
      <w:bCs/>
      <w:kern w:val="28"/>
      <w:sz w:val="28"/>
      <w:szCs w:val="28"/>
    </w:rPr>
  </w:style>
  <w:style w:type="paragraph" w:styleId="BalloonText">
    <w:name w:val="Balloon Text"/>
    <w:basedOn w:val="Normal"/>
    <w:link w:val="BalloonTextChar"/>
    <w:uiPriority w:val="99"/>
    <w:semiHidden/>
    <w:unhideWhenUsed/>
    <w:rsid w:val="008C154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541"/>
    <w:rPr>
      <w:rFonts w:ascii="Tahoma" w:hAnsi="Tahoma" w:cs="Tahoma"/>
      <w:sz w:val="16"/>
      <w:szCs w:val="16"/>
    </w:rPr>
  </w:style>
  <w:style w:type="paragraph" w:customStyle="1" w:styleId="BodyTable">
    <w:name w:val="Body Table"/>
    <w:basedOn w:val="Normal"/>
    <w:rsid w:val="0012337C"/>
    <w:rPr>
      <w:sz w:val="20"/>
    </w:rPr>
  </w:style>
  <w:style w:type="character" w:styleId="CommentReference">
    <w:name w:val="annotation reference"/>
    <w:uiPriority w:val="99"/>
    <w:semiHidden/>
    <w:rsid w:val="006163C3"/>
    <w:rPr>
      <w:sz w:val="16"/>
      <w:szCs w:val="16"/>
    </w:rPr>
  </w:style>
  <w:style w:type="paragraph" w:styleId="CommentText">
    <w:name w:val="annotation text"/>
    <w:basedOn w:val="Normal"/>
    <w:link w:val="CommentTextChar"/>
    <w:uiPriority w:val="99"/>
    <w:rsid w:val="006163C3"/>
    <w:rPr>
      <w:sz w:val="20"/>
    </w:rPr>
  </w:style>
  <w:style w:type="character" w:customStyle="1" w:styleId="CommentTextChar">
    <w:name w:val="Comment Text Char"/>
    <w:basedOn w:val="DefaultParagraphFont"/>
    <w:link w:val="CommentText"/>
    <w:uiPriority w:val="99"/>
    <w:rsid w:val="0086035C"/>
  </w:style>
  <w:style w:type="paragraph" w:styleId="CommentSubject">
    <w:name w:val="annotation subject"/>
    <w:basedOn w:val="CommentText"/>
    <w:next w:val="CommentText"/>
    <w:semiHidden/>
    <w:rsid w:val="006163C3"/>
    <w:rPr>
      <w:b/>
      <w:bCs/>
    </w:rPr>
  </w:style>
  <w:style w:type="character" w:customStyle="1" w:styleId="BodyTextChar3">
    <w:name w:val="Body Text Char3"/>
    <w:aliases w:val="Body Text Char2 Char,Body Text Char1 Char Char,Body Text Char Char Char Char,Body Text Char Char1 Char,Body Text Char1 Char1,Body Text Char Char Char1,Body Text Char Char2"/>
    <w:rsid w:val="0003078E"/>
    <w:rPr>
      <w:sz w:val="24"/>
      <w:szCs w:val="24"/>
      <w:lang w:val="en-US" w:eastAsia="en-US" w:bidi="ar-SA"/>
    </w:rPr>
  </w:style>
  <w:style w:type="paragraph" w:styleId="FootnoteText">
    <w:name w:val="footnote text"/>
    <w:basedOn w:val="Normal"/>
    <w:link w:val="FootnoteTextChar"/>
    <w:uiPriority w:val="99"/>
    <w:semiHidden/>
    <w:unhideWhenUsed/>
    <w:rsid w:val="008C1541"/>
    <w:rPr>
      <w:sz w:val="20"/>
    </w:rPr>
  </w:style>
  <w:style w:type="character" w:styleId="FootnoteReference">
    <w:name w:val="footnote reference"/>
    <w:uiPriority w:val="99"/>
    <w:semiHidden/>
    <w:unhideWhenUsed/>
    <w:rsid w:val="008C1541"/>
    <w:rPr>
      <w:vertAlign w:val="superscript"/>
    </w:rPr>
  </w:style>
  <w:style w:type="paragraph" w:customStyle="1" w:styleId="Bullet">
    <w:name w:val="Bullet"/>
    <w:basedOn w:val="Normal"/>
    <w:rsid w:val="003B4215"/>
    <w:pPr>
      <w:ind w:left="357" w:hanging="357"/>
      <w:jc w:val="both"/>
    </w:pPr>
    <w:rPr>
      <w:szCs w:val="24"/>
    </w:rPr>
  </w:style>
  <w:style w:type="paragraph" w:styleId="Revision">
    <w:name w:val="Revision"/>
    <w:hidden/>
    <w:uiPriority w:val="99"/>
    <w:semiHidden/>
    <w:rsid w:val="009B24E3"/>
    <w:rPr>
      <w:sz w:val="24"/>
    </w:rPr>
  </w:style>
  <w:style w:type="paragraph" w:customStyle="1" w:styleId="gbcod">
    <w:name w:val="gbcod"/>
    <w:basedOn w:val="Heading2"/>
    <w:link w:val="gbcodChar"/>
    <w:rsid w:val="00095841"/>
    <w:pPr>
      <w:keepLines/>
      <w:spacing w:before="200" w:after="0"/>
    </w:pPr>
    <w:rPr>
      <w:rFonts w:eastAsiaTheme="majorEastAsia"/>
      <w:b w:val="0"/>
      <w:bCs/>
      <w:i/>
      <w:color w:val="000000" w:themeColor="text1"/>
      <w:szCs w:val="24"/>
    </w:rPr>
  </w:style>
  <w:style w:type="character" w:customStyle="1" w:styleId="gbcodChar">
    <w:name w:val="gbcod Char"/>
    <w:basedOn w:val="Heading2Char"/>
    <w:link w:val="gbcod"/>
    <w:rsid w:val="00095841"/>
    <w:rPr>
      <w:rFonts w:ascii="Arial" w:hAnsi="Arial" w:cs="Arial"/>
      <w:b/>
      <w:bCs/>
      <w:i/>
      <w:caps/>
      <w:color w:val="000000" w:themeColor="text1"/>
      <w:sz w:val="24"/>
      <w:szCs w:val="24"/>
      <w:lang w:val="en-CA"/>
    </w:rPr>
  </w:style>
  <w:style w:type="paragraph" w:styleId="ListParagraph">
    <w:name w:val="List Paragraph"/>
    <w:basedOn w:val="Normal"/>
    <w:uiPriority w:val="1"/>
    <w:qFormat/>
    <w:rsid w:val="00EB56CC"/>
    <w:pPr>
      <w:spacing w:after="200" w:line="276" w:lineRule="auto"/>
      <w:ind w:left="720"/>
    </w:pPr>
    <w:rPr>
      <w:rFonts w:ascii="Calibri" w:eastAsiaTheme="minorHAnsi" w:hAnsi="Calibri" w:cs="Calibri"/>
      <w:color w:val="000000"/>
      <w:szCs w:val="22"/>
      <w:lang w:val="en-CA" w:eastAsia="en-CA"/>
    </w:rPr>
  </w:style>
  <w:style w:type="character" w:customStyle="1" w:styleId="StyleArial10ptBoldSuperscript">
    <w:name w:val="Style Arial 10 pt Bold Superscript"/>
    <w:basedOn w:val="DefaultParagraphFont"/>
    <w:rsid w:val="008B320D"/>
    <w:rPr>
      <w:rFonts w:ascii="Arial" w:hAnsi="Arial"/>
      <w:b w:val="0"/>
      <w:bCs/>
      <w:sz w:val="20"/>
      <w:vertAlign w:val="superscript"/>
    </w:rPr>
  </w:style>
  <w:style w:type="character" w:styleId="FollowedHyperlink">
    <w:name w:val="FollowedHyperlink"/>
    <w:rsid w:val="008C1541"/>
    <w:rPr>
      <w:rFonts w:ascii="Arial" w:hAnsi="Arial"/>
      <w:color w:val="606420"/>
      <w:sz w:val="22"/>
      <w:u w:val="single"/>
    </w:rPr>
  </w:style>
  <w:style w:type="paragraph" w:customStyle="1" w:styleId="StyleHeading2Arial11ptNotBoldAfter6pt">
    <w:name w:val="Style Heading 2 + Arial 11 pt Not Bold After:  6 pt"/>
    <w:basedOn w:val="Heading2"/>
    <w:next w:val="Heading2"/>
    <w:rsid w:val="00E56A20"/>
    <w:rPr>
      <w:b w:val="0"/>
      <w:sz w:val="22"/>
    </w:rPr>
  </w:style>
  <w:style w:type="paragraph" w:customStyle="1" w:styleId="Blockquote">
    <w:name w:val="Blockquote"/>
    <w:basedOn w:val="Normal"/>
    <w:rsid w:val="008C1541"/>
    <w:pPr>
      <w:ind w:left="720"/>
    </w:pPr>
  </w:style>
  <w:style w:type="character" w:customStyle="1" w:styleId="BodyTextChar">
    <w:name w:val="Body Text Char"/>
    <w:basedOn w:val="DefaultParagraphFont"/>
    <w:link w:val="BodyText"/>
    <w:rsid w:val="008C1541"/>
    <w:rPr>
      <w:rFonts w:ascii="Arial" w:hAnsi="Arial"/>
      <w:sz w:val="22"/>
    </w:rPr>
  </w:style>
  <w:style w:type="paragraph" w:customStyle="1" w:styleId="BodyTextBold">
    <w:name w:val="Body Text + Bold"/>
    <w:basedOn w:val="BodyText"/>
    <w:rsid w:val="008C1541"/>
    <w:rPr>
      <w:b/>
    </w:rPr>
  </w:style>
  <w:style w:type="paragraph" w:customStyle="1" w:styleId="BodyTextBoldItallics">
    <w:name w:val="Body Text + Bold + Itallics"/>
    <w:basedOn w:val="BodyText"/>
    <w:rsid w:val="008C1541"/>
    <w:rPr>
      <w:b/>
      <w:i/>
    </w:rPr>
  </w:style>
  <w:style w:type="paragraph" w:customStyle="1" w:styleId="BodyTextCentered">
    <w:name w:val="Body Text + Centered"/>
    <w:basedOn w:val="BodyText"/>
    <w:link w:val="BodyTextCenteredChar"/>
    <w:rsid w:val="008C1541"/>
    <w:pPr>
      <w:jc w:val="center"/>
    </w:pPr>
    <w:rPr>
      <w:lang w:val="en-CA"/>
    </w:rPr>
  </w:style>
  <w:style w:type="character" w:customStyle="1" w:styleId="BodyTextCenteredChar">
    <w:name w:val="Body Text + Centered Char"/>
    <w:basedOn w:val="BodyTextChar"/>
    <w:link w:val="BodyTextCentered"/>
    <w:rsid w:val="008C1541"/>
    <w:rPr>
      <w:rFonts w:ascii="Arial" w:hAnsi="Arial"/>
      <w:sz w:val="22"/>
      <w:lang w:val="en-CA"/>
    </w:rPr>
  </w:style>
  <w:style w:type="paragraph" w:customStyle="1" w:styleId="Caption-Figure">
    <w:name w:val="Caption - Figure"/>
    <w:basedOn w:val="Normal"/>
    <w:qFormat/>
    <w:rsid w:val="008C1541"/>
    <w:pPr>
      <w:keepLines/>
      <w:spacing w:after="240"/>
    </w:pPr>
    <w:rPr>
      <w:i/>
      <w:sz w:val="20"/>
    </w:rPr>
  </w:style>
  <w:style w:type="paragraph" w:customStyle="1" w:styleId="Caption-Table">
    <w:name w:val="Caption - Table"/>
    <w:basedOn w:val="Normal"/>
    <w:qFormat/>
    <w:rsid w:val="008C1541"/>
    <w:pPr>
      <w:keepNext/>
      <w:keepLines/>
      <w:spacing w:before="240"/>
    </w:pPr>
    <w:rPr>
      <w:i/>
      <w:sz w:val="20"/>
      <w:lang w:val="en-CA"/>
    </w:rPr>
  </w:style>
  <w:style w:type="paragraph" w:customStyle="1" w:styleId="citation">
    <w:name w:val="citation"/>
    <w:basedOn w:val="Normal"/>
    <w:qFormat/>
    <w:rsid w:val="008C1541"/>
    <w:pPr>
      <w:keepLines/>
      <w:ind w:left="360" w:hanging="360"/>
    </w:pPr>
    <w:rPr>
      <w:szCs w:val="22"/>
      <w:lang w:val="en-CA"/>
    </w:rPr>
  </w:style>
  <w:style w:type="paragraph" w:customStyle="1" w:styleId="citation-translated">
    <w:name w:val="citation - translated"/>
    <w:basedOn w:val="citation"/>
    <w:qFormat/>
    <w:rsid w:val="008C1541"/>
    <w:rPr>
      <w:i/>
    </w:rPr>
  </w:style>
  <w:style w:type="paragraph" w:customStyle="1" w:styleId="CoverPageHeaderCSAS">
    <w:name w:val="Cover Page: Header (CSAS)"/>
    <w:basedOn w:val="Normal"/>
    <w:rsid w:val="008C1541"/>
    <w:pPr>
      <w:pBdr>
        <w:bottom w:val="single" w:sz="4" w:space="1" w:color="auto"/>
      </w:pBdr>
    </w:pPr>
    <w:rPr>
      <w:b/>
      <w:szCs w:val="24"/>
    </w:rPr>
  </w:style>
  <w:style w:type="paragraph" w:customStyle="1" w:styleId="CoverPageHeaderseries">
    <w:name w:val="Cover Page: Header (series"/>
    <w:aliases w:val="number,region)"/>
    <w:basedOn w:val="Normal"/>
    <w:rsid w:val="008C1541"/>
    <w:rPr>
      <w:b/>
      <w:szCs w:val="24"/>
    </w:rPr>
  </w:style>
  <w:style w:type="paragraph" w:customStyle="1" w:styleId="CoverAddress">
    <w:name w:val="Cover: Address"/>
    <w:basedOn w:val="Normal"/>
    <w:link w:val="CoverAddressChar"/>
    <w:qFormat/>
    <w:rsid w:val="008C1541"/>
    <w:pPr>
      <w:jc w:val="center"/>
    </w:pPr>
  </w:style>
  <w:style w:type="character" w:customStyle="1" w:styleId="CoverAddressChar">
    <w:name w:val="Cover: Address Char"/>
    <w:link w:val="CoverAddress"/>
    <w:rsid w:val="008C1541"/>
    <w:rPr>
      <w:rFonts w:ascii="Arial" w:hAnsi="Arial"/>
      <w:sz w:val="22"/>
    </w:rPr>
  </w:style>
  <w:style w:type="paragraph" w:customStyle="1" w:styleId="CoverAuthor">
    <w:name w:val="Cover: Author"/>
    <w:basedOn w:val="Normal"/>
    <w:link w:val="CoverAuthorChar"/>
    <w:qFormat/>
    <w:rsid w:val="008C1541"/>
    <w:pPr>
      <w:spacing w:before="480" w:after="480"/>
      <w:jc w:val="center"/>
    </w:pPr>
  </w:style>
  <w:style w:type="character" w:customStyle="1" w:styleId="CoverAuthorChar">
    <w:name w:val="Cover: Author Char"/>
    <w:link w:val="CoverAuthor"/>
    <w:rsid w:val="008C1541"/>
    <w:rPr>
      <w:rFonts w:ascii="Arial" w:hAnsi="Arial"/>
      <w:sz w:val="22"/>
    </w:rPr>
  </w:style>
  <w:style w:type="paragraph" w:customStyle="1" w:styleId="CoverDocumenttitle">
    <w:name w:val="Cover: Document title"/>
    <w:basedOn w:val="Normal"/>
    <w:qFormat/>
    <w:rsid w:val="008C1541"/>
    <w:pPr>
      <w:spacing w:before="0" w:after="480"/>
      <w:jc w:val="center"/>
    </w:pPr>
    <w:rPr>
      <w:b/>
      <w:sz w:val="24"/>
      <w:szCs w:val="24"/>
    </w:rPr>
  </w:style>
  <w:style w:type="character" w:customStyle="1" w:styleId="FootnoteTextChar">
    <w:name w:val="Footnote Text Char"/>
    <w:link w:val="FootnoteText"/>
    <w:uiPriority w:val="99"/>
    <w:semiHidden/>
    <w:rsid w:val="008C1541"/>
    <w:rPr>
      <w:rFonts w:ascii="Arial" w:hAnsi="Arial"/>
    </w:rPr>
  </w:style>
  <w:style w:type="paragraph" w:customStyle="1" w:styleId="ForewordPublishedby2ndpage">
    <w:name w:val="Foreword &amp; Published by (2nd page)"/>
    <w:basedOn w:val="Normal"/>
    <w:rsid w:val="008C1541"/>
    <w:pPr>
      <w:spacing w:before="360"/>
      <w:jc w:val="center"/>
    </w:pPr>
    <w:rPr>
      <w:rFonts w:ascii="Arial Bold" w:hAnsi="Arial Bold"/>
      <w:b/>
      <w:bCs/>
      <w:szCs w:val="22"/>
    </w:rPr>
  </w:style>
  <w:style w:type="character" w:customStyle="1" w:styleId="Heading1Char">
    <w:name w:val="Heading 1 Char"/>
    <w:basedOn w:val="DefaultParagraphFont"/>
    <w:link w:val="Heading1"/>
    <w:rsid w:val="00F7539D"/>
    <w:rPr>
      <w:rFonts w:ascii="Arial Bold" w:hAnsi="Arial Bold"/>
      <w:b/>
      <w:caps/>
      <w:sz w:val="24"/>
      <w:lang w:val="en-CA"/>
    </w:rPr>
  </w:style>
  <w:style w:type="character" w:customStyle="1" w:styleId="Heading3Char">
    <w:name w:val="Heading 3 Char"/>
    <w:basedOn w:val="DefaultParagraphFont"/>
    <w:link w:val="Heading3"/>
    <w:rsid w:val="006771F2"/>
    <w:rPr>
      <w:rFonts w:ascii="Arial" w:hAnsi="Arial"/>
      <w:b/>
      <w:bCs/>
      <w:iCs/>
      <w:color w:val="000000" w:themeColor="text1"/>
      <w:sz w:val="22"/>
      <w:szCs w:val="22"/>
      <w:lang w:val="fr-CA"/>
    </w:rPr>
  </w:style>
  <w:style w:type="character" w:customStyle="1" w:styleId="Heading4Char">
    <w:name w:val="Heading 4 Char"/>
    <w:basedOn w:val="DefaultParagraphFont"/>
    <w:link w:val="Heading4"/>
    <w:rsid w:val="008C1541"/>
    <w:rPr>
      <w:rFonts w:ascii="Arial" w:hAnsi="Arial"/>
      <w:b/>
      <w:bCs/>
      <w:sz w:val="22"/>
      <w:szCs w:val="28"/>
    </w:rPr>
  </w:style>
  <w:style w:type="character" w:customStyle="1" w:styleId="Heading5Char">
    <w:name w:val="Heading 5 Char"/>
    <w:basedOn w:val="DefaultParagraphFont"/>
    <w:link w:val="Heading5"/>
    <w:rsid w:val="008C1541"/>
    <w:rPr>
      <w:rFonts w:ascii="Arial" w:hAnsi="Arial"/>
      <w:bCs/>
      <w:i/>
      <w:iCs/>
      <w:sz w:val="22"/>
      <w:szCs w:val="26"/>
    </w:rPr>
  </w:style>
  <w:style w:type="paragraph" w:styleId="ListBullet">
    <w:name w:val="List Bullet"/>
    <w:basedOn w:val="Normal"/>
    <w:rsid w:val="008C1541"/>
    <w:pPr>
      <w:numPr>
        <w:numId w:val="28"/>
      </w:numPr>
      <w:spacing w:before="0"/>
    </w:pPr>
  </w:style>
  <w:style w:type="paragraph" w:styleId="ListBullet2">
    <w:name w:val="List Bullet 2"/>
    <w:basedOn w:val="Normal"/>
    <w:unhideWhenUsed/>
    <w:rsid w:val="008C1541"/>
    <w:pPr>
      <w:numPr>
        <w:numId w:val="29"/>
      </w:numPr>
      <w:tabs>
        <w:tab w:val="left" w:pos="720"/>
      </w:tabs>
      <w:spacing w:before="0"/>
      <w:contextualSpacing/>
    </w:pPr>
  </w:style>
  <w:style w:type="paragraph" w:styleId="ListNumber">
    <w:name w:val="List Number"/>
    <w:basedOn w:val="Normal"/>
    <w:unhideWhenUsed/>
    <w:rsid w:val="008C1541"/>
    <w:pPr>
      <w:numPr>
        <w:numId w:val="31"/>
      </w:numPr>
      <w:spacing w:before="0"/>
    </w:pPr>
  </w:style>
  <w:style w:type="paragraph" w:styleId="ListNumber2">
    <w:name w:val="List Number 2"/>
    <w:basedOn w:val="Normal"/>
    <w:unhideWhenUsed/>
    <w:rsid w:val="008C1541"/>
    <w:pPr>
      <w:numPr>
        <w:numId w:val="33"/>
      </w:numPr>
      <w:spacing w:before="0"/>
    </w:pPr>
  </w:style>
  <w:style w:type="paragraph" w:customStyle="1" w:styleId="TABLEOFCONTENTS">
    <w:name w:val="TABLE OF CONTENTS"/>
    <w:basedOn w:val="ForewordPublishedby2ndpage"/>
    <w:rsid w:val="008C1541"/>
    <w:rPr>
      <w:rFonts w:ascii="Arial" w:hAnsi="Arial"/>
      <w:caps/>
      <w:sz w:val="24"/>
      <w:lang w:val="en-CA"/>
    </w:rPr>
  </w:style>
  <w:style w:type="paragraph" w:styleId="TOC1">
    <w:name w:val="toc 1"/>
    <w:basedOn w:val="Normal"/>
    <w:next w:val="Normal"/>
    <w:autoRedefine/>
    <w:uiPriority w:val="39"/>
    <w:rsid w:val="008C1541"/>
    <w:pPr>
      <w:tabs>
        <w:tab w:val="right" w:leader="dot" w:pos="9356"/>
      </w:tabs>
      <w:spacing w:after="60"/>
    </w:pPr>
    <w:rPr>
      <w:caps/>
    </w:rPr>
  </w:style>
  <w:style w:type="paragraph" w:styleId="TOC2">
    <w:name w:val="toc 2"/>
    <w:basedOn w:val="Normal"/>
    <w:next w:val="Normal"/>
    <w:autoRedefine/>
    <w:uiPriority w:val="39"/>
    <w:rsid w:val="008C1541"/>
    <w:pPr>
      <w:tabs>
        <w:tab w:val="right" w:leader="dot" w:pos="9350"/>
      </w:tabs>
      <w:spacing w:before="60" w:after="60"/>
      <w:ind w:left="240"/>
    </w:pPr>
    <w:rPr>
      <w:caps/>
    </w:rPr>
  </w:style>
  <w:style w:type="paragraph" w:styleId="TOC3">
    <w:name w:val="toc 3"/>
    <w:basedOn w:val="Normal"/>
    <w:next w:val="Normal"/>
    <w:autoRedefine/>
    <w:uiPriority w:val="39"/>
    <w:rsid w:val="008C1541"/>
    <w:pPr>
      <w:spacing w:before="60" w:after="60"/>
      <w:ind w:left="480"/>
    </w:pPr>
    <w:rPr>
      <w:szCs w:val="22"/>
    </w:rPr>
  </w:style>
  <w:style w:type="paragraph" w:customStyle="1" w:styleId="TranslatedTitle">
    <w:name w:val="Translated Title"/>
    <w:basedOn w:val="Normal"/>
    <w:qFormat/>
    <w:rsid w:val="008C1541"/>
    <w:pPr>
      <w:spacing w:before="240"/>
      <w:jc w:val="center"/>
    </w:pPr>
    <w:rPr>
      <w:b/>
      <w:sz w:val="24"/>
      <w:lang w:val="en-CA"/>
    </w:rPr>
  </w:style>
  <w:style w:type="paragraph" w:styleId="TOCHeading">
    <w:name w:val="TOC Heading"/>
    <w:basedOn w:val="Heading1"/>
    <w:next w:val="Normal"/>
    <w:uiPriority w:val="39"/>
    <w:unhideWhenUsed/>
    <w:qFormat/>
    <w:rsid w:val="00F7539D"/>
    <w:pPr>
      <w:keepLines/>
      <w:spacing w:before="240" w:after="0" w:line="259" w:lineRule="auto"/>
      <w:jc w:val="left"/>
      <w:outlineLvl w:val="9"/>
    </w:pPr>
    <w:rPr>
      <w:rFonts w:asciiTheme="majorHAnsi" w:eastAsiaTheme="majorEastAsia" w:hAnsiTheme="majorHAnsi" w:cstheme="majorBidi"/>
      <w:b w:val="0"/>
      <w:cap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903">
      <w:bodyDiv w:val="1"/>
      <w:marLeft w:val="0"/>
      <w:marRight w:val="0"/>
      <w:marTop w:val="0"/>
      <w:marBottom w:val="0"/>
      <w:divBdr>
        <w:top w:val="none" w:sz="0" w:space="0" w:color="auto"/>
        <w:left w:val="none" w:sz="0" w:space="0" w:color="auto"/>
        <w:bottom w:val="none" w:sz="0" w:space="0" w:color="auto"/>
        <w:right w:val="none" w:sz="0" w:space="0" w:color="auto"/>
      </w:divBdr>
      <w:divsChild>
        <w:div w:id="1188984350">
          <w:marLeft w:val="0"/>
          <w:marRight w:val="0"/>
          <w:marTop w:val="0"/>
          <w:marBottom w:val="0"/>
          <w:divBdr>
            <w:top w:val="none" w:sz="0" w:space="0" w:color="auto"/>
            <w:left w:val="none" w:sz="0" w:space="0" w:color="auto"/>
            <w:bottom w:val="none" w:sz="0" w:space="0" w:color="auto"/>
            <w:right w:val="none" w:sz="0" w:space="0" w:color="auto"/>
          </w:divBdr>
        </w:div>
      </w:divsChild>
    </w:div>
    <w:div w:id="85925906">
      <w:bodyDiv w:val="1"/>
      <w:marLeft w:val="0"/>
      <w:marRight w:val="0"/>
      <w:marTop w:val="0"/>
      <w:marBottom w:val="0"/>
      <w:divBdr>
        <w:top w:val="none" w:sz="0" w:space="0" w:color="auto"/>
        <w:left w:val="none" w:sz="0" w:space="0" w:color="auto"/>
        <w:bottom w:val="none" w:sz="0" w:space="0" w:color="auto"/>
        <w:right w:val="none" w:sz="0" w:space="0" w:color="auto"/>
      </w:divBdr>
    </w:div>
    <w:div w:id="96950510">
      <w:bodyDiv w:val="1"/>
      <w:marLeft w:val="0"/>
      <w:marRight w:val="0"/>
      <w:marTop w:val="0"/>
      <w:marBottom w:val="0"/>
      <w:divBdr>
        <w:top w:val="none" w:sz="0" w:space="0" w:color="auto"/>
        <w:left w:val="none" w:sz="0" w:space="0" w:color="auto"/>
        <w:bottom w:val="none" w:sz="0" w:space="0" w:color="auto"/>
        <w:right w:val="none" w:sz="0" w:space="0" w:color="auto"/>
      </w:divBdr>
    </w:div>
    <w:div w:id="100808846">
      <w:bodyDiv w:val="1"/>
      <w:marLeft w:val="0"/>
      <w:marRight w:val="0"/>
      <w:marTop w:val="0"/>
      <w:marBottom w:val="0"/>
      <w:divBdr>
        <w:top w:val="none" w:sz="0" w:space="0" w:color="auto"/>
        <w:left w:val="none" w:sz="0" w:space="0" w:color="auto"/>
        <w:bottom w:val="none" w:sz="0" w:space="0" w:color="auto"/>
        <w:right w:val="none" w:sz="0" w:space="0" w:color="auto"/>
      </w:divBdr>
    </w:div>
    <w:div w:id="103958947">
      <w:bodyDiv w:val="1"/>
      <w:marLeft w:val="0"/>
      <w:marRight w:val="0"/>
      <w:marTop w:val="0"/>
      <w:marBottom w:val="0"/>
      <w:divBdr>
        <w:top w:val="none" w:sz="0" w:space="0" w:color="auto"/>
        <w:left w:val="none" w:sz="0" w:space="0" w:color="auto"/>
        <w:bottom w:val="none" w:sz="0" w:space="0" w:color="auto"/>
        <w:right w:val="none" w:sz="0" w:space="0" w:color="auto"/>
      </w:divBdr>
    </w:div>
    <w:div w:id="147750843">
      <w:bodyDiv w:val="1"/>
      <w:marLeft w:val="0"/>
      <w:marRight w:val="0"/>
      <w:marTop w:val="0"/>
      <w:marBottom w:val="0"/>
      <w:divBdr>
        <w:top w:val="none" w:sz="0" w:space="0" w:color="auto"/>
        <w:left w:val="none" w:sz="0" w:space="0" w:color="auto"/>
        <w:bottom w:val="none" w:sz="0" w:space="0" w:color="auto"/>
        <w:right w:val="none" w:sz="0" w:space="0" w:color="auto"/>
      </w:divBdr>
    </w:div>
    <w:div w:id="161942949">
      <w:bodyDiv w:val="1"/>
      <w:marLeft w:val="0"/>
      <w:marRight w:val="0"/>
      <w:marTop w:val="0"/>
      <w:marBottom w:val="0"/>
      <w:divBdr>
        <w:top w:val="none" w:sz="0" w:space="0" w:color="auto"/>
        <w:left w:val="none" w:sz="0" w:space="0" w:color="auto"/>
        <w:bottom w:val="none" w:sz="0" w:space="0" w:color="auto"/>
        <w:right w:val="none" w:sz="0" w:space="0" w:color="auto"/>
      </w:divBdr>
    </w:div>
    <w:div w:id="187761665">
      <w:bodyDiv w:val="1"/>
      <w:marLeft w:val="0"/>
      <w:marRight w:val="0"/>
      <w:marTop w:val="0"/>
      <w:marBottom w:val="0"/>
      <w:divBdr>
        <w:top w:val="none" w:sz="0" w:space="0" w:color="auto"/>
        <w:left w:val="none" w:sz="0" w:space="0" w:color="auto"/>
        <w:bottom w:val="none" w:sz="0" w:space="0" w:color="auto"/>
        <w:right w:val="none" w:sz="0" w:space="0" w:color="auto"/>
      </w:divBdr>
    </w:div>
    <w:div w:id="194779945">
      <w:bodyDiv w:val="1"/>
      <w:marLeft w:val="0"/>
      <w:marRight w:val="0"/>
      <w:marTop w:val="0"/>
      <w:marBottom w:val="0"/>
      <w:divBdr>
        <w:top w:val="none" w:sz="0" w:space="0" w:color="auto"/>
        <w:left w:val="none" w:sz="0" w:space="0" w:color="auto"/>
        <w:bottom w:val="none" w:sz="0" w:space="0" w:color="auto"/>
        <w:right w:val="none" w:sz="0" w:space="0" w:color="auto"/>
      </w:divBdr>
    </w:div>
    <w:div w:id="195123701">
      <w:bodyDiv w:val="1"/>
      <w:marLeft w:val="0"/>
      <w:marRight w:val="0"/>
      <w:marTop w:val="0"/>
      <w:marBottom w:val="0"/>
      <w:divBdr>
        <w:top w:val="none" w:sz="0" w:space="0" w:color="auto"/>
        <w:left w:val="none" w:sz="0" w:space="0" w:color="auto"/>
        <w:bottom w:val="none" w:sz="0" w:space="0" w:color="auto"/>
        <w:right w:val="none" w:sz="0" w:space="0" w:color="auto"/>
      </w:divBdr>
    </w:div>
    <w:div w:id="218244615">
      <w:bodyDiv w:val="1"/>
      <w:marLeft w:val="0"/>
      <w:marRight w:val="0"/>
      <w:marTop w:val="0"/>
      <w:marBottom w:val="0"/>
      <w:divBdr>
        <w:top w:val="none" w:sz="0" w:space="0" w:color="auto"/>
        <w:left w:val="none" w:sz="0" w:space="0" w:color="auto"/>
        <w:bottom w:val="none" w:sz="0" w:space="0" w:color="auto"/>
        <w:right w:val="none" w:sz="0" w:space="0" w:color="auto"/>
      </w:divBdr>
    </w:div>
    <w:div w:id="222563597">
      <w:bodyDiv w:val="1"/>
      <w:marLeft w:val="0"/>
      <w:marRight w:val="0"/>
      <w:marTop w:val="0"/>
      <w:marBottom w:val="0"/>
      <w:divBdr>
        <w:top w:val="none" w:sz="0" w:space="0" w:color="auto"/>
        <w:left w:val="none" w:sz="0" w:space="0" w:color="auto"/>
        <w:bottom w:val="none" w:sz="0" w:space="0" w:color="auto"/>
        <w:right w:val="none" w:sz="0" w:space="0" w:color="auto"/>
      </w:divBdr>
    </w:div>
    <w:div w:id="325598346">
      <w:bodyDiv w:val="1"/>
      <w:marLeft w:val="0"/>
      <w:marRight w:val="0"/>
      <w:marTop w:val="0"/>
      <w:marBottom w:val="0"/>
      <w:divBdr>
        <w:top w:val="none" w:sz="0" w:space="0" w:color="auto"/>
        <w:left w:val="none" w:sz="0" w:space="0" w:color="auto"/>
        <w:bottom w:val="none" w:sz="0" w:space="0" w:color="auto"/>
        <w:right w:val="none" w:sz="0" w:space="0" w:color="auto"/>
      </w:divBdr>
    </w:div>
    <w:div w:id="332924208">
      <w:bodyDiv w:val="1"/>
      <w:marLeft w:val="0"/>
      <w:marRight w:val="0"/>
      <w:marTop w:val="0"/>
      <w:marBottom w:val="0"/>
      <w:divBdr>
        <w:top w:val="none" w:sz="0" w:space="0" w:color="auto"/>
        <w:left w:val="none" w:sz="0" w:space="0" w:color="auto"/>
        <w:bottom w:val="none" w:sz="0" w:space="0" w:color="auto"/>
        <w:right w:val="none" w:sz="0" w:space="0" w:color="auto"/>
      </w:divBdr>
    </w:div>
    <w:div w:id="346251676">
      <w:bodyDiv w:val="1"/>
      <w:marLeft w:val="0"/>
      <w:marRight w:val="0"/>
      <w:marTop w:val="0"/>
      <w:marBottom w:val="0"/>
      <w:divBdr>
        <w:top w:val="none" w:sz="0" w:space="0" w:color="auto"/>
        <w:left w:val="none" w:sz="0" w:space="0" w:color="auto"/>
        <w:bottom w:val="none" w:sz="0" w:space="0" w:color="auto"/>
        <w:right w:val="none" w:sz="0" w:space="0" w:color="auto"/>
      </w:divBdr>
    </w:div>
    <w:div w:id="360203634">
      <w:bodyDiv w:val="1"/>
      <w:marLeft w:val="0"/>
      <w:marRight w:val="0"/>
      <w:marTop w:val="0"/>
      <w:marBottom w:val="0"/>
      <w:divBdr>
        <w:top w:val="none" w:sz="0" w:space="0" w:color="auto"/>
        <w:left w:val="none" w:sz="0" w:space="0" w:color="auto"/>
        <w:bottom w:val="none" w:sz="0" w:space="0" w:color="auto"/>
        <w:right w:val="none" w:sz="0" w:space="0" w:color="auto"/>
      </w:divBdr>
      <w:divsChild>
        <w:div w:id="90319706">
          <w:marLeft w:val="0"/>
          <w:marRight w:val="0"/>
          <w:marTop w:val="0"/>
          <w:marBottom w:val="0"/>
          <w:divBdr>
            <w:top w:val="none" w:sz="0" w:space="0" w:color="auto"/>
            <w:left w:val="none" w:sz="0" w:space="0" w:color="auto"/>
            <w:bottom w:val="none" w:sz="0" w:space="0" w:color="auto"/>
            <w:right w:val="none" w:sz="0" w:space="0" w:color="auto"/>
          </w:divBdr>
        </w:div>
        <w:div w:id="230581185">
          <w:marLeft w:val="0"/>
          <w:marRight w:val="0"/>
          <w:marTop w:val="0"/>
          <w:marBottom w:val="0"/>
          <w:divBdr>
            <w:top w:val="none" w:sz="0" w:space="0" w:color="auto"/>
            <w:left w:val="none" w:sz="0" w:space="0" w:color="auto"/>
            <w:bottom w:val="none" w:sz="0" w:space="0" w:color="auto"/>
            <w:right w:val="none" w:sz="0" w:space="0" w:color="auto"/>
          </w:divBdr>
        </w:div>
        <w:div w:id="586235328">
          <w:marLeft w:val="0"/>
          <w:marRight w:val="0"/>
          <w:marTop w:val="0"/>
          <w:marBottom w:val="0"/>
          <w:divBdr>
            <w:top w:val="none" w:sz="0" w:space="0" w:color="auto"/>
            <w:left w:val="none" w:sz="0" w:space="0" w:color="auto"/>
            <w:bottom w:val="none" w:sz="0" w:space="0" w:color="auto"/>
            <w:right w:val="none" w:sz="0" w:space="0" w:color="auto"/>
          </w:divBdr>
        </w:div>
        <w:div w:id="589850453">
          <w:marLeft w:val="0"/>
          <w:marRight w:val="0"/>
          <w:marTop w:val="0"/>
          <w:marBottom w:val="0"/>
          <w:divBdr>
            <w:top w:val="none" w:sz="0" w:space="0" w:color="auto"/>
            <w:left w:val="none" w:sz="0" w:space="0" w:color="auto"/>
            <w:bottom w:val="none" w:sz="0" w:space="0" w:color="auto"/>
            <w:right w:val="none" w:sz="0" w:space="0" w:color="auto"/>
          </w:divBdr>
        </w:div>
        <w:div w:id="812478709">
          <w:marLeft w:val="0"/>
          <w:marRight w:val="0"/>
          <w:marTop w:val="0"/>
          <w:marBottom w:val="0"/>
          <w:divBdr>
            <w:top w:val="none" w:sz="0" w:space="0" w:color="auto"/>
            <w:left w:val="none" w:sz="0" w:space="0" w:color="auto"/>
            <w:bottom w:val="none" w:sz="0" w:space="0" w:color="auto"/>
            <w:right w:val="none" w:sz="0" w:space="0" w:color="auto"/>
          </w:divBdr>
        </w:div>
        <w:div w:id="1009984077">
          <w:marLeft w:val="0"/>
          <w:marRight w:val="0"/>
          <w:marTop w:val="0"/>
          <w:marBottom w:val="0"/>
          <w:divBdr>
            <w:top w:val="none" w:sz="0" w:space="0" w:color="auto"/>
            <w:left w:val="none" w:sz="0" w:space="0" w:color="auto"/>
            <w:bottom w:val="none" w:sz="0" w:space="0" w:color="auto"/>
            <w:right w:val="none" w:sz="0" w:space="0" w:color="auto"/>
          </w:divBdr>
        </w:div>
        <w:div w:id="1528640903">
          <w:marLeft w:val="0"/>
          <w:marRight w:val="0"/>
          <w:marTop w:val="0"/>
          <w:marBottom w:val="0"/>
          <w:divBdr>
            <w:top w:val="none" w:sz="0" w:space="0" w:color="auto"/>
            <w:left w:val="none" w:sz="0" w:space="0" w:color="auto"/>
            <w:bottom w:val="none" w:sz="0" w:space="0" w:color="auto"/>
            <w:right w:val="none" w:sz="0" w:space="0" w:color="auto"/>
          </w:divBdr>
        </w:div>
        <w:div w:id="1923903901">
          <w:marLeft w:val="0"/>
          <w:marRight w:val="0"/>
          <w:marTop w:val="0"/>
          <w:marBottom w:val="0"/>
          <w:divBdr>
            <w:top w:val="none" w:sz="0" w:space="0" w:color="auto"/>
            <w:left w:val="none" w:sz="0" w:space="0" w:color="auto"/>
            <w:bottom w:val="none" w:sz="0" w:space="0" w:color="auto"/>
            <w:right w:val="none" w:sz="0" w:space="0" w:color="auto"/>
          </w:divBdr>
        </w:div>
        <w:div w:id="1954751144">
          <w:marLeft w:val="0"/>
          <w:marRight w:val="0"/>
          <w:marTop w:val="0"/>
          <w:marBottom w:val="0"/>
          <w:divBdr>
            <w:top w:val="none" w:sz="0" w:space="0" w:color="auto"/>
            <w:left w:val="none" w:sz="0" w:space="0" w:color="auto"/>
            <w:bottom w:val="none" w:sz="0" w:space="0" w:color="auto"/>
            <w:right w:val="none" w:sz="0" w:space="0" w:color="auto"/>
          </w:divBdr>
        </w:div>
      </w:divsChild>
    </w:div>
    <w:div w:id="362362517">
      <w:bodyDiv w:val="1"/>
      <w:marLeft w:val="0"/>
      <w:marRight w:val="0"/>
      <w:marTop w:val="0"/>
      <w:marBottom w:val="0"/>
      <w:divBdr>
        <w:top w:val="none" w:sz="0" w:space="0" w:color="auto"/>
        <w:left w:val="none" w:sz="0" w:space="0" w:color="auto"/>
        <w:bottom w:val="none" w:sz="0" w:space="0" w:color="auto"/>
        <w:right w:val="none" w:sz="0" w:space="0" w:color="auto"/>
      </w:divBdr>
    </w:div>
    <w:div w:id="362946528">
      <w:bodyDiv w:val="1"/>
      <w:marLeft w:val="0"/>
      <w:marRight w:val="0"/>
      <w:marTop w:val="0"/>
      <w:marBottom w:val="0"/>
      <w:divBdr>
        <w:top w:val="none" w:sz="0" w:space="0" w:color="auto"/>
        <w:left w:val="none" w:sz="0" w:space="0" w:color="auto"/>
        <w:bottom w:val="none" w:sz="0" w:space="0" w:color="auto"/>
        <w:right w:val="none" w:sz="0" w:space="0" w:color="auto"/>
      </w:divBdr>
    </w:div>
    <w:div w:id="365642843">
      <w:bodyDiv w:val="1"/>
      <w:marLeft w:val="0"/>
      <w:marRight w:val="0"/>
      <w:marTop w:val="0"/>
      <w:marBottom w:val="0"/>
      <w:divBdr>
        <w:top w:val="none" w:sz="0" w:space="0" w:color="auto"/>
        <w:left w:val="none" w:sz="0" w:space="0" w:color="auto"/>
        <w:bottom w:val="none" w:sz="0" w:space="0" w:color="auto"/>
        <w:right w:val="none" w:sz="0" w:space="0" w:color="auto"/>
      </w:divBdr>
    </w:div>
    <w:div w:id="375816171">
      <w:bodyDiv w:val="1"/>
      <w:marLeft w:val="0"/>
      <w:marRight w:val="0"/>
      <w:marTop w:val="0"/>
      <w:marBottom w:val="0"/>
      <w:divBdr>
        <w:top w:val="none" w:sz="0" w:space="0" w:color="auto"/>
        <w:left w:val="none" w:sz="0" w:space="0" w:color="auto"/>
        <w:bottom w:val="none" w:sz="0" w:space="0" w:color="auto"/>
        <w:right w:val="none" w:sz="0" w:space="0" w:color="auto"/>
      </w:divBdr>
    </w:div>
    <w:div w:id="384988534">
      <w:bodyDiv w:val="1"/>
      <w:marLeft w:val="0"/>
      <w:marRight w:val="0"/>
      <w:marTop w:val="0"/>
      <w:marBottom w:val="0"/>
      <w:divBdr>
        <w:top w:val="none" w:sz="0" w:space="0" w:color="auto"/>
        <w:left w:val="none" w:sz="0" w:space="0" w:color="auto"/>
        <w:bottom w:val="none" w:sz="0" w:space="0" w:color="auto"/>
        <w:right w:val="none" w:sz="0" w:space="0" w:color="auto"/>
      </w:divBdr>
    </w:div>
    <w:div w:id="385375515">
      <w:bodyDiv w:val="1"/>
      <w:marLeft w:val="0"/>
      <w:marRight w:val="0"/>
      <w:marTop w:val="0"/>
      <w:marBottom w:val="0"/>
      <w:divBdr>
        <w:top w:val="none" w:sz="0" w:space="0" w:color="auto"/>
        <w:left w:val="none" w:sz="0" w:space="0" w:color="auto"/>
        <w:bottom w:val="none" w:sz="0" w:space="0" w:color="auto"/>
        <w:right w:val="none" w:sz="0" w:space="0" w:color="auto"/>
      </w:divBdr>
    </w:div>
    <w:div w:id="388263208">
      <w:bodyDiv w:val="1"/>
      <w:marLeft w:val="0"/>
      <w:marRight w:val="0"/>
      <w:marTop w:val="0"/>
      <w:marBottom w:val="0"/>
      <w:divBdr>
        <w:top w:val="none" w:sz="0" w:space="0" w:color="auto"/>
        <w:left w:val="none" w:sz="0" w:space="0" w:color="auto"/>
        <w:bottom w:val="none" w:sz="0" w:space="0" w:color="auto"/>
        <w:right w:val="none" w:sz="0" w:space="0" w:color="auto"/>
      </w:divBdr>
    </w:div>
    <w:div w:id="398208726">
      <w:bodyDiv w:val="1"/>
      <w:marLeft w:val="0"/>
      <w:marRight w:val="0"/>
      <w:marTop w:val="0"/>
      <w:marBottom w:val="0"/>
      <w:divBdr>
        <w:top w:val="none" w:sz="0" w:space="0" w:color="auto"/>
        <w:left w:val="none" w:sz="0" w:space="0" w:color="auto"/>
        <w:bottom w:val="none" w:sz="0" w:space="0" w:color="auto"/>
        <w:right w:val="none" w:sz="0" w:space="0" w:color="auto"/>
      </w:divBdr>
    </w:div>
    <w:div w:id="400182836">
      <w:bodyDiv w:val="1"/>
      <w:marLeft w:val="0"/>
      <w:marRight w:val="0"/>
      <w:marTop w:val="0"/>
      <w:marBottom w:val="0"/>
      <w:divBdr>
        <w:top w:val="none" w:sz="0" w:space="0" w:color="auto"/>
        <w:left w:val="none" w:sz="0" w:space="0" w:color="auto"/>
        <w:bottom w:val="none" w:sz="0" w:space="0" w:color="auto"/>
        <w:right w:val="none" w:sz="0" w:space="0" w:color="auto"/>
      </w:divBdr>
    </w:div>
    <w:div w:id="407850604">
      <w:bodyDiv w:val="1"/>
      <w:marLeft w:val="0"/>
      <w:marRight w:val="0"/>
      <w:marTop w:val="0"/>
      <w:marBottom w:val="0"/>
      <w:divBdr>
        <w:top w:val="none" w:sz="0" w:space="0" w:color="auto"/>
        <w:left w:val="none" w:sz="0" w:space="0" w:color="auto"/>
        <w:bottom w:val="none" w:sz="0" w:space="0" w:color="auto"/>
        <w:right w:val="none" w:sz="0" w:space="0" w:color="auto"/>
      </w:divBdr>
    </w:div>
    <w:div w:id="414401651">
      <w:bodyDiv w:val="1"/>
      <w:marLeft w:val="0"/>
      <w:marRight w:val="0"/>
      <w:marTop w:val="0"/>
      <w:marBottom w:val="0"/>
      <w:divBdr>
        <w:top w:val="none" w:sz="0" w:space="0" w:color="auto"/>
        <w:left w:val="none" w:sz="0" w:space="0" w:color="auto"/>
        <w:bottom w:val="none" w:sz="0" w:space="0" w:color="auto"/>
        <w:right w:val="none" w:sz="0" w:space="0" w:color="auto"/>
      </w:divBdr>
    </w:div>
    <w:div w:id="433013992">
      <w:bodyDiv w:val="1"/>
      <w:marLeft w:val="0"/>
      <w:marRight w:val="0"/>
      <w:marTop w:val="0"/>
      <w:marBottom w:val="0"/>
      <w:divBdr>
        <w:top w:val="none" w:sz="0" w:space="0" w:color="auto"/>
        <w:left w:val="none" w:sz="0" w:space="0" w:color="auto"/>
        <w:bottom w:val="none" w:sz="0" w:space="0" w:color="auto"/>
        <w:right w:val="none" w:sz="0" w:space="0" w:color="auto"/>
      </w:divBdr>
    </w:div>
    <w:div w:id="448476236">
      <w:bodyDiv w:val="1"/>
      <w:marLeft w:val="0"/>
      <w:marRight w:val="0"/>
      <w:marTop w:val="0"/>
      <w:marBottom w:val="0"/>
      <w:divBdr>
        <w:top w:val="none" w:sz="0" w:space="0" w:color="auto"/>
        <w:left w:val="none" w:sz="0" w:space="0" w:color="auto"/>
        <w:bottom w:val="none" w:sz="0" w:space="0" w:color="auto"/>
        <w:right w:val="none" w:sz="0" w:space="0" w:color="auto"/>
      </w:divBdr>
    </w:div>
    <w:div w:id="460467057">
      <w:bodyDiv w:val="1"/>
      <w:marLeft w:val="0"/>
      <w:marRight w:val="0"/>
      <w:marTop w:val="0"/>
      <w:marBottom w:val="0"/>
      <w:divBdr>
        <w:top w:val="none" w:sz="0" w:space="0" w:color="auto"/>
        <w:left w:val="none" w:sz="0" w:space="0" w:color="auto"/>
        <w:bottom w:val="none" w:sz="0" w:space="0" w:color="auto"/>
        <w:right w:val="none" w:sz="0" w:space="0" w:color="auto"/>
      </w:divBdr>
    </w:div>
    <w:div w:id="465514706">
      <w:bodyDiv w:val="1"/>
      <w:marLeft w:val="0"/>
      <w:marRight w:val="0"/>
      <w:marTop w:val="0"/>
      <w:marBottom w:val="0"/>
      <w:divBdr>
        <w:top w:val="none" w:sz="0" w:space="0" w:color="auto"/>
        <w:left w:val="none" w:sz="0" w:space="0" w:color="auto"/>
        <w:bottom w:val="none" w:sz="0" w:space="0" w:color="auto"/>
        <w:right w:val="none" w:sz="0" w:space="0" w:color="auto"/>
      </w:divBdr>
    </w:div>
    <w:div w:id="466095834">
      <w:bodyDiv w:val="1"/>
      <w:marLeft w:val="0"/>
      <w:marRight w:val="0"/>
      <w:marTop w:val="0"/>
      <w:marBottom w:val="0"/>
      <w:divBdr>
        <w:top w:val="none" w:sz="0" w:space="0" w:color="auto"/>
        <w:left w:val="none" w:sz="0" w:space="0" w:color="auto"/>
        <w:bottom w:val="none" w:sz="0" w:space="0" w:color="auto"/>
        <w:right w:val="none" w:sz="0" w:space="0" w:color="auto"/>
      </w:divBdr>
    </w:div>
    <w:div w:id="469903525">
      <w:bodyDiv w:val="1"/>
      <w:marLeft w:val="0"/>
      <w:marRight w:val="0"/>
      <w:marTop w:val="0"/>
      <w:marBottom w:val="0"/>
      <w:divBdr>
        <w:top w:val="none" w:sz="0" w:space="0" w:color="auto"/>
        <w:left w:val="none" w:sz="0" w:space="0" w:color="auto"/>
        <w:bottom w:val="none" w:sz="0" w:space="0" w:color="auto"/>
        <w:right w:val="none" w:sz="0" w:space="0" w:color="auto"/>
      </w:divBdr>
    </w:div>
    <w:div w:id="481700377">
      <w:bodyDiv w:val="1"/>
      <w:marLeft w:val="0"/>
      <w:marRight w:val="0"/>
      <w:marTop w:val="0"/>
      <w:marBottom w:val="0"/>
      <w:divBdr>
        <w:top w:val="none" w:sz="0" w:space="0" w:color="auto"/>
        <w:left w:val="none" w:sz="0" w:space="0" w:color="auto"/>
        <w:bottom w:val="none" w:sz="0" w:space="0" w:color="auto"/>
        <w:right w:val="none" w:sz="0" w:space="0" w:color="auto"/>
      </w:divBdr>
    </w:div>
    <w:div w:id="601760274">
      <w:bodyDiv w:val="1"/>
      <w:marLeft w:val="0"/>
      <w:marRight w:val="0"/>
      <w:marTop w:val="0"/>
      <w:marBottom w:val="0"/>
      <w:divBdr>
        <w:top w:val="none" w:sz="0" w:space="0" w:color="auto"/>
        <w:left w:val="none" w:sz="0" w:space="0" w:color="auto"/>
        <w:bottom w:val="none" w:sz="0" w:space="0" w:color="auto"/>
        <w:right w:val="none" w:sz="0" w:space="0" w:color="auto"/>
      </w:divBdr>
    </w:div>
    <w:div w:id="607856995">
      <w:bodyDiv w:val="1"/>
      <w:marLeft w:val="0"/>
      <w:marRight w:val="0"/>
      <w:marTop w:val="0"/>
      <w:marBottom w:val="0"/>
      <w:divBdr>
        <w:top w:val="none" w:sz="0" w:space="0" w:color="auto"/>
        <w:left w:val="none" w:sz="0" w:space="0" w:color="auto"/>
        <w:bottom w:val="none" w:sz="0" w:space="0" w:color="auto"/>
        <w:right w:val="none" w:sz="0" w:space="0" w:color="auto"/>
      </w:divBdr>
    </w:div>
    <w:div w:id="626393682">
      <w:bodyDiv w:val="1"/>
      <w:marLeft w:val="0"/>
      <w:marRight w:val="0"/>
      <w:marTop w:val="0"/>
      <w:marBottom w:val="0"/>
      <w:divBdr>
        <w:top w:val="none" w:sz="0" w:space="0" w:color="auto"/>
        <w:left w:val="none" w:sz="0" w:space="0" w:color="auto"/>
        <w:bottom w:val="none" w:sz="0" w:space="0" w:color="auto"/>
        <w:right w:val="none" w:sz="0" w:space="0" w:color="auto"/>
      </w:divBdr>
    </w:div>
    <w:div w:id="641808536">
      <w:bodyDiv w:val="1"/>
      <w:marLeft w:val="0"/>
      <w:marRight w:val="0"/>
      <w:marTop w:val="0"/>
      <w:marBottom w:val="0"/>
      <w:divBdr>
        <w:top w:val="none" w:sz="0" w:space="0" w:color="auto"/>
        <w:left w:val="none" w:sz="0" w:space="0" w:color="auto"/>
        <w:bottom w:val="none" w:sz="0" w:space="0" w:color="auto"/>
        <w:right w:val="none" w:sz="0" w:space="0" w:color="auto"/>
      </w:divBdr>
    </w:div>
    <w:div w:id="648703949">
      <w:bodyDiv w:val="1"/>
      <w:marLeft w:val="0"/>
      <w:marRight w:val="0"/>
      <w:marTop w:val="0"/>
      <w:marBottom w:val="0"/>
      <w:divBdr>
        <w:top w:val="none" w:sz="0" w:space="0" w:color="auto"/>
        <w:left w:val="none" w:sz="0" w:space="0" w:color="auto"/>
        <w:bottom w:val="none" w:sz="0" w:space="0" w:color="auto"/>
        <w:right w:val="none" w:sz="0" w:space="0" w:color="auto"/>
      </w:divBdr>
    </w:div>
    <w:div w:id="662242605">
      <w:bodyDiv w:val="1"/>
      <w:marLeft w:val="0"/>
      <w:marRight w:val="0"/>
      <w:marTop w:val="0"/>
      <w:marBottom w:val="0"/>
      <w:divBdr>
        <w:top w:val="none" w:sz="0" w:space="0" w:color="auto"/>
        <w:left w:val="none" w:sz="0" w:space="0" w:color="auto"/>
        <w:bottom w:val="none" w:sz="0" w:space="0" w:color="auto"/>
        <w:right w:val="none" w:sz="0" w:space="0" w:color="auto"/>
      </w:divBdr>
    </w:div>
    <w:div w:id="666858082">
      <w:bodyDiv w:val="1"/>
      <w:marLeft w:val="0"/>
      <w:marRight w:val="0"/>
      <w:marTop w:val="0"/>
      <w:marBottom w:val="0"/>
      <w:divBdr>
        <w:top w:val="none" w:sz="0" w:space="0" w:color="auto"/>
        <w:left w:val="none" w:sz="0" w:space="0" w:color="auto"/>
        <w:bottom w:val="none" w:sz="0" w:space="0" w:color="auto"/>
        <w:right w:val="none" w:sz="0" w:space="0" w:color="auto"/>
      </w:divBdr>
    </w:div>
    <w:div w:id="678239799">
      <w:bodyDiv w:val="1"/>
      <w:marLeft w:val="0"/>
      <w:marRight w:val="0"/>
      <w:marTop w:val="0"/>
      <w:marBottom w:val="0"/>
      <w:divBdr>
        <w:top w:val="none" w:sz="0" w:space="0" w:color="auto"/>
        <w:left w:val="none" w:sz="0" w:space="0" w:color="auto"/>
        <w:bottom w:val="none" w:sz="0" w:space="0" w:color="auto"/>
        <w:right w:val="none" w:sz="0" w:space="0" w:color="auto"/>
      </w:divBdr>
    </w:div>
    <w:div w:id="705714947">
      <w:bodyDiv w:val="1"/>
      <w:marLeft w:val="0"/>
      <w:marRight w:val="0"/>
      <w:marTop w:val="0"/>
      <w:marBottom w:val="0"/>
      <w:divBdr>
        <w:top w:val="none" w:sz="0" w:space="0" w:color="auto"/>
        <w:left w:val="none" w:sz="0" w:space="0" w:color="auto"/>
        <w:bottom w:val="none" w:sz="0" w:space="0" w:color="auto"/>
        <w:right w:val="none" w:sz="0" w:space="0" w:color="auto"/>
      </w:divBdr>
    </w:div>
    <w:div w:id="707804961">
      <w:bodyDiv w:val="1"/>
      <w:marLeft w:val="0"/>
      <w:marRight w:val="0"/>
      <w:marTop w:val="0"/>
      <w:marBottom w:val="0"/>
      <w:divBdr>
        <w:top w:val="none" w:sz="0" w:space="0" w:color="auto"/>
        <w:left w:val="none" w:sz="0" w:space="0" w:color="auto"/>
        <w:bottom w:val="none" w:sz="0" w:space="0" w:color="auto"/>
        <w:right w:val="none" w:sz="0" w:space="0" w:color="auto"/>
      </w:divBdr>
    </w:div>
    <w:div w:id="714278321">
      <w:bodyDiv w:val="1"/>
      <w:marLeft w:val="0"/>
      <w:marRight w:val="0"/>
      <w:marTop w:val="0"/>
      <w:marBottom w:val="0"/>
      <w:divBdr>
        <w:top w:val="none" w:sz="0" w:space="0" w:color="auto"/>
        <w:left w:val="none" w:sz="0" w:space="0" w:color="auto"/>
        <w:bottom w:val="none" w:sz="0" w:space="0" w:color="auto"/>
        <w:right w:val="none" w:sz="0" w:space="0" w:color="auto"/>
      </w:divBdr>
    </w:div>
    <w:div w:id="722680822">
      <w:bodyDiv w:val="1"/>
      <w:marLeft w:val="0"/>
      <w:marRight w:val="0"/>
      <w:marTop w:val="0"/>
      <w:marBottom w:val="0"/>
      <w:divBdr>
        <w:top w:val="none" w:sz="0" w:space="0" w:color="auto"/>
        <w:left w:val="none" w:sz="0" w:space="0" w:color="auto"/>
        <w:bottom w:val="none" w:sz="0" w:space="0" w:color="auto"/>
        <w:right w:val="none" w:sz="0" w:space="0" w:color="auto"/>
      </w:divBdr>
    </w:div>
    <w:div w:id="722873285">
      <w:bodyDiv w:val="1"/>
      <w:marLeft w:val="0"/>
      <w:marRight w:val="0"/>
      <w:marTop w:val="0"/>
      <w:marBottom w:val="0"/>
      <w:divBdr>
        <w:top w:val="none" w:sz="0" w:space="0" w:color="auto"/>
        <w:left w:val="none" w:sz="0" w:space="0" w:color="auto"/>
        <w:bottom w:val="none" w:sz="0" w:space="0" w:color="auto"/>
        <w:right w:val="none" w:sz="0" w:space="0" w:color="auto"/>
      </w:divBdr>
    </w:div>
    <w:div w:id="733046242">
      <w:bodyDiv w:val="1"/>
      <w:marLeft w:val="0"/>
      <w:marRight w:val="0"/>
      <w:marTop w:val="0"/>
      <w:marBottom w:val="0"/>
      <w:divBdr>
        <w:top w:val="none" w:sz="0" w:space="0" w:color="auto"/>
        <w:left w:val="none" w:sz="0" w:space="0" w:color="auto"/>
        <w:bottom w:val="none" w:sz="0" w:space="0" w:color="auto"/>
        <w:right w:val="none" w:sz="0" w:space="0" w:color="auto"/>
      </w:divBdr>
    </w:div>
    <w:div w:id="736394638">
      <w:bodyDiv w:val="1"/>
      <w:marLeft w:val="0"/>
      <w:marRight w:val="0"/>
      <w:marTop w:val="0"/>
      <w:marBottom w:val="0"/>
      <w:divBdr>
        <w:top w:val="none" w:sz="0" w:space="0" w:color="auto"/>
        <w:left w:val="none" w:sz="0" w:space="0" w:color="auto"/>
        <w:bottom w:val="none" w:sz="0" w:space="0" w:color="auto"/>
        <w:right w:val="none" w:sz="0" w:space="0" w:color="auto"/>
      </w:divBdr>
    </w:div>
    <w:div w:id="744887130">
      <w:bodyDiv w:val="1"/>
      <w:marLeft w:val="0"/>
      <w:marRight w:val="0"/>
      <w:marTop w:val="0"/>
      <w:marBottom w:val="0"/>
      <w:divBdr>
        <w:top w:val="none" w:sz="0" w:space="0" w:color="auto"/>
        <w:left w:val="none" w:sz="0" w:space="0" w:color="auto"/>
        <w:bottom w:val="none" w:sz="0" w:space="0" w:color="auto"/>
        <w:right w:val="none" w:sz="0" w:space="0" w:color="auto"/>
      </w:divBdr>
    </w:div>
    <w:div w:id="770782993">
      <w:bodyDiv w:val="1"/>
      <w:marLeft w:val="0"/>
      <w:marRight w:val="0"/>
      <w:marTop w:val="0"/>
      <w:marBottom w:val="0"/>
      <w:divBdr>
        <w:top w:val="none" w:sz="0" w:space="0" w:color="auto"/>
        <w:left w:val="none" w:sz="0" w:space="0" w:color="auto"/>
        <w:bottom w:val="none" w:sz="0" w:space="0" w:color="auto"/>
        <w:right w:val="none" w:sz="0" w:space="0" w:color="auto"/>
      </w:divBdr>
    </w:div>
    <w:div w:id="788355389">
      <w:bodyDiv w:val="1"/>
      <w:marLeft w:val="0"/>
      <w:marRight w:val="0"/>
      <w:marTop w:val="0"/>
      <w:marBottom w:val="0"/>
      <w:divBdr>
        <w:top w:val="none" w:sz="0" w:space="0" w:color="auto"/>
        <w:left w:val="none" w:sz="0" w:space="0" w:color="auto"/>
        <w:bottom w:val="none" w:sz="0" w:space="0" w:color="auto"/>
        <w:right w:val="none" w:sz="0" w:space="0" w:color="auto"/>
      </w:divBdr>
    </w:div>
    <w:div w:id="790174964">
      <w:bodyDiv w:val="1"/>
      <w:marLeft w:val="0"/>
      <w:marRight w:val="0"/>
      <w:marTop w:val="0"/>
      <w:marBottom w:val="0"/>
      <w:divBdr>
        <w:top w:val="none" w:sz="0" w:space="0" w:color="auto"/>
        <w:left w:val="none" w:sz="0" w:space="0" w:color="auto"/>
        <w:bottom w:val="none" w:sz="0" w:space="0" w:color="auto"/>
        <w:right w:val="none" w:sz="0" w:space="0" w:color="auto"/>
      </w:divBdr>
    </w:div>
    <w:div w:id="796097761">
      <w:bodyDiv w:val="1"/>
      <w:marLeft w:val="0"/>
      <w:marRight w:val="0"/>
      <w:marTop w:val="0"/>
      <w:marBottom w:val="0"/>
      <w:divBdr>
        <w:top w:val="none" w:sz="0" w:space="0" w:color="auto"/>
        <w:left w:val="none" w:sz="0" w:space="0" w:color="auto"/>
        <w:bottom w:val="none" w:sz="0" w:space="0" w:color="auto"/>
        <w:right w:val="none" w:sz="0" w:space="0" w:color="auto"/>
      </w:divBdr>
    </w:div>
    <w:div w:id="815730604">
      <w:bodyDiv w:val="1"/>
      <w:marLeft w:val="0"/>
      <w:marRight w:val="0"/>
      <w:marTop w:val="0"/>
      <w:marBottom w:val="0"/>
      <w:divBdr>
        <w:top w:val="none" w:sz="0" w:space="0" w:color="auto"/>
        <w:left w:val="none" w:sz="0" w:space="0" w:color="auto"/>
        <w:bottom w:val="none" w:sz="0" w:space="0" w:color="auto"/>
        <w:right w:val="none" w:sz="0" w:space="0" w:color="auto"/>
      </w:divBdr>
    </w:div>
    <w:div w:id="840894441">
      <w:bodyDiv w:val="1"/>
      <w:marLeft w:val="0"/>
      <w:marRight w:val="0"/>
      <w:marTop w:val="0"/>
      <w:marBottom w:val="0"/>
      <w:divBdr>
        <w:top w:val="none" w:sz="0" w:space="0" w:color="auto"/>
        <w:left w:val="none" w:sz="0" w:space="0" w:color="auto"/>
        <w:bottom w:val="none" w:sz="0" w:space="0" w:color="auto"/>
        <w:right w:val="none" w:sz="0" w:space="0" w:color="auto"/>
      </w:divBdr>
    </w:div>
    <w:div w:id="846870164">
      <w:bodyDiv w:val="1"/>
      <w:marLeft w:val="0"/>
      <w:marRight w:val="0"/>
      <w:marTop w:val="0"/>
      <w:marBottom w:val="0"/>
      <w:divBdr>
        <w:top w:val="none" w:sz="0" w:space="0" w:color="auto"/>
        <w:left w:val="none" w:sz="0" w:space="0" w:color="auto"/>
        <w:bottom w:val="none" w:sz="0" w:space="0" w:color="auto"/>
        <w:right w:val="none" w:sz="0" w:space="0" w:color="auto"/>
      </w:divBdr>
    </w:div>
    <w:div w:id="858616453">
      <w:bodyDiv w:val="1"/>
      <w:marLeft w:val="0"/>
      <w:marRight w:val="0"/>
      <w:marTop w:val="0"/>
      <w:marBottom w:val="0"/>
      <w:divBdr>
        <w:top w:val="none" w:sz="0" w:space="0" w:color="auto"/>
        <w:left w:val="none" w:sz="0" w:space="0" w:color="auto"/>
        <w:bottom w:val="none" w:sz="0" w:space="0" w:color="auto"/>
        <w:right w:val="none" w:sz="0" w:space="0" w:color="auto"/>
      </w:divBdr>
    </w:div>
    <w:div w:id="867374215">
      <w:bodyDiv w:val="1"/>
      <w:marLeft w:val="0"/>
      <w:marRight w:val="0"/>
      <w:marTop w:val="0"/>
      <w:marBottom w:val="0"/>
      <w:divBdr>
        <w:top w:val="none" w:sz="0" w:space="0" w:color="auto"/>
        <w:left w:val="none" w:sz="0" w:space="0" w:color="auto"/>
        <w:bottom w:val="none" w:sz="0" w:space="0" w:color="auto"/>
        <w:right w:val="none" w:sz="0" w:space="0" w:color="auto"/>
      </w:divBdr>
    </w:div>
    <w:div w:id="900403438">
      <w:bodyDiv w:val="1"/>
      <w:marLeft w:val="0"/>
      <w:marRight w:val="0"/>
      <w:marTop w:val="0"/>
      <w:marBottom w:val="0"/>
      <w:divBdr>
        <w:top w:val="none" w:sz="0" w:space="0" w:color="auto"/>
        <w:left w:val="none" w:sz="0" w:space="0" w:color="auto"/>
        <w:bottom w:val="none" w:sz="0" w:space="0" w:color="auto"/>
        <w:right w:val="none" w:sz="0" w:space="0" w:color="auto"/>
      </w:divBdr>
    </w:div>
    <w:div w:id="952133068">
      <w:bodyDiv w:val="1"/>
      <w:marLeft w:val="0"/>
      <w:marRight w:val="0"/>
      <w:marTop w:val="0"/>
      <w:marBottom w:val="0"/>
      <w:divBdr>
        <w:top w:val="none" w:sz="0" w:space="0" w:color="auto"/>
        <w:left w:val="none" w:sz="0" w:space="0" w:color="auto"/>
        <w:bottom w:val="none" w:sz="0" w:space="0" w:color="auto"/>
        <w:right w:val="none" w:sz="0" w:space="0" w:color="auto"/>
      </w:divBdr>
    </w:div>
    <w:div w:id="974263520">
      <w:bodyDiv w:val="1"/>
      <w:marLeft w:val="0"/>
      <w:marRight w:val="0"/>
      <w:marTop w:val="0"/>
      <w:marBottom w:val="0"/>
      <w:divBdr>
        <w:top w:val="none" w:sz="0" w:space="0" w:color="auto"/>
        <w:left w:val="none" w:sz="0" w:space="0" w:color="auto"/>
        <w:bottom w:val="none" w:sz="0" w:space="0" w:color="auto"/>
        <w:right w:val="none" w:sz="0" w:space="0" w:color="auto"/>
      </w:divBdr>
    </w:div>
    <w:div w:id="1003816960">
      <w:bodyDiv w:val="1"/>
      <w:marLeft w:val="0"/>
      <w:marRight w:val="0"/>
      <w:marTop w:val="0"/>
      <w:marBottom w:val="0"/>
      <w:divBdr>
        <w:top w:val="none" w:sz="0" w:space="0" w:color="auto"/>
        <w:left w:val="none" w:sz="0" w:space="0" w:color="auto"/>
        <w:bottom w:val="none" w:sz="0" w:space="0" w:color="auto"/>
        <w:right w:val="none" w:sz="0" w:space="0" w:color="auto"/>
      </w:divBdr>
    </w:div>
    <w:div w:id="1047416391">
      <w:bodyDiv w:val="1"/>
      <w:marLeft w:val="0"/>
      <w:marRight w:val="0"/>
      <w:marTop w:val="0"/>
      <w:marBottom w:val="0"/>
      <w:divBdr>
        <w:top w:val="none" w:sz="0" w:space="0" w:color="auto"/>
        <w:left w:val="none" w:sz="0" w:space="0" w:color="auto"/>
        <w:bottom w:val="none" w:sz="0" w:space="0" w:color="auto"/>
        <w:right w:val="none" w:sz="0" w:space="0" w:color="auto"/>
      </w:divBdr>
    </w:div>
    <w:div w:id="1068263069">
      <w:bodyDiv w:val="1"/>
      <w:marLeft w:val="0"/>
      <w:marRight w:val="0"/>
      <w:marTop w:val="0"/>
      <w:marBottom w:val="0"/>
      <w:divBdr>
        <w:top w:val="none" w:sz="0" w:space="0" w:color="auto"/>
        <w:left w:val="none" w:sz="0" w:space="0" w:color="auto"/>
        <w:bottom w:val="none" w:sz="0" w:space="0" w:color="auto"/>
        <w:right w:val="none" w:sz="0" w:space="0" w:color="auto"/>
      </w:divBdr>
    </w:div>
    <w:div w:id="1080054442">
      <w:bodyDiv w:val="1"/>
      <w:marLeft w:val="0"/>
      <w:marRight w:val="0"/>
      <w:marTop w:val="0"/>
      <w:marBottom w:val="0"/>
      <w:divBdr>
        <w:top w:val="none" w:sz="0" w:space="0" w:color="auto"/>
        <w:left w:val="none" w:sz="0" w:space="0" w:color="auto"/>
        <w:bottom w:val="none" w:sz="0" w:space="0" w:color="auto"/>
        <w:right w:val="none" w:sz="0" w:space="0" w:color="auto"/>
      </w:divBdr>
    </w:div>
    <w:div w:id="1085760006">
      <w:bodyDiv w:val="1"/>
      <w:marLeft w:val="0"/>
      <w:marRight w:val="0"/>
      <w:marTop w:val="0"/>
      <w:marBottom w:val="0"/>
      <w:divBdr>
        <w:top w:val="none" w:sz="0" w:space="0" w:color="auto"/>
        <w:left w:val="none" w:sz="0" w:space="0" w:color="auto"/>
        <w:bottom w:val="none" w:sz="0" w:space="0" w:color="auto"/>
        <w:right w:val="none" w:sz="0" w:space="0" w:color="auto"/>
      </w:divBdr>
    </w:div>
    <w:div w:id="1101612215">
      <w:bodyDiv w:val="1"/>
      <w:marLeft w:val="0"/>
      <w:marRight w:val="0"/>
      <w:marTop w:val="0"/>
      <w:marBottom w:val="0"/>
      <w:divBdr>
        <w:top w:val="none" w:sz="0" w:space="0" w:color="auto"/>
        <w:left w:val="none" w:sz="0" w:space="0" w:color="auto"/>
        <w:bottom w:val="none" w:sz="0" w:space="0" w:color="auto"/>
        <w:right w:val="none" w:sz="0" w:space="0" w:color="auto"/>
      </w:divBdr>
    </w:div>
    <w:div w:id="1111051468">
      <w:bodyDiv w:val="1"/>
      <w:marLeft w:val="0"/>
      <w:marRight w:val="0"/>
      <w:marTop w:val="0"/>
      <w:marBottom w:val="0"/>
      <w:divBdr>
        <w:top w:val="none" w:sz="0" w:space="0" w:color="auto"/>
        <w:left w:val="none" w:sz="0" w:space="0" w:color="auto"/>
        <w:bottom w:val="none" w:sz="0" w:space="0" w:color="auto"/>
        <w:right w:val="none" w:sz="0" w:space="0" w:color="auto"/>
      </w:divBdr>
    </w:div>
    <w:div w:id="1129981110">
      <w:bodyDiv w:val="1"/>
      <w:marLeft w:val="0"/>
      <w:marRight w:val="0"/>
      <w:marTop w:val="0"/>
      <w:marBottom w:val="0"/>
      <w:divBdr>
        <w:top w:val="none" w:sz="0" w:space="0" w:color="auto"/>
        <w:left w:val="none" w:sz="0" w:space="0" w:color="auto"/>
        <w:bottom w:val="none" w:sz="0" w:space="0" w:color="auto"/>
        <w:right w:val="none" w:sz="0" w:space="0" w:color="auto"/>
      </w:divBdr>
    </w:div>
    <w:div w:id="1153761769">
      <w:bodyDiv w:val="1"/>
      <w:marLeft w:val="0"/>
      <w:marRight w:val="0"/>
      <w:marTop w:val="0"/>
      <w:marBottom w:val="0"/>
      <w:divBdr>
        <w:top w:val="none" w:sz="0" w:space="0" w:color="auto"/>
        <w:left w:val="none" w:sz="0" w:space="0" w:color="auto"/>
        <w:bottom w:val="none" w:sz="0" w:space="0" w:color="auto"/>
        <w:right w:val="none" w:sz="0" w:space="0" w:color="auto"/>
      </w:divBdr>
    </w:div>
    <w:div w:id="1171529329">
      <w:bodyDiv w:val="1"/>
      <w:marLeft w:val="0"/>
      <w:marRight w:val="0"/>
      <w:marTop w:val="0"/>
      <w:marBottom w:val="0"/>
      <w:divBdr>
        <w:top w:val="none" w:sz="0" w:space="0" w:color="auto"/>
        <w:left w:val="none" w:sz="0" w:space="0" w:color="auto"/>
        <w:bottom w:val="none" w:sz="0" w:space="0" w:color="auto"/>
        <w:right w:val="none" w:sz="0" w:space="0" w:color="auto"/>
      </w:divBdr>
    </w:div>
    <w:div w:id="1171722072">
      <w:bodyDiv w:val="1"/>
      <w:marLeft w:val="0"/>
      <w:marRight w:val="0"/>
      <w:marTop w:val="0"/>
      <w:marBottom w:val="0"/>
      <w:divBdr>
        <w:top w:val="none" w:sz="0" w:space="0" w:color="auto"/>
        <w:left w:val="none" w:sz="0" w:space="0" w:color="auto"/>
        <w:bottom w:val="none" w:sz="0" w:space="0" w:color="auto"/>
        <w:right w:val="none" w:sz="0" w:space="0" w:color="auto"/>
      </w:divBdr>
    </w:div>
    <w:div w:id="1192645704">
      <w:bodyDiv w:val="1"/>
      <w:marLeft w:val="0"/>
      <w:marRight w:val="0"/>
      <w:marTop w:val="0"/>
      <w:marBottom w:val="0"/>
      <w:divBdr>
        <w:top w:val="none" w:sz="0" w:space="0" w:color="auto"/>
        <w:left w:val="none" w:sz="0" w:space="0" w:color="auto"/>
        <w:bottom w:val="none" w:sz="0" w:space="0" w:color="auto"/>
        <w:right w:val="none" w:sz="0" w:space="0" w:color="auto"/>
      </w:divBdr>
    </w:div>
    <w:div w:id="1195311234">
      <w:bodyDiv w:val="1"/>
      <w:marLeft w:val="0"/>
      <w:marRight w:val="0"/>
      <w:marTop w:val="0"/>
      <w:marBottom w:val="0"/>
      <w:divBdr>
        <w:top w:val="none" w:sz="0" w:space="0" w:color="auto"/>
        <w:left w:val="none" w:sz="0" w:space="0" w:color="auto"/>
        <w:bottom w:val="none" w:sz="0" w:space="0" w:color="auto"/>
        <w:right w:val="none" w:sz="0" w:space="0" w:color="auto"/>
      </w:divBdr>
    </w:div>
    <w:div w:id="1197348460">
      <w:bodyDiv w:val="1"/>
      <w:marLeft w:val="0"/>
      <w:marRight w:val="0"/>
      <w:marTop w:val="0"/>
      <w:marBottom w:val="0"/>
      <w:divBdr>
        <w:top w:val="none" w:sz="0" w:space="0" w:color="auto"/>
        <w:left w:val="none" w:sz="0" w:space="0" w:color="auto"/>
        <w:bottom w:val="none" w:sz="0" w:space="0" w:color="auto"/>
        <w:right w:val="none" w:sz="0" w:space="0" w:color="auto"/>
      </w:divBdr>
    </w:div>
    <w:div w:id="1210649613">
      <w:bodyDiv w:val="1"/>
      <w:marLeft w:val="0"/>
      <w:marRight w:val="0"/>
      <w:marTop w:val="0"/>
      <w:marBottom w:val="0"/>
      <w:divBdr>
        <w:top w:val="none" w:sz="0" w:space="0" w:color="auto"/>
        <w:left w:val="none" w:sz="0" w:space="0" w:color="auto"/>
        <w:bottom w:val="none" w:sz="0" w:space="0" w:color="auto"/>
        <w:right w:val="none" w:sz="0" w:space="0" w:color="auto"/>
      </w:divBdr>
    </w:div>
    <w:div w:id="1236670772">
      <w:bodyDiv w:val="1"/>
      <w:marLeft w:val="0"/>
      <w:marRight w:val="0"/>
      <w:marTop w:val="0"/>
      <w:marBottom w:val="0"/>
      <w:divBdr>
        <w:top w:val="none" w:sz="0" w:space="0" w:color="auto"/>
        <w:left w:val="none" w:sz="0" w:space="0" w:color="auto"/>
        <w:bottom w:val="none" w:sz="0" w:space="0" w:color="auto"/>
        <w:right w:val="none" w:sz="0" w:space="0" w:color="auto"/>
      </w:divBdr>
    </w:div>
    <w:div w:id="1243951907">
      <w:bodyDiv w:val="1"/>
      <w:marLeft w:val="0"/>
      <w:marRight w:val="0"/>
      <w:marTop w:val="0"/>
      <w:marBottom w:val="0"/>
      <w:divBdr>
        <w:top w:val="none" w:sz="0" w:space="0" w:color="auto"/>
        <w:left w:val="none" w:sz="0" w:space="0" w:color="auto"/>
        <w:bottom w:val="none" w:sz="0" w:space="0" w:color="auto"/>
        <w:right w:val="none" w:sz="0" w:space="0" w:color="auto"/>
      </w:divBdr>
    </w:div>
    <w:div w:id="1250194282">
      <w:bodyDiv w:val="1"/>
      <w:marLeft w:val="0"/>
      <w:marRight w:val="0"/>
      <w:marTop w:val="0"/>
      <w:marBottom w:val="0"/>
      <w:divBdr>
        <w:top w:val="none" w:sz="0" w:space="0" w:color="auto"/>
        <w:left w:val="none" w:sz="0" w:space="0" w:color="auto"/>
        <w:bottom w:val="none" w:sz="0" w:space="0" w:color="auto"/>
        <w:right w:val="none" w:sz="0" w:space="0" w:color="auto"/>
      </w:divBdr>
      <w:divsChild>
        <w:div w:id="1202746231">
          <w:marLeft w:val="0"/>
          <w:marRight w:val="0"/>
          <w:marTop w:val="0"/>
          <w:marBottom w:val="0"/>
          <w:divBdr>
            <w:top w:val="none" w:sz="0" w:space="0" w:color="auto"/>
            <w:left w:val="none" w:sz="0" w:space="0" w:color="auto"/>
            <w:bottom w:val="none" w:sz="0" w:space="0" w:color="auto"/>
            <w:right w:val="none" w:sz="0" w:space="0" w:color="auto"/>
          </w:divBdr>
        </w:div>
      </w:divsChild>
    </w:div>
    <w:div w:id="1254630220">
      <w:bodyDiv w:val="1"/>
      <w:marLeft w:val="0"/>
      <w:marRight w:val="0"/>
      <w:marTop w:val="0"/>
      <w:marBottom w:val="0"/>
      <w:divBdr>
        <w:top w:val="none" w:sz="0" w:space="0" w:color="auto"/>
        <w:left w:val="none" w:sz="0" w:space="0" w:color="auto"/>
        <w:bottom w:val="none" w:sz="0" w:space="0" w:color="auto"/>
        <w:right w:val="none" w:sz="0" w:space="0" w:color="auto"/>
      </w:divBdr>
    </w:div>
    <w:div w:id="1261790625">
      <w:bodyDiv w:val="1"/>
      <w:marLeft w:val="0"/>
      <w:marRight w:val="0"/>
      <w:marTop w:val="0"/>
      <w:marBottom w:val="0"/>
      <w:divBdr>
        <w:top w:val="none" w:sz="0" w:space="0" w:color="auto"/>
        <w:left w:val="none" w:sz="0" w:space="0" w:color="auto"/>
        <w:bottom w:val="none" w:sz="0" w:space="0" w:color="auto"/>
        <w:right w:val="none" w:sz="0" w:space="0" w:color="auto"/>
      </w:divBdr>
    </w:div>
    <w:div w:id="1276982197">
      <w:bodyDiv w:val="1"/>
      <w:marLeft w:val="0"/>
      <w:marRight w:val="0"/>
      <w:marTop w:val="0"/>
      <w:marBottom w:val="0"/>
      <w:divBdr>
        <w:top w:val="none" w:sz="0" w:space="0" w:color="auto"/>
        <w:left w:val="none" w:sz="0" w:space="0" w:color="auto"/>
        <w:bottom w:val="none" w:sz="0" w:space="0" w:color="auto"/>
        <w:right w:val="none" w:sz="0" w:space="0" w:color="auto"/>
      </w:divBdr>
    </w:div>
    <w:div w:id="1293250327">
      <w:bodyDiv w:val="1"/>
      <w:marLeft w:val="0"/>
      <w:marRight w:val="0"/>
      <w:marTop w:val="0"/>
      <w:marBottom w:val="0"/>
      <w:divBdr>
        <w:top w:val="none" w:sz="0" w:space="0" w:color="auto"/>
        <w:left w:val="none" w:sz="0" w:space="0" w:color="auto"/>
        <w:bottom w:val="none" w:sz="0" w:space="0" w:color="auto"/>
        <w:right w:val="none" w:sz="0" w:space="0" w:color="auto"/>
      </w:divBdr>
    </w:div>
    <w:div w:id="1297180492">
      <w:bodyDiv w:val="1"/>
      <w:marLeft w:val="0"/>
      <w:marRight w:val="0"/>
      <w:marTop w:val="0"/>
      <w:marBottom w:val="0"/>
      <w:divBdr>
        <w:top w:val="none" w:sz="0" w:space="0" w:color="auto"/>
        <w:left w:val="none" w:sz="0" w:space="0" w:color="auto"/>
        <w:bottom w:val="none" w:sz="0" w:space="0" w:color="auto"/>
        <w:right w:val="none" w:sz="0" w:space="0" w:color="auto"/>
      </w:divBdr>
    </w:div>
    <w:div w:id="1306230134">
      <w:bodyDiv w:val="1"/>
      <w:marLeft w:val="0"/>
      <w:marRight w:val="0"/>
      <w:marTop w:val="0"/>
      <w:marBottom w:val="0"/>
      <w:divBdr>
        <w:top w:val="none" w:sz="0" w:space="0" w:color="auto"/>
        <w:left w:val="none" w:sz="0" w:space="0" w:color="auto"/>
        <w:bottom w:val="none" w:sz="0" w:space="0" w:color="auto"/>
        <w:right w:val="none" w:sz="0" w:space="0" w:color="auto"/>
      </w:divBdr>
    </w:div>
    <w:div w:id="1309627691">
      <w:bodyDiv w:val="1"/>
      <w:marLeft w:val="0"/>
      <w:marRight w:val="0"/>
      <w:marTop w:val="0"/>
      <w:marBottom w:val="0"/>
      <w:divBdr>
        <w:top w:val="none" w:sz="0" w:space="0" w:color="auto"/>
        <w:left w:val="none" w:sz="0" w:space="0" w:color="auto"/>
        <w:bottom w:val="none" w:sz="0" w:space="0" w:color="auto"/>
        <w:right w:val="none" w:sz="0" w:space="0" w:color="auto"/>
      </w:divBdr>
    </w:div>
    <w:div w:id="1309937797">
      <w:bodyDiv w:val="1"/>
      <w:marLeft w:val="0"/>
      <w:marRight w:val="0"/>
      <w:marTop w:val="0"/>
      <w:marBottom w:val="0"/>
      <w:divBdr>
        <w:top w:val="none" w:sz="0" w:space="0" w:color="auto"/>
        <w:left w:val="none" w:sz="0" w:space="0" w:color="auto"/>
        <w:bottom w:val="none" w:sz="0" w:space="0" w:color="auto"/>
        <w:right w:val="none" w:sz="0" w:space="0" w:color="auto"/>
      </w:divBdr>
    </w:div>
    <w:div w:id="1327519072">
      <w:bodyDiv w:val="1"/>
      <w:marLeft w:val="0"/>
      <w:marRight w:val="0"/>
      <w:marTop w:val="0"/>
      <w:marBottom w:val="0"/>
      <w:divBdr>
        <w:top w:val="none" w:sz="0" w:space="0" w:color="auto"/>
        <w:left w:val="none" w:sz="0" w:space="0" w:color="auto"/>
        <w:bottom w:val="none" w:sz="0" w:space="0" w:color="auto"/>
        <w:right w:val="none" w:sz="0" w:space="0" w:color="auto"/>
      </w:divBdr>
    </w:div>
    <w:div w:id="1338383571">
      <w:bodyDiv w:val="1"/>
      <w:marLeft w:val="0"/>
      <w:marRight w:val="0"/>
      <w:marTop w:val="0"/>
      <w:marBottom w:val="0"/>
      <w:divBdr>
        <w:top w:val="none" w:sz="0" w:space="0" w:color="auto"/>
        <w:left w:val="none" w:sz="0" w:space="0" w:color="auto"/>
        <w:bottom w:val="none" w:sz="0" w:space="0" w:color="auto"/>
        <w:right w:val="none" w:sz="0" w:space="0" w:color="auto"/>
      </w:divBdr>
    </w:div>
    <w:div w:id="1357004902">
      <w:bodyDiv w:val="1"/>
      <w:marLeft w:val="0"/>
      <w:marRight w:val="0"/>
      <w:marTop w:val="0"/>
      <w:marBottom w:val="0"/>
      <w:divBdr>
        <w:top w:val="none" w:sz="0" w:space="0" w:color="auto"/>
        <w:left w:val="none" w:sz="0" w:space="0" w:color="auto"/>
        <w:bottom w:val="none" w:sz="0" w:space="0" w:color="auto"/>
        <w:right w:val="none" w:sz="0" w:space="0" w:color="auto"/>
      </w:divBdr>
    </w:div>
    <w:div w:id="1380283902">
      <w:bodyDiv w:val="1"/>
      <w:marLeft w:val="0"/>
      <w:marRight w:val="0"/>
      <w:marTop w:val="0"/>
      <w:marBottom w:val="0"/>
      <w:divBdr>
        <w:top w:val="none" w:sz="0" w:space="0" w:color="auto"/>
        <w:left w:val="none" w:sz="0" w:space="0" w:color="auto"/>
        <w:bottom w:val="none" w:sz="0" w:space="0" w:color="auto"/>
        <w:right w:val="none" w:sz="0" w:space="0" w:color="auto"/>
      </w:divBdr>
    </w:div>
    <w:div w:id="1389717940">
      <w:bodyDiv w:val="1"/>
      <w:marLeft w:val="0"/>
      <w:marRight w:val="0"/>
      <w:marTop w:val="0"/>
      <w:marBottom w:val="0"/>
      <w:divBdr>
        <w:top w:val="none" w:sz="0" w:space="0" w:color="auto"/>
        <w:left w:val="none" w:sz="0" w:space="0" w:color="auto"/>
        <w:bottom w:val="none" w:sz="0" w:space="0" w:color="auto"/>
        <w:right w:val="none" w:sz="0" w:space="0" w:color="auto"/>
      </w:divBdr>
    </w:div>
    <w:div w:id="1401636973">
      <w:bodyDiv w:val="1"/>
      <w:marLeft w:val="0"/>
      <w:marRight w:val="0"/>
      <w:marTop w:val="0"/>
      <w:marBottom w:val="0"/>
      <w:divBdr>
        <w:top w:val="none" w:sz="0" w:space="0" w:color="auto"/>
        <w:left w:val="none" w:sz="0" w:space="0" w:color="auto"/>
        <w:bottom w:val="none" w:sz="0" w:space="0" w:color="auto"/>
        <w:right w:val="none" w:sz="0" w:space="0" w:color="auto"/>
      </w:divBdr>
    </w:div>
    <w:div w:id="1414622510">
      <w:bodyDiv w:val="1"/>
      <w:marLeft w:val="0"/>
      <w:marRight w:val="0"/>
      <w:marTop w:val="0"/>
      <w:marBottom w:val="0"/>
      <w:divBdr>
        <w:top w:val="none" w:sz="0" w:space="0" w:color="auto"/>
        <w:left w:val="none" w:sz="0" w:space="0" w:color="auto"/>
        <w:bottom w:val="none" w:sz="0" w:space="0" w:color="auto"/>
        <w:right w:val="none" w:sz="0" w:space="0" w:color="auto"/>
      </w:divBdr>
    </w:div>
    <w:div w:id="1424914493">
      <w:bodyDiv w:val="1"/>
      <w:marLeft w:val="0"/>
      <w:marRight w:val="0"/>
      <w:marTop w:val="0"/>
      <w:marBottom w:val="0"/>
      <w:divBdr>
        <w:top w:val="none" w:sz="0" w:space="0" w:color="auto"/>
        <w:left w:val="none" w:sz="0" w:space="0" w:color="auto"/>
        <w:bottom w:val="none" w:sz="0" w:space="0" w:color="auto"/>
        <w:right w:val="none" w:sz="0" w:space="0" w:color="auto"/>
      </w:divBdr>
    </w:div>
    <w:div w:id="1427188184">
      <w:bodyDiv w:val="1"/>
      <w:marLeft w:val="0"/>
      <w:marRight w:val="0"/>
      <w:marTop w:val="0"/>
      <w:marBottom w:val="0"/>
      <w:divBdr>
        <w:top w:val="none" w:sz="0" w:space="0" w:color="auto"/>
        <w:left w:val="none" w:sz="0" w:space="0" w:color="auto"/>
        <w:bottom w:val="none" w:sz="0" w:space="0" w:color="auto"/>
        <w:right w:val="none" w:sz="0" w:space="0" w:color="auto"/>
      </w:divBdr>
    </w:div>
    <w:div w:id="1430924594">
      <w:bodyDiv w:val="1"/>
      <w:marLeft w:val="0"/>
      <w:marRight w:val="0"/>
      <w:marTop w:val="0"/>
      <w:marBottom w:val="0"/>
      <w:divBdr>
        <w:top w:val="none" w:sz="0" w:space="0" w:color="auto"/>
        <w:left w:val="none" w:sz="0" w:space="0" w:color="auto"/>
        <w:bottom w:val="none" w:sz="0" w:space="0" w:color="auto"/>
        <w:right w:val="none" w:sz="0" w:space="0" w:color="auto"/>
      </w:divBdr>
      <w:divsChild>
        <w:div w:id="458767376">
          <w:marLeft w:val="0"/>
          <w:marRight w:val="0"/>
          <w:marTop w:val="0"/>
          <w:marBottom w:val="0"/>
          <w:divBdr>
            <w:top w:val="none" w:sz="0" w:space="0" w:color="auto"/>
            <w:left w:val="none" w:sz="0" w:space="0" w:color="auto"/>
            <w:bottom w:val="none" w:sz="0" w:space="0" w:color="auto"/>
            <w:right w:val="none" w:sz="0" w:space="0" w:color="auto"/>
          </w:divBdr>
        </w:div>
      </w:divsChild>
    </w:div>
    <w:div w:id="1436056427">
      <w:bodyDiv w:val="1"/>
      <w:marLeft w:val="0"/>
      <w:marRight w:val="0"/>
      <w:marTop w:val="0"/>
      <w:marBottom w:val="0"/>
      <w:divBdr>
        <w:top w:val="none" w:sz="0" w:space="0" w:color="auto"/>
        <w:left w:val="none" w:sz="0" w:space="0" w:color="auto"/>
        <w:bottom w:val="none" w:sz="0" w:space="0" w:color="auto"/>
        <w:right w:val="none" w:sz="0" w:space="0" w:color="auto"/>
      </w:divBdr>
    </w:div>
    <w:div w:id="1470784919">
      <w:bodyDiv w:val="1"/>
      <w:marLeft w:val="0"/>
      <w:marRight w:val="0"/>
      <w:marTop w:val="0"/>
      <w:marBottom w:val="0"/>
      <w:divBdr>
        <w:top w:val="none" w:sz="0" w:space="0" w:color="auto"/>
        <w:left w:val="none" w:sz="0" w:space="0" w:color="auto"/>
        <w:bottom w:val="none" w:sz="0" w:space="0" w:color="auto"/>
        <w:right w:val="none" w:sz="0" w:space="0" w:color="auto"/>
      </w:divBdr>
      <w:divsChild>
        <w:div w:id="143358990">
          <w:marLeft w:val="0"/>
          <w:marRight w:val="0"/>
          <w:marTop w:val="0"/>
          <w:marBottom w:val="0"/>
          <w:divBdr>
            <w:top w:val="none" w:sz="0" w:space="0" w:color="auto"/>
            <w:left w:val="none" w:sz="0" w:space="0" w:color="auto"/>
            <w:bottom w:val="none" w:sz="0" w:space="0" w:color="auto"/>
            <w:right w:val="none" w:sz="0" w:space="0" w:color="auto"/>
          </w:divBdr>
        </w:div>
      </w:divsChild>
    </w:div>
    <w:div w:id="1490440441">
      <w:bodyDiv w:val="1"/>
      <w:marLeft w:val="0"/>
      <w:marRight w:val="0"/>
      <w:marTop w:val="0"/>
      <w:marBottom w:val="0"/>
      <w:divBdr>
        <w:top w:val="none" w:sz="0" w:space="0" w:color="auto"/>
        <w:left w:val="none" w:sz="0" w:space="0" w:color="auto"/>
        <w:bottom w:val="none" w:sz="0" w:space="0" w:color="auto"/>
        <w:right w:val="none" w:sz="0" w:space="0" w:color="auto"/>
      </w:divBdr>
    </w:div>
    <w:div w:id="1500999730">
      <w:bodyDiv w:val="1"/>
      <w:marLeft w:val="0"/>
      <w:marRight w:val="0"/>
      <w:marTop w:val="0"/>
      <w:marBottom w:val="0"/>
      <w:divBdr>
        <w:top w:val="none" w:sz="0" w:space="0" w:color="auto"/>
        <w:left w:val="none" w:sz="0" w:space="0" w:color="auto"/>
        <w:bottom w:val="none" w:sz="0" w:space="0" w:color="auto"/>
        <w:right w:val="none" w:sz="0" w:space="0" w:color="auto"/>
      </w:divBdr>
    </w:div>
    <w:div w:id="1535071948">
      <w:bodyDiv w:val="1"/>
      <w:marLeft w:val="0"/>
      <w:marRight w:val="0"/>
      <w:marTop w:val="0"/>
      <w:marBottom w:val="0"/>
      <w:divBdr>
        <w:top w:val="none" w:sz="0" w:space="0" w:color="auto"/>
        <w:left w:val="none" w:sz="0" w:space="0" w:color="auto"/>
        <w:bottom w:val="none" w:sz="0" w:space="0" w:color="auto"/>
        <w:right w:val="none" w:sz="0" w:space="0" w:color="auto"/>
      </w:divBdr>
    </w:div>
    <w:div w:id="1536888152">
      <w:bodyDiv w:val="1"/>
      <w:marLeft w:val="0"/>
      <w:marRight w:val="0"/>
      <w:marTop w:val="0"/>
      <w:marBottom w:val="0"/>
      <w:divBdr>
        <w:top w:val="none" w:sz="0" w:space="0" w:color="auto"/>
        <w:left w:val="none" w:sz="0" w:space="0" w:color="auto"/>
        <w:bottom w:val="none" w:sz="0" w:space="0" w:color="auto"/>
        <w:right w:val="none" w:sz="0" w:space="0" w:color="auto"/>
      </w:divBdr>
    </w:div>
    <w:div w:id="1547181296">
      <w:bodyDiv w:val="1"/>
      <w:marLeft w:val="0"/>
      <w:marRight w:val="0"/>
      <w:marTop w:val="0"/>
      <w:marBottom w:val="0"/>
      <w:divBdr>
        <w:top w:val="none" w:sz="0" w:space="0" w:color="auto"/>
        <w:left w:val="none" w:sz="0" w:space="0" w:color="auto"/>
        <w:bottom w:val="none" w:sz="0" w:space="0" w:color="auto"/>
        <w:right w:val="none" w:sz="0" w:space="0" w:color="auto"/>
      </w:divBdr>
    </w:div>
    <w:div w:id="1568759576">
      <w:bodyDiv w:val="1"/>
      <w:marLeft w:val="0"/>
      <w:marRight w:val="0"/>
      <w:marTop w:val="0"/>
      <w:marBottom w:val="0"/>
      <w:divBdr>
        <w:top w:val="none" w:sz="0" w:space="0" w:color="auto"/>
        <w:left w:val="none" w:sz="0" w:space="0" w:color="auto"/>
        <w:bottom w:val="none" w:sz="0" w:space="0" w:color="auto"/>
        <w:right w:val="none" w:sz="0" w:space="0" w:color="auto"/>
      </w:divBdr>
    </w:div>
    <w:div w:id="1589194683">
      <w:bodyDiv w:val="1"/>
      <w:marLeft w:val="0"/>
      <w:marRight w:val="0"/>
      <w:marTop w:val="0"/>
      <w:marBottom w:val="0"/>
      <w:divBdr>
        <w:top w:val="none" w:sz="0" w:space="0" w:color="auto"/>
        <w:left w:val="none" w:sz="0" w:space="0" w:color="auto"/>
        <w:bottom w:val="none" w:sz="0" w:space="0" w:color="auto"/>
        <w:right w:val="none" w:sz="0" w:space="0" w:color="auto"/>
      </w:divBdr>
    </w:div>
    <w:div w:id="1607227964">
      <w:bodyDiv w:val="1"/>
      <w:marLeft w:val="0"/>
      <w:marRight w:val="0"/>
      <w:marTop w:val="0"/>
      <w:marBottom w:val="0"/>
      <w:divBdr>
        <w:top w:val="none" w:sz="0" w:space="0" w:color="auto"/>
        <w:left w:val="none" w:sz="0" w:space="0" w:color="auto"/>
        <w:bottom w:val="none" w:sz="0" w:space="0" w:color="auto"/>
        <w:right w:val="none" w:sz="0" w:space="0" w:color="auto"/>
      </w:divBdr>
    </w:div>
    <w:div w:id="1608269049">
      <w:bodyDiv w:val="1"/>
      <w:marLeft w:val="0"/>
      <w:marRight w:val="0"/>
      <w:marTop w:val="0"/>
      <w:marBottom w:val="0"/>
      <w:divBdr>
        <w:top w:val="none" w:sz="0" w:space="0" w:color="auto"/>
        <w:left w:val="none" w:sz="0" w:space="0" w:color="auto"/>
        <w:bottom w:val="none" w:sz="0" w:space="0" w:color="auto"/>
        <w:right w:val="none" w:sz="0" w:space="0" w:color="auto"/>
      </w:divBdr>
    </w:div>
    <w:div w:id="1634827652">
      <w:bodyDiv w:val="1"/>
      <w:marLeft w:val="0"/>
      <w:marRight w:val="0"/>
      <w:marTop w:val="0"/>
      <w:marBottom w:val="0"/>
      <w:divBdr>
        <w:top w:val="none" w:sz="0" w:space="0" w:color="auto"/>
        <w:left w:val="none" w:sz="0" w:space="0" w:color="auto"/>
        <w:bottom w:val="none" w:sz="0" w:space="0" w:color="auto"/>
        <w:right w:val="none" w:sz="0" w:space="0" w:color="auto"/>
      </w:divBdr>
      <w:divsChild>
        <w:div w:id="386805766">
          <w:marLeft w:val="0"/>
          <w:marRight w:val="0"/>
          <w:marTop w:val="0"/>
          <w:marBottom w:val="0"/>
          <w:divBdr>
            <w:top w:val="none" w:sz="0" w:space="0" w:color="auto"/>
            <w:left w:val="none" w:sz="0" w:space="0" w:color="auto"/>
            <w:bottom w:val="none" w:sz="0" w:space="0" w:color="auto"/>
            <w:right w:val="none" w:sz="0" w:space="0" w:color="auto"/>
          </w:divBdr>
        </w:div>
      </w:divsChild>
    </w:div>
    <w:div w:id="1639647486">
      <w:bodyDiv w:val="1"/>
      <w:marLeft w:val="0"/>
      <w:marRight w:val="0"/>
      <w:marTop w:val="0"/>
      <w:marBottom w:val="0"/>
      <w:divBdr>
        <w:top w:val="none" w:sz="0" w:space="0" w:color="auto"/>
        <w:left w:val="none" w:sz="0" w:space="0" w:color="auto"/>
        <w:bottom w:val="none" w:sz="0" w:space="0" w:color="auto"/>
        <w:right w:val="none" w:sz="0" w:space="0" w:color="auto"/>
      </w:divBdr>
    </w:div>
    <w:div w:id="1667397690">
      <w:bodyDiv w:val="1"/>
      <w:marLeft w:val="0"/>
      <w:marRight w:val="0"/>
      <w:marTop w:val="0"/>
      <w:marBottom w:val="0"/>
      <w:divBdr>
        <w:top w:val="none" w:sz="0" w:space="0" w:color="auto"/>
        <w:left w:val="none" w:sz="0" w:space="0" w:color="auto"/>
        <w:bottom w:val="none" w:sz="0" w:space="0" w:color="auto"/>
        <w:right w:val="none" w:sz="0" w:space="0" w:color="auto"/>
      </w:divBdr>
    </w:div>
    <w:div w:id="1674406374">
      <w:bodyDiv w:val="1"/>
      <w:marLeft w:val="0"/>
      <w:marRight w:val="0"/>
      <w:marTop w:val="0"/>
      <w:marBottom w:val="0"/>
      <w:divBdr>
        <w:top w:val="none" w:sz="0" w:space="0" w:color="auto"/>
        <w:left w:val="none" w:sz="0" w:space="0" w:color="auto"/>
        <w:bottom w:val="none" w:sz="0" w:space="0" w:color="auto"/>
        <w:right w:val="none" w:sz="0" w:space="0" w:color="auto"/>
      </w:divBdr>
    </w:div>
    <w:div w:id="1677338659">
      <w:bodyDiv w:val="1"/>
      <w:marLeft w:val="0"/>
      <w:marRight w:val="0"/>
      <w:marTop w:val="0"/>
      <w:marBottom w:val="0"/>
      <w:divBdr>
        <w:top w:val="none" w:sz="0" w:space="0" w:color="auto"/>
        <w:left w:val="none" w:sz="0" w:space="0" w:color="auto"/>
        <w:bottom w:val="none" w:sz="0" w:space="0" w:color="auto"/>
        <w:right w:val="none" w:sz="0" w:space="0" w:color="auto"/>
      </w:divBdr>
    </w:div>
    <w:div w:id="1685206115">
      <w:bodyDiv w:val="1"/>
      <w:marLeft w:val="0"/>
      <w:marRight w:val="0"/>
      <w:marTop w:val="0"/>
      <w:marBottom w:val="0"/>
      <w:divBdr>
        <w:top w:val="none" w:sz="0" w:space="0" w:color="auto"/>
        <w:left w:val="none" w:sz="0" w:space="0" w:color="auto"/>
        <w:bottom w:val="none" w:sz="0" w:space="0" w:color="auto"/>
        <w:right w:val="none" w:sz="0" w:space="0" w:color="auto"/>
      </w:divBdr>
    </w:div>
    <w:div w:id="1690372172">
      <w:bodyDiv w:val="1"/>
      <w:marLeft w:val="0"/>
      <w:marRight w:val="0"/>
      <w:marTop w:val="0"/>
      <w:marBottom w:val="0"/>
      <w:divBdr>
        <w:top w:val="none" w:sz="0" w:space="0" w:color="auto"/>
        <w:left w:val="none" w:sz="0" w:space="0" w:color="auto"/>
        <w:bottom w:val="none" w:sz="0" w:space="0" w:color="auto"/>
        <w:right w:val="none" w:sz="0" w:space="0" w:color="auto"/>
      </w:divBdr>
    </w:div>
    <w:div w:id="1696346327">
      <w:bodyDiv w:val="1"/>
      <w:marLeft w:val="0"/>
      <w:marRight w:val="0"/>
      <w:marTop w:val="0"/>
      <w:marBottom w:val="0"/>
      <w:divBdr>
        <w:top w:val="none" w:sz="0" w:space="0" w:color="auto"/>
        <w:left w:val="none" w:sz="0" w:space="0" w:color="auto"/>
        <w:bottom w:val="none" w:sz="0" w:space="0" w:color="auto"/>
        <w:right w:val="none" w:sz="0" w:space="0" w:color="auto"/>
      </w:divBdr>
    </w:div>
    <w:div w:id="1713841601">
      <w:bodyDiv w:val="1"/>
      <w:marLeft w:val="0"/>
      <w:marRight w:val="0"/>
      <w:marTop w:val="0"/>
      <w:marBottom w:val="0"/>
      <w:divBdr>
        <w:top w:val="none" w:sz="0" w:space="0" w:color="auto"/>
        <w:left w:val="none" w:sz="0" w:space="0" w:color="auto"/>
        <w:bottom w:val="none" w:sz="0" w:space="0" w:color="auto"/>
        <w:right w:val="none" w:sz="0" w:space="0" w:color="auto"/>
      </w:divBdr>
    </w:div>
    <w:div w:id="1729843969">
      <w:bodyDiv w:val="1"/>
      <w:marLeft w:val="0"/>
      <w:marRight w:val="0"/>
      <w:marTop w:val="0"/>
      <w:marBottom w:val="0"/>
      <w:divBdr>
        <w:top w:val="none" w:sz="0" w:space="0" w:color="auto"/>
        <w:left w:val="none" w:sz="0" w:space="0" w:color="auto"/>
        <w:bottom w:val="none" w:sz="0" w:space="0" w:color="auto"/>
        <w:right w:val="none" w:sz="0" w:space="0" w:color="auto"/>
      </w:divBdr>
    </w:div>
    <w:div w:id="1737364124">
      <w:bodyDiv w:val="1"/>
      <w:marLeft w:val="0"/>
      <w:marRight w:val="0"/>
      <w:marTop w:val="0"/>
      <w:marBottom w:val="0"/>
      <w:divBdr>
        <w:top w:val="none" w:sz="0" w:space="0" w:color="auto"/>
        <w:left w:val="none" w:sz="0" w:space="0" w:color="auto"/>
        <w:bottom w:val="none" w:sz="0" w:space="0" w:color="auto"/>
        <w:right w:val="none" w:sz="0" w:space="0" w:color="auto"/>
      </w:divBdr>
    </w:div>
    <w:div w:id="1751921177">
      <w:bodyDiv w:val="1"/>
      <w:marLeft w:val="0"/>
      <w:marRight w:val="0"/>
      <w:marTop w:val="0"/>
      <w:marBottom w:val="0"/>
      <w:divBdr>
        <w:top w:val="none" w:sz="0" w:space="0" w:color="auto"/>
        <w:left w:val="none" w:sz="0" w:space="0" w:color="auto"/>
        <w:bottom w:val="none" w:sz="0" w:space="0" w:color="auto"/>
        <w:right w:val="none" w:sz="0" w:space="0" w:color="auto"/>
      </w:divBdr>
    </w:div>
    <w:div w:id="1752315587">
      <w:bodyDiv w:val="1"/>
      <w:marLeft w:val="0"/>
      <w:marRight w:val="0"/>
      <w:marTop w:val="0"/>
      <w:marBottom w:val="0"/>
      <w:divBdr>
        <w:top w:val="none" w:sz="0" w:space="0" w:color="auto"/>
        <w:left w:val="none" w:sz="0" w:space="0" w:color="auto"/>
        <w:bottom w:val="none" w:sz="0" w:space="0" w:color="auto"/>
        <w:right w:val="none" w:sz="0" w:space="0" w:color="auto"/>
      </w:divBdr>
    </w:div>
    <w:div w:id="1765413362">
      <w:bodyDiv w:val="1"/>
      <w:marLeft w:val="0"/>
      <w:marRight w:val="0"/>
      <w:marTop w:val="0"/>
      <w:marBottom w:val="0"/>
      <w:divBdr>
        <w:top w:val="none" w:sz="0" w:space="0" w:color="auto"/>
        <w:left w:val="none" w:sz="0" w:space="0" w:color="auto"/>
        <w:bottom w:val="none" w:sz="0" w:space="0" w:color="auto"/>
        <w:right w:val="none" w:sz="0" w:space="0" w:color="auto"/>
      </w:divBdr>
    </w:div>
    <w:div w:id="1774592093">
      <w:bodyDiv w:val="1"/>
      <w:marLeft w:val="0"/>
      <w:marRight w:val="0"/>
      <w:marTop w:val="0"/>
      <w:marBottom w:val="0"/>
      <w:divBdr>
        <w:top w:val="none" w:sz="0" w:space="0" w:color="auto"/>
        <w:left w:val="none" w:sz="0" w:space="0" w:color="auto"/>
        <w:bottom w:val="none" w:sz="0" w:space="0" w:color="auto"/>
        <w:right w:val="none" w:sz="0" w:space="0" w:color="auto"/>
      </w:divBdr>
    </w:div>
    <w:div w:id="1779255885">
      <w:bodyDiv w:val="1"/>
      <w:marLeft w:val="0"/>
      <w:marRight w:val="0"/>
      <w:marTop w:val="0"/>
      <w:marBottom w:val="0"/>
      <w:divBdr>
        <w:top w:val="none" w:sz="0" w:space="0" w:color="auto"/>
        <w:left w:val="none" w:sz="0" w:space="0" w:color="auto"/>
        <w:bottom w:val="none" w:sz="0" w:space="0" w:color="auto"/>
        <w:right w:val="none" w:sz="0" w:space="0" w:color="auto"/>
      </w:divBdr>
    </w:div>
    <w:div w:id="1786734309">
      <w:bodyDiv w:val="1"/>
      <w:marLeft w:val="0"/>
      <w:marRight w:val="0"/>
      <w:marTop w:val="0"/>
      <w:marBottom w:val="0"/>
      <w:divBdr>
        <w:top w:val="none" w:sz="0" w:space="0" w:color="auto"/>
        <w:left w:val="none" w:sz="0" w:space="0" w:color="auto"/>
        <w:bottom w:val="none" w:sz="0" w:space="0" w:color="auto"/>
        <w:right w:val="none" w:sz="0" w:space="0" w:color="auto"/>
      </w:divBdr>
    </w:div>
    <w:div w:id="1790198292">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1533350">
      <w:bodyDiv w:val="1"/>
      <w:marLeft w:val="0"/>
      <w:marRight w:val="0"/>
      <w:marTop w:val="0"/>
      <w:marBottom w:val="0"/>
      <w:divBdr>
        <w:top w:val="none" w:sz="0" w:space="0" w:color="auto"/>
        <w:left w:val="none" w:sz="0" w:space="0" w:color="auto"/>
        <w:bottom w:val="none" w:sz="0" w:space="0" w:color="auto"/>
        <w:right w:val="none" w:sz="0" w:space="0" w:color="auto"/>
      </w:divBdr>
    </w:div>
    <w:div w:id="1828397543">
      <w:bodyDiv w:val="1"/>
      <w:marLeft w:val="0"/>
      <w:marRight w:val="0"/>
      <w:marTop w:val="0"/>
      <w:marBottom w:val="0"/>
      <w:divBdr>
        <w:top w:val="none" w:sz="0" w:space="0" w:color="auto"/>
        <w:left w:val="none" w:sz="0" w:space="0" w:color="auto"/>
        <w:bottom w:val="none" w:sz="0" w:space="0" w:color="auto"/>
        <w:right w:val="none" w:sz="0" w:space="0" w:color="auto"/>
      </w:divBdr>
    </w:div>
    <w:div w:id="1831359776">
      <w:bodyDiv w:val="1"/>
      <w:marLeft w:val="0"/>
      <w:marRight w:val="0"/>
      <w:marTop w:val="0"/>
      <w:marBottom w:val="0"/>
      <w:divBdr>
        <w:top w:val="none" w:sz="0" w:space="0" w:color="auto"/>
        <w:left w:val="none" w:sz="0" w:space="0" w:color="auto"/>
        <w:bottom w:val="none" w:sz="0" w:space="0" w:color="auto"/>
        <w:right w:val="none" w:sz="0" w:space="0" w:color="auto"/>
      </w:divBdr>
    </w:div>
    <w:div w:id="1836798224">
      <w:bodyDiv w:val="1"/>
      <w:marLeft w:val="0"/>
      <w:marRight w:val="0"/>
      <w:marTop w:val="0"/>
      <w:marBottom w:val="0"/>
      <w:divBdr>
        <w:top w:val="none" w:sz="0" w:space="0" w:color="auto"/>
        <w:left w:val="none" w:sz="0" w:space="0" w:color="auto"/>
        <w:bottom w:val="none" w:sz="0" w:space="0" w:color="auto"/>
        <w:right w:val="none" w:sz="0" w:space="0" w:color="auto"/>
      </w:divBdr>
    </w:div>
    <w:div w:id="1846245029">
      <w:bodyDiv w:val="1"/>
      <w:marLeft w:val="0"/>
      <w:marRight w:val="0"/>
      <w:marTop w:val="0"/>
      <w:marBottom w:val="0"/>
      <w:divBdr>
        <w:top w:val="none" w:sz="0" w:space="0" w:color="auto"/>
        <w:left w:val="none" w:sz="0" w:space="0" w:color="auto"/>
        <w:bottom w:val="none" w:sz="0" w:space="0" w:color="auto"/>
        <w:right w:val="none" w:sz="0" w:space="0" w:color="auto"/>
      </w:divBdr>
    </w:div>
    <w:div w:id="1862619354">
      <w:bodyDiv w:val="1"/>
      <w:marLeft w:val="0"/>
      <w:marRight w:val="0"/>
      <w:marTop w:val="0"/>
      <w:marBottom w:val="0"/>
      <w:divBdr>
        <w:top w:val="none" w:sz="0" w:space="0" w:color="auto"/>
        <w:left w:val="none" w:sz="0" w:space="0" w:color="auto"/>
        <w:bottom w:val="none" w:sz="0" w:space="0" w:color="auto"/>
        <w:right w:val="none" w:sz="0" w:space="0" w:color="auto"/>
      </w:divBdr>
    </w:div>
    <w:div w:id="1864050052">
      <w:bodyDiv w:val="1"/>
      <w:marLeft w:val="0"/>
      <w:marRight w:val="0"/>
      <w:marTop w:val="0"/>
      <w:marBottom w:val="0"/>
      <w:divBdr>
        <w:top w:val="none" w:sz="0" w:space="0" w:color="auto"/>
        <w:left w:val="none" w:sz="0" w:space="0" w:color="auto"/>
        <w:bottom w:val="none" w:sz="0" w:space="0" w:color="auto"/>
        <w:right w:val="none" w:sz="0" w:space="0" w:color="auto"/>
      </w:divBdr>
    </w:div>
    <w:div w:id="1868331577">
      <w:bodyDiv w:val="1"/>
      <w:marLeft w:val="0"/>
      <w:marRight w:val="0"/>
      <w:marTop w:val="0"/>
      <w:marBottom w:val="0"/>
      <w:divBdr>
        <w:top w:val="none" w:sz="0" w:space="0" w:color="auto"/>
        <w:left w:val="none" w:sz="0" w:space="0" w:color="auto"/>
        <w:bottom w:val="none" w:sz="0" w:space="0" w:color="auto"/>
        <w:right w:val="none" w:sz="0" w:space="0" w:color="auto"/>
      </w:divBdr>
      <w:divsChild>
        <w:div w:id="1248077896">
          <w:marLeft w:val="0"/>
          <w:marRight w:val="0"/>
          <w:marTop w:val="0"/>
          <w:marBottom w:val="0"/>
          <w:divBdr>
            <w:top w:val="none" w:sz="0" w:space="0" w:color="auto"/>
            <w:left w:val="none" w:sz="0" w:space="0" w:color="auto"/>
            <w:bottom w:val="none" w:sz="0" w:space="0" w:color="auto"/>
            <w:right w:val="none" w:sz="0" w:space="0" w:color="auto"/>
          </w:divBdr>
        </w:div>
      </w:divsChild>
    </w:div>
    <w:div w:id="1870484301">
      <w:bodyDiv w:val="1"/>
      <w:marLeft w:val="0"/>
      <w:marRight w:val="0"/>
      <w:marTop w:val="0"/>
      <w:marBottom w:val="0"/>
      <w:divBdr>
        <w:top w:val="none" w:sz="0" w:space="0" w:color="auto"/>
        <w:left w:val="none" w:sz="0" w:space="0" w:color="auto"/>
        <w:bottom w:val="none" w:sz="0" w:space="0" w:color="auto"/>
        <w:right w:val="none" w:sz="0" w:space="0" w:color="auto"/>
      </w:divBdr>
    </w:div>
    <w:div w:id="1886679467">
      <w:bodyDiv w:val="1"/>
      <w:marLeft w:val="0"/>
      <w:marRight w:val="0"/>
      <w:marTop w:val="0"/>
      <w:marBottom w:val="0"/>
      <w:divBdr>
        <w:top w:val="none" w:sz="0" w:space="0" w:color="auto"/>
        <w:left w:val="none" w:sz="0" w:space="0" w:color="auto"/>
        <w:bottom w:val="none" w:sz="0" w:space="0" w:color="auto"/>
        <w:right w:val="none" w:sz="0" w:space="0" w:color="auto"/>
      </w:divBdr>
    </w:div>
    <w:div w:id="1910380732">
      <w:bodyDiv w:val="1"/>
      <w:marLeft w:val="0"/>
      <w:marRight w:val="0"/>
      <w:marTop w:val="0"/>
      <w:marBottom w:val="0"/>
      <w:divBdr>
        <w:top w:val="none" w:sz="0" w:space="0" w:color="auto"/>
        <w:left w:val="none" w:sz="0" w:space="0" w:color="auto"/>
        <w:bottom w:val="none" w:sz="0" w:space="0" w:color="auto"/>
        <w:right w:val="none" w:sz="0" w:space="0" w:color="auto"/>
      </w:divBdr>
    </w:div>
    <w:div w:id="1944260528">
      <w:bodyDiv w:val="1"/>
      <w:marLeft w:val="0"/>
      <w:marRight w:val="0"/>
      <w:marTop w:val="0"/>
      <w:marBottom w:val="0"/>
      <w:divBdr>
        <w:top w:val="none" w:sz="0" w:space="0" w:color="auto"/>
        <w:left w:val="none" w:sz="0" w:space="0" w:color="auto"/>
        <w:bottom w:val="none" w:sz="0" w:space="0" w:color="auto"/>
        <w:right w:val="none" w:sz="0" w:space="0" w:color="auto"/>
      </w:divBdr>
    </w:div>
    <w:div w:id="1947150976">
      <w:bodyDiv w:val="1"/>
      <w:marLeft w:val="0"/>
      <w:marRight w:val="0"/>
      <w:marTop w:val="0"/>
      <w:marBottom w:val="0"/>
      <w:divBdr>
        <w:top w:val="none" w:sz="0" w:space="0" w:color="auto"/>
        <w:left w:val="none" w:sz="0" w:space="0" w:color="auto"/>
        <w:bottom w:val="none" w:sz="0" w:space="0" w:color="auto"/>
        <w:right w:val="none" w:sz="0" w:space="0" w:color="auto"/>
      </w:divBdr>
    </w:div>
    <w:div w:id="1994678194">
      <w:bodyDiv w:val="1"/>
      <w:marLeft w:val="0"/>
      <w:marRight w:val="0"/>
      <w:marTop w:val="0"/>
      <w:marBottom w:val="0"/>
      <w:divBdr>
        <w:top w:val="none" w:sz="0" w:space="0" w:color="auto"/>
        <w:left w:val="none" w:sz="0" w:space="0" w:color="auto"/>
        <w:bottom w:val="none" w:sz="0" w:space="0" w:color="auto"/>
        <w:right w:val="none" w:sz="0" w:space="0" w:color="auto"/>
      </w:divBdr>
    </w:div>
    <w:div w:id="2000957417">
      <w:bodyDiv w:val="1"/>
      <w:marLeft w:val="0"/>
      <w:marRight w:val="0"/>
      <w:marTop w:val="0"/>
      <w:marBottom w:val="0"/>
      <w:divBdr>
        <w:top w:val="none" w:sz="0" w:space="0" w:color="auto"/>
        <w:left w:val="none" w:sz="0" w:space="0" w:color="auto"/>
        <w:bottom w:val="none" w:sz="0" w:space="0" w:color="auto"/>
        <w:right w:val="none" w:sz="0" w:space="0" w:color="auto"/>
      </w:divBdr>
    </w:div>
    <w:div w:id="2017269029">
      <w:bodyDiv w:val="1"/>
      <w:marLeft w:val="0"/>
      <w:marRight w:val="0"/>
      <w:marTop w:val="0"/>
      <w:marBottom w:val="0"/>
      <w:divBdr>
        <w:top w:val="none" w:sz="0" w:space="0" w:color="auto"/>
        <w:left w:val="none" w:sz="0" w:space="0" w:color="auto"/>
        <w:bottom w:val="none" w:sz="0" w:space="0" w:color="auto"/>
        <w:right w:val="none" w:sz="0" w:space="0" w:color="auto"/>
      </w:divBdr>
    </w:div>
    <w:div w:id="2030372069">
      <w:bodyDiv w:val="1"/>
      <w:marLeft w:val="0"/>
      <w:marRight w:val="0"/>
      <w:marTop w:val="0"/>
      <w:marBottom w:val="0"/>
      <w:divBdr>
        <w:top w:val="none" w:sz="0" w:space="0" w:color="auto"/>
        <w:left w:val="none" w:sz="0" w:space="0" w:color="auto"/>
        <w:bottom w:val="none" w:sz="0" w:space="0" w:color="auto"/>
        <w:right w:val="none" w:sz="0" w:space="0" w:color="auto"/>
      </w:divBdr>
    </w:div>
    <w:div w:id="2037348732">
      <w:bodyDiv w:val="1"/>
      <w:marLeft w:val="0"/>
      <w:marRight w:val="0"/>
      <w:marTop w:val="0"/>
      <w:marBottom w:val="0"/>
      <w:divBdr>
        <w:top w:val="none" w:sz="0" w:space="0" w:color="auto"/>
        <w:left w:val="none" w:sz="0" w:space="0" w:color="auto"/>
        <w:bottom w:val="none" w:sz="0" w:space="0" w:color="auto"/>
        <w:right w:val="none" w:sz="0" w:space="0" w:color="auto"/>
      </w:divBdr>
    </w:div>
    <w:div w:id="2073458931">
      <w:bodyDiv w:val="1"/>
      <w:marLeft w:val="0"/>
      <w:marRight w:val="0"/>
      <w:marTop w:val="0"/>
      <w:marBottom w:val="0"/>
      <w:divBdr>
        <w:top w:val="none" w:sz="0" w:space="0" w:color="auto"/>
        <w:left w:val="none" w:sz="0" w:space="0" w:color="auto"/>
        <w:bottom w:val="none" w:sz="0" w:space="0" w:color="auto"/>
        <w:right w:val="none" w:sz="0" w:space="0" w:color="auto"/>
      </w:divBdr>
    </w:div>
    <w:div w:id="2088992395">
      <w:bodyDiv w:val="1"/>
      <w:marLeft w:val="0"/>
      <w:marRight w:val="0"/>
      <w:marTop w:val="0"/>
      <w:marBottom w:val="0"/>
      <w:divBdr>
        <w:top w:val="none" w:sz="0" w:space="0" w:color="auto"/>
        <w:left w:val="none" w:sz="0" w:space="0" w:color="auto"/>
        <w:bottom w:val="none" w:sz="0" w:space="0" w:color="auto"/>
        <w:right w:val="none" w:sz="0" w:space="0" w:color="auto"/>
      </w:divBdr>
    </w:div>
    <w:div w:id="2102988243">
      <w:bodyDiv w:val="1"/>
      <w:marLeft w:val="0"/>
      <w:marRight w:val="0"/>
      <w:marTop w:val="0"/>
      <w:marBottom w:val="0"/>
      <w:divBdr>
        <w:top w:val="none" w:sz="0" w:space="0" w:color="auto"/>
        <w:left w:val="none" w:sz="0" w:space="0" w:color="auto"/>
        <w:bottom w:val="none" w:sz="0" w:space="0" w:color="auto"/>
        <w:right w:val="none" w:sz="0" w:space="0" w:color="auto"/>
      </w:divBdr>
    </w:div>
    <w:div w:id="2117209369">
      <w:bodyDiv w:val="1"/>
      <w:marLeft w:val="0"/>
      <w:marRight w:val="0"/>
      <w:marTop w:val="0"/>
      <w:marBottom w:val="0"/>
      <w:divBdr>
        <w:top w:val="none" w:sz="0" w:space="0" w:color="auto"/>
        <w:left w:val="none" w:sz="0" w:space="0" w:color="auto"/>
        <w:bottom w:val="none" w:sz="0" w:space="0" w:color="auto"/>
        <w:right w:val="none" w:sz="0" w:space="0" w:color="auto"/>
      </w:divBdr>
    </w:div>
    <w:div w:id="2117862969">
      <w:bodyDiv w:val="1"/>
      <w:marLeft w:val="0"/>
      <w:marRight w:val="0"/>
      <w:marTop w:val="0"/>
      <w:marBottom w:val="0"/>
      <w:divBdr>
        <w:top w:val="none" w:sz="0" w:space="0" w:color="auto"/>
        <w:left w:val="none" w:sz="0" w:space="0" w:color="auto"/>
        <w:bottom w:val="none" w:sz="0" w:space="0" w:color="auto"/>
        <w:right w:val="none" w:sz="0" w:space="0" w:color="auto"/>
      </w:divBdr>
    </w:div>
    <w:div w:id="213628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s://dlmtool.github.io/DLMtool/userguide/userguide.pdf"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7.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www.bio.gc.ca/info/intercol/index-en.ph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2D3110-DFDC-4DB4-AC6E-1611B9FD9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30</Pages>
  <Words>4973</Words>
  <Characters>28931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Document de référence  2009/xx</vt:lpstr>
    </vt:vector>
  </TitlesOfParts>
  <Company>DFO</Company>
  <LinksUpToDate>false</LinksUpToDate>
  <CharactersWithSpaces>33837</CharactersWithSpaces>
  <SharedDoc>false</SharedDoc>
  <HLinks>
    <vt:vector size="6" baseType="variant">
      <vt:variant>
        <vt:i4>4128796</vt:i4>
      </vt:variant>
      <vt:variant>
        <vt:i4>5</vt:i4>
      </vt:variant>
      <vt:variant>
        <vt:i4>0</vt:i4>
      </vt:variant>
      <vt:variant>
        <vt:i4>5</vt:i4>
      </vt:variant>
      <vt:variant>
        <vt:lpwstr>http://www.mar.dfo-mpo.gc.ca/science/tmgc/background/FMR 2002_01.pdf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référence  2009/xx</dc:title>
  <dc:creator>clarkk</dc:creator>
  <cp:lastModifiedBy>Maclean, Christina</cp:lastModifiedBy>
  <cp:revision>19</cp:revision>
  <cp:lastPrinted>2020-06-29T13:10:00Z</cp:lastPrinted>
  <dcterms:created xsi:type="dcterms:W3CDTF">2019-10-10T11:03:00Z</dcterms:created>
  <dcterms:modified xsi:type="dcterms:W3CDTF">2020-06-29T16:14:00Z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2020-06-16T15:26:10Z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db8239a7-af90-456b-b1b2-00008d7881af</vt:lpwstr>
  </property>
</Properties>
</file>