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8CA36" w14:textId="32E43141" w:rsidR="00C023C3" w:rsidRPr="000274FA" w:rsidRDefault="00C023C3" w:rsidP="00001E5C">
      <w:pPr>
        <w:pStyle w:val="CoverTitle"/>
        <w:jc w:val="center"/>
        <w:rPr>
          <w:lang w:val="fr-CA"/>
        </w:rPr>
      </w:pPr>
      <w:r w:rsidRPr="000274FA">
        <w:rPr>
          <w:lang w:val="fr-CA"/>
        </w:rPr>
        <w:t>Compte rendu de la réunion de 2019 du Comité d</w:t>
      </w:r>
      <w:r w:rsidR="001B2BE1" w:rsidRPr="000274FA">
        <w:rPr>
          <w:lang w:val="fr-CA"/>
        </w:rPr>
        <w:t>’</w:t>
      </w:r>
      <w:r w:rsidRPr="000274FA">
        <w:rPr>
          <w:lang w:val="fr-CA"/>
        </w:rPr>
        <w:t>évaluation des ressources transfrontalières pour la morue et l</w:t>
      </w:r>
      <w:r w:rsidR="001B2BE1" w:rsidRPr="000274FA">
        <w:rPr>
          <w:lang w:val="fr-CA"/>
        </w:rPr>
        <w:t>’</w:t>
      </w:r>
      <w:r w:rsidRPr="000274FA">
        <w:rPr>
          <w:lang w:val="fr-CA"/>
        </w:rPr>
        <w:t>aiglefin de l</w:t>
      </w:r>
      <w:r w:rsidR="001B2BE1" w:rsidRPr="000274FA">
        <w:rPr>
          <w:lang w:val="fr-CA"/>
        </w:rPr>
        <w:t>’</w:t>
      </w:r>
      <w:r w:rsidRPr="000274FA">
        <w:rPr>
          <w:lang w:val="fr-CA"/>
        </w:rPr>
        <w:t xml:space="preserve">est du </w:t>
      </w:r>
      <w:r w:rsidR="00E8153D" w:rsidRPr="000274FA">
        <w:rPr>
          <w:lang w:val="fr-CA"/>
        </w:rPr>
        <w:t>banc Georges</w:t>
      </w:r>
      <w:r w:rsidRPr="000274FA">
        <w:rPr>
          <w:lang w:val="fr-CA"/>
        </w:rPr>
        <w:t xml:space="preserve"> et la limande à queue jaune du </w:t>
      </w:r>
      <w:r w:rsidR="00E8153D" w:rsidRPr="000274FA">
        <w:rPr>
          <w:lang w:val="fr-CA"/>
        </w:rPr>
        <w:t>banc Georges</w:t>
      </w:r>
    </w:p>
    <w:p w14:paraId="7ED858B2" w14:textId="143BEA79" w:rsidR="00CE6A09" w:rsidRPr="000274FA" w:rsidRDefault="00CE6A09" w:rsidP="00001E5C">
      <w:pPr>
        <w:pStyle w:val="CoverMtgDate"/>
        <w:jc w:val="center"/>
        <w:rPr>
          <w:lang w:val="fr-CA"/>
        </w:rPr>
      </w:pPr>
      <w:r w:rsidRPr="000274FA">
        <w:rPr>
          <w:lang w:val="fr-CA"/>
        </w:rPr>
        <w:t>Le rapport de la réunion s’est tenue</w:t>
      </w:r>
      <w:r w:rsidRPr="000274FA">
        <w:rPr>
          <w:lang w:val="fr-CA"/>
        </w:rPr>
        <w:br/>
        <w:t>Du 9 au 11 juillet 2019</w:t>
      </w:r>
    </w:p>
    <w:p w14:paraId="0F82781A" w14:textId="3D3CB128" w:rsidR="00C515A8" w:rsidRPr="000274FA" w:rsidRDefault="00545346" w:rsidP="00CE6A09">
      <w:pPr>
        <w:pStyle w:val="CoverLocation"/>
        <w:spacing w:before="480" w:after="0"/>
        <w:jc w:val="center"/>
        <w:rPr>
          <w:lang w:val="fr-CA"/>
        </w:rPr>
      </w:pPr>
      <w:r w:rsidRPr="000274FA">
        <w:rPr>
          <w:lang w:val="fr-CA"/>
        </w:rPr>
        <w:t>Cen</w:t>
      </w:r>
      <w:r w:rsidR="00CE6A09" w:rsidRPr="000274FA">
        <w:rPr>
          <w:lang w:val="fr-CA"/>
        </w:rPr>
        <w:t>tre de conférences Harry Hachey</w:t>
      </w:r>
      <w:r w:rsidR="00CE6A09" w:rsidRPr="000274FA">
        <w:rPr>
          <w:lang w:val="fr-CA"/>
        </w:rPr>
        <w:br/>
      </w:r>
      <w:r w:rsidRPr="000274FA">
        <w:rPr>
          <w:lang w:val="fr-CA"/>
        </w:rPr>
        <w:t>Station biologique de St. Andrew</w:t>
      </w:r>
      <w:r w:rsidR="00CE6A09" w:rsidRPr="000274FA">
        <w:rPr>
          <w:lang w:val="fr-CA"/>
        </w:rPr>
        <w:t>s</w:t>
      </w:r>
      <w:r w:rsidR="00CE6A09" w:rsidRPr="000274FA">
        <w:rPr>
          <w:lang w:val="fr-CA"/>
        </w:rPr>
        <w:br/>
      </w:r>
      <w:r w:rsidR="003F1B5F" w:rsidRPr="000274FA">
        <w:rPr>
          <w:lang w:val="fr-CA"/>
        </w:rPr>
        <w:t>St. Andrews (Nouveau</w:t>
      </w:r>
      <w:r w:rsidR="003F1B5F" w:rsidRPr="000274FA">
        <w:rPr>
          <w:lang w:val="fr-CA"/>
        </w:rPr>
        <w:noBreakHyphen/>
      </w:r>
      <w:r w:rsidRPr="000274FA">
        <w:rPr>
          <w:lang w:val="fr-CA"/>
        </w:rPr>
        <w:t>Brunswick)</w:t>
      </w:r>
      <w:r w:rsidR="00CE6A09" w:rsidRPr="000274FA">
        <w:rPr>
          <w:lang w:val="fr-CA"/>
        </w:rPr>
        <w:br/>
        <w:t>Canada</w:t>
      </w:r>
    </w:p>
    <w:p w14:paraId="5D7C2B33" w14:textId="5261063C" w:rsidR="007B2B09" w:rsidRPr="000274FA" w:rsidRDefault="005223A3" w:rsidP="00CE6A09">
      <w:pPr>
        <w:pStyle w:val="CoverChairperson"/>
        <w:jc w:val="center"/>
        <w:rPr>
          <w:lang w:val="fr-CA"/>
        </w:rPr>
      </w:pPr>
      <w:r w:rsidRPr="000274FA">
        <w:rPr>
          <w:lang w:val="fr-CA"/>
        </w:rPr>
        <w:t>Coprésidentes du Comité d</w:t>
      </w:r>
      <w:r w:rsidR="001B2BE1" w:rsidRPr="000274FA">
        <w:rPr>
          <w:lang w:val="fr-CA"/>
        </w:rPr>
        <w:t>’</w:t>
      </w:r>
      <w:r w:rsidRPr="000274FA">
        <w:rPr>
          <w:lang w:val="fr-CA"/>
        </w:rPr>
        <w:t>évaluation des ressources transfrontalières (CERT) : K.J.</w:t>
      </w:r>
      <w:r w:rsidR="00E8153D" w:rsidRPr="000274FA">
        <w:rPr>
          <w:lang w:val="fr-CA"/>
        </w:rPr>
        <w:t> </w:t>
      </w:r>
      <w:r w:rsidRPr="000274FA">
        <w:rPr>
          <w:lang w:val="fr-CA"/>
        </w:rPr>
        <w:t>Clark (Canada)</w:t>
      </w:r>
      <w:r w:rsidRPr="000274FA">
        <w:rPr>
          <w:vertAlign w:val="superscript"/>
          <w:lang w:val="fr-CA"/>
        </w:rPr>
        <w:t>1</w:t>
      </w:r>
      <w:r w:rsidRPr="000274FA">
        <w:rPr>
          <w:lang w:val="fr-CA"/>
        </w:rPr>
        <w:t xml:space="preserve"> et T. Trinko-Lake (É.-U.)</w:t>
      </w:r>
      <w:r w:rsidRPr="000274FA">
        <w:rPr>
          <w:vertAlign w:val="superscript"/>
          <w:lang w:val="fr-CA"/>
        </w:rPr>
        <w:t>2</w:t>
      </w:r>
      <w:r w:rsidR="00CE6A09" w:rsidRPr="000274FA">
        <w:rPr>
          <w:lang w:val="fr-CA"/>
        </w:rPr>
        <w:br/>
      </w:r>
      <w:r w:rsidR="007B2B09" w:rsidRPr="000274FA">
        <w:rPr>
          <w:lang w:val="fr-CA"/>
        </w:rPr>
        <w:t>Président de la réunion : J.D. Neilson</w:t>
      </w:r>
    </w:p>
    <w:p w14:paraId="68279D73" w14:textId="44D8D891" w:rsidR="007B2B09" w:rsidRPr="000274FA" w:rsidRDefault="007B2B09" w:rsidP="00001E5C">
      <w:pPr>
        <w:pStyle w:val="CoverMailingAddress"/>
        <w:jc w:val="center"/>
        <w:rPr>
          <w:lang w:val="fr-CA"/>
        </w:rPr>
      </w:pPr>
      <w:r w:rsidRPr="000274FA">
        <w:rPr>
          <w:vertAlign w:val="superscript"/>
          <w:lang w:val="fr-CA"/>
        </w:rPr>
        <w:t>1</w:t>
      </w:r>
      <w:r w:rsidRPr="000274FA">
        <w:rPr>
          <w:lang w:val="fr-CA"/>
        </w:rPr>
        <w:t>Pêches et Océans Canada</w:t>
      </w:r>
      <w:r w:rsidRPr="000274FA">
        <w:rPr>
          <w:lang w:val="fr-CA"/>
        </w:rPr>
        <w:br/>
        <w:t>Station biologique de St. Andrews</w:t>
      </w:r>
      <w:r w:rsidRPr="000274FA">
        <w:rPr>
          <w:lang w:val="fr-CA"/>
        </w:rPr>
        <w:br/>
        <w:t>St. Andrews (Nouveau</w:t>
      </w:r>
      <w:r w:rsidR="00E8153D" w:rsidRPr="000274FA">
        <w:rPr>
          <w:lang w:val="fr-CA"/>
        </w:rPr>
        <w:t>-</w:t>
      </w:r>
      <w:r w:rsidRPr="000274FA">
        <w:rPr>
          <w:lang w:val="fr-CA"/>
        </w:rPr>
        <w:t>Brunswick)</w:t>
      </w:r>
      <w:r w:rsidR="00E8153D" w:rsidRPr="000274FA">
        <w:rPr>
          <w:lang w:val="fr-CA"/>
        </w:rPr>
        <w:t>,</w:t>
      </w:r>
      <w:r w:rsidRPr="000274FA">
        <w:rPr>
          <w:lang w:val="fr-CA"/>
        </w:rPr>
        <w:t xml:space="preserve"> Canada</w:t>
      </w:r>
    </w:p>
    <w:p w14:paraId="54657DEE" w14:textId="4DF91F3F" w:rsidR="00A0159E" w:rsidRPr="000274FA" w:rsidRDefault="007B2B09" w:rsidP="00001E5C">
      <w:pPr>
        <w:pStyle w:val="CoverMailingAddress"/>
        <w:jc w:val="center"/>
        <w:rPr>
          <w:lang w:val="fr-CA"/>
        </w:rPr>
      </w:pPr>
      <w:r w:rsidRPr="000274FA">
        <w:rPr>
          <w:vertAlign w:val="superscript"/>
          <w:lang w:val="fr-CA"/>
        </w:rPr>
        <w:t>2</w:t>
      </w:r>
      <w:r w:rsidRPr="000274FA">
        <w:rPr>
          <w:lang w:val="fr-CA"/>
        </w:rPr>
        <w:t>National Marine Fisheries Service</w:t>
      </w:r>
      <w:r w:rsidRPr="000274FA">
        <w:rPr>
          <w:lang w:val="fr-CA"/>
        </w:rPr>
        <w:br/>
        <w:t>Northeast Fisheries Science Center</w:t>
      </w:r>
      <w:r w:rsidRPr="000274FA">
        <w:rPr>
          <w:lang w:val="fr-CA"/>
        </w:rPr>
        <w:br/>
        <w:t>Woods Hole (Massachusetts)</w:t>
      </w:r>
      <w:r w:rsidR="00E8153D" w:rsidRPr="000274FA">
        <w:rPr>
          <w:lang w:val="fr-CA"/>
        </w:rPr>
        <w:t>,</w:t>
      </w:r>
      <w:r w:rsidRPr="000274FA">
        <w:rPr>
          <w:lang w:val="fr-CA"/>
        </w:rPr>
        <w:t xml:space="preserve"> États-Unis</w:t>
      </w:r>
    </w:p>
    <w:p w14:paraId="52D04175" w14:textId="173B2E22" w:rsidR="007B2B09" w:rsidRPr="000274FA" w:rsidRDefault="007B2B09" w:rsidP="00001E5C">
      <w:pPr>
        <w:pStyle w:val="CoverMailingAddress"/>
        <w:jc w:val="center"/>
        <w:rPr>
          <w:lang w:val="fr-CA"/>
        </w:rPr>
        <w:sectPr w:rsidR="007B2B09" w:rsidRPr="000274FA" w:rsidSect="00CE6A09">
          <w:headerReference w:type="default" r:id="rId8"/>
          <w:footerReference w:type="even" r:id="rId9"/>
          <w:footerReference w:type="default" r:id="rId10"/>
          <w:pgSz w:w="12240" w:h="15840" w:code="1"/>
          <w:pgMar w:top="1440" w:right="1440" w:bottom="1440" w:left="1440" w:header="720" w:footer="720" w:gutter="0"/>
          <w:cols w:space="720"/>
          <w:vAlign w:val="center"/>
          <w:docGrid w:linePitch="299"/>
        </w:sectPr>
      </w:pPr>
    </w:p>
    <w:p w14:paraId="1A6C08F0" w14:textId="77777777" w:rsidR="00D90E79" w:rsidRPr="000274FA" w:rsidRDefault="00D90E79" w:rsidP="000B1AEC">
      <w:pPr>
        <w:pStyle w:val="ForewordPublishedby2ndpage"/>
        <w:rPr>
          <w:lang w:val="fr-CA"/>
        </w:rPr>
      </w:pPr>
      <w:r w:rsidRPr="000274FA">
        <w:rPr>
          <w:lang w:val="fr-CA"/>
        </w:rPr>
        <w:lastRenderedPageBreak/>
        <w:t>Avant-propos</w:t>
      </w:r>
    </w:p>
    <w:p w14:paraId="3D9F9416" w14:textId="2B7B4B5D" w:rsidR="00FF1FF7" w:rsidRPr="000274FA" w:rsidRDefault="00FF1FF7" w:rsidP="00E82E3D">
      <w:pPr>
        <w:pStyle w:val="BodyText"/>
        <w:rPr>
          <w:lang w:val="fr-CA"/>
        </w:rPr>
      </w:pPr>
      <w:r w:rsidRPr="000274FA">
        <w:rPr>
          <w:lang w:val="fr-CA"/>
        </w:rPr>
        <w:t xml:space="preserve">Le présent compte rendu a pour but de consigner les </w:t>
      </w:r>
      <w:r w:rsidR="00953103" w:rsidRPr="000274FA">
        <w:rPr>
          <w:lang w:val="fr-CA"/>
        </w:rPr>
        <w:t xml:space="preserve">principales </w:t>
      </w:r>
      <w:r w:rsidRPr="000274FA">
        <w:rPr>
          <w:lang w:val="fr-CA"/>
        </w:rPr>
        <w:t>activités et discussions qui ont eu lieu au cours de la réunion. Il peut contenir des recommandations sur les recherches à effectuer</w:t>
      </w:r>
      <w:r w:rsidR="00953103" w:rsidRPr="000274FA">
        <w:rPr>
          <w:lang w:val="fr-CA"/>
        </w:rPr>
        <w:t xml:space="preserve">, </w:t>
      </w:r>
      <w:r w:rsidRPr="000274FA">
        <w:rPr>
          <w:lang w:val="fr-CA"/>
        </w:rPr>
        <w:t xml:space="preserve">des incertitudes </w:t>
      </w:r>
      <w:r w:rsidR="00953103" w:rsidRPr="000274FA">
        <w:rPr>
          <w:lang w:val="fr-CA"/>
        </w:rPr>
        <w:t>et l</w:t>
      </w:r>
      <w:r w:rsidRPr="000274FA">
        <w:rPr>
          <w:lang w:val="fr-CA"/>
        </w:rPr>
        <w:t xml:space="preserve">es justifications des décisions prises pendant la réunion. Le compte rendu </w:t>
      </w:r>
      <w:r w:rsidR="00953103" w:rsidRPr="000274FA">
        <w:rPr>
          <w:lang w:val="fr-CA"/>
        </w:rPr>
        <w:t>peut aussi faire l’état de données, d’analyses ou d’interprétations passées en revue et rejetées pour des raisons scientifiques, en donnant la raison du rejet</w:t>
      </w:r>
      <w:r w:rsidRPr="000274FA">
        <w:rPr>
          <w:lang w:val="fr-CA"/>
        </w:rPr>
        <w:t xml:space="preserve">. Bien que les interprétations et les opinions contenues dans le présent rapport puissent être inexactes ou propres à induire en erreur, elles sont quand même reproduites aussi fidèlement que possible afin de refléter les échanges tenus au cours de la réunion. Ainsi, </w:t>
      </w:r>
      <w:r w:rsidR="00953103" w:rsidRPr="000274FA">
        <w:rPr>
          <w:lang w:val="fr-CA"/>
        </w:rPr>
        <w:t>aucune partie de ce rapport ne doit être considérée en tant que reflet des conclusions de la réunion, à moins d’une indication précise en ce sens</w:t>
      </w:r>
      <w:r w:rsidRPr="000274FA">
        <w:rPr>
          <w:lang w:val="fr-CA"/>
        </w:rPr>
        <w:t xml:space="preserve">. De plus, un examen ultérieur </w:t>
      </w:r>
      <w:r w:rsidR="00953103" w:rsidRPr="000274FA">
        <w:rPr>
          <w:lang w:val="fr-CA"/>
        </w:rPr>
        <w:t xml:space="preserve">de la question </w:t>
      </w:r>
      <w:r w:rsidRPr="000274FA">
        <w:rPr>
          <w:lang w:val="fr-CA"/>
        </w:rPr>
        <w:t xml:space="preserve">pourrait entraîner des changements aux conclusions, notamment si des renseignements supplémentaires pertinents, non disponibles au moment de la réunion, sont fournis par la suite. </w:t>
      </w:r>
      <w:r w:rsidR="00953103" w:rsidRPr="000274FA">
        <w:rPr>
          <w:lang w:val="fr-CA"/>
        </w:rPr>
        <w:t>Finalement</w:t>
      </w:r>
      <w:r w:rsidRPr="000274FA">
        <w:rPr>
          <w:lang w:val="fr-CA"/>
        </w:rPr>
        <w:t>, dans les rares cas où des opinions divergentes sont exprimées officiellement, celles-ci sont également consignées dans les annexes du compte rendu.</w:t>
      </w:r>
    </w:p>
    <w:p w14:paraId="2E00F2F9" w14:textId="77777777" w:rsidR="004F1A51" w:rsidRPr="000274FA" w:rsidRDefault="004F1A51" w:rsidP="000B1AEC">
      <w:pPr>
        <w:pStyle w:val="ForewordPublishedby2ndpage"/>
        <w:rPr>
          <w:lang w:val="fr-CA"/>
        </w:rPr>
      </w:pPr>
      <w:r w:rsidRPr="000274FA">
        <w:rPr>
          <w:lang w:val="fr-CA"/>
        </w:rPr>
        <w:t>Publié par :</w:t>
      </w:r>
    </w:p>
    <w:p w14:paraId="75761245" w14:textId="77777777" w:rsidR="004F1A51" w:rsidRPr="000274FA" w:rsidRDefault="004F1A51" w:rsidP="00C67A37">
      <w:pPr>
        <w:pStyle w:val="BodyTextcentered"/>
        <w:rPr>
          <w:lang w:val="fr-CA"/>
        </w:rPr>
      </w:pPr>
      <w:r w:rsidRPr="000274FA">
        <w:rPr>
          <w:lang w:val="fr-CA"/>
        </w:rPr>
        <w:t>Pêches et Océans Canada</w:t>
      </w:r>
      <w:r w:rsidRPr="000274FA">
        <w:rPr>
          <w:lang w:val="fr-CA"/>
        </w:rPr>
        <w:br/>
        <w:t>Secrétariat canadien de consultation scientifique</w:t>
      </w:r>
      <w:r w:rsidRPr="000274FA">
        <w:rPr>
          <w:lang w:val="fr-CA"/>
        </w:rPr>
        <w:br/>
        <w:t>200, rue Kent</w:t>
      </w:r>
      <w:r w:rsidRPr="000274FA">
        <w:rPr>
          <w:lang w:val="fr-CA"/>
        </w:rPr>
        <w:br/>
        <w:t>Ottawa (Ontario)  K1A 0E6</w:t>
      </w:r>
    </w:p>
    <w:p w14:paraId="4DA7DCC6" w14:textId="2A3F66C6" w:rsidR="004F1A51" w:rsidRPr="000274FA" w:rsidRDefault="00CE6A09" w:rsidP="00286232">
      <w:pPr>
        <w:pStyle w:val="BodyText"/>
        <w:jc w:val="center"/>
        <w:rPr>
          <w:lang w:val="fr-CA"/>
        </w:rPr>
      </w:pPr>
      <w:hyperlink r:id="rId11" w:tooltip="Pêches et Océans Canada/Secrétariat canadien de consultation scientifique" w:history="1">
        <w:r w:rsidR="00DC454D" w:rsidRPr="000274FA">
          <w:rPr>
            <w:rStyle w:val="Hyperlink"/>
            <w:lang w:val="fr-CA"/>
          </w:rPr>
          <w:t>www.dfo-mpo.gc.ca/csas-sccs/</w:t>
        </w:r>
      </w:hyperlink>
      <w:r w:rsidR="00DC454D" w:rsidRPr="000274FA">
        <w:rPr>
          <w:lang w:val="fr-CA"/>
        </w:rPr>
        <w:t xml:space="preserve"> </w:t>
      </w:r>
      <w:r w:rsidR="00DC454D" w:rsidRPr="000274FA">
        <w:rPr>
          <w:lang w:val="fr-CA"/>
        </w:rPr>
        <w:br/>
      </w:r>
      <w:hyperlink r:id="rId12" w:tooltip="Envoyer un courriel au Secrétariat canadien de consultation scientifique" w:history="1">
        <w:r w:rsidR="00DC454D" w:rsidRPr="000274FA">
          <w:rPr>
            <w:rStyle w:val="Hyperlink"/>
            <w:lang w:val="fr-CA"/>
          </w:rPr>
          <w:t>csas-sccs@dfo-mpo.gc.ca</w:t>
        </w:r>
      </w:hyperlink>
    </w:p>
    <w:p w14:paraId="3BCD6D93" w14:textId="77777777" w:rsidR="004F1A51" w:rsidRPr="000274FA" w:rsidRDefault="00EB4A94" w:rsidP="00286232">
      <w:pPr>
        <w:pStyle w:val="BodyText"/>
        <w:jc w:val="center"/>
        <w:rPr>
          <w:lang w:val="fr-CA"/>
        </w:rPr>
      </w:pPr>
      <w:r w:rsidRPr="000274FA">
        <w:rPr>
          <w:noProof/>
          <w:lang w:val="fr-CA"/>
        </w:rPr>
        <w:drawing>
          <wp:inline distT="0" distB="0" distL="0" distR="0" wp14:anchorId="6BC6B4F6" wp14:editId="411939A1">
            <wp:extent cx="476250" cy="476250"/>
            <wp:effectExtent l="19050" t="0" r="0" b="0"/>
            <wp:docPr id="1" name="Picture 3" descr="please re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476250" cy="476250"/>
                    </a:xfrm>
                    <a:prstGeom prst="rect">
                      <a:avLst/>
                    </a:prstGeom>
                    <a:noFill/>
                  </pic:spPr>
                </pic:pic>
              </a:graphicData>
            </a:graphic>
          </wp:inline>
        </w:drawing>
      </w:r>
    </w:p>
    <w:p w14:paraId="52F16B7B" w14:textId="3BE3193E" w:rsidR="0080019E" w:rsidRPr="000274FA" w:rsidRDefault="00DE44CE" w:rsidP="00286232">
      <w:pPr>
        <w:pStyle w:val="BodyText"/>
        <w:jc w:val="center"/>
        <w:rPr>
          <w:lang w:val="fr-CA"/>
        </w:rPr>
      </w:pPr>
      <w:r w:rsidRPr="000274FA">
        <w:rPr>
          <w:lang w:val="fr-CA"/>
        </w:rPr>
        <w:t>©</w:t>
      </w:r>
      <w:r w:rsidRPr="000274FA">
        <w:rPr>
          <w:rStyle w:val="BodyTextcenteredChar"/>
          <w:lang w:val="fr-CA"/>
        </w:rPr>
        <w:t xml:space="preserve"> Sa Majesté la Reine du chef du Canada, 2020</w:t>
      </w:r>
      <w:r w:rsidRPr="000274FA">
        <w:rPr>
          <w:rStyle w:val="BodyTextcenteredChar"/>
          <w:lang w:val="fr-CA"/>
        </w:rPr>
        <w:br/>
      </w:r>
      <w:r w:rsidR="00B56E06" w:rsidRPr="000274FA">
        <w:rPr>
          <w:lang w:val="fr-CA"/>
        </w:rPr>
        <w:t>ISSN 2292-4264</w:t>
      </w:r>
    </w:p>
    <w:p w14:paraId="12B527AD" w14:textId="77777777" w:rsidR="0014186E" w:rsidRPr="000274FA" w:rsidRDefault="0014186E" w:rsidP="009411F2">
      <w:pPr>
        <w:pStyle w:val="BodyTextBold"/>
        <w:rPr>
          <w:lang w:val="fr-CA"/>
        </w:rPr>
      </w:pPr>
      <w:r w:rsidRPr="000274FA">
        <w:rPr>
          <w:lang w:val="fr-CA"/>
        </w:rPr>
        <w:t>La présente publication doit être citée comme suit </w:t>
      </w:r>
      <w:r w:rsidRPr="000274FA">
        <w:rPr>
          <w:b w:val="0"/>
          <w:lang w:val="fr-CA"/>
        </w:rPr>
        <w:t xml:space="preserve">: </w:t>
      </w:r>
    </w:p>
    <w:p w14:paraId="4ABFD118" w14:textId="70BFD5D3" w:rsidR="0014186E" w:rsidRPr="000274FA" w:rsidRDefault="00E8153D" w:rsidP="00285CAB">
      <w:pPr>
        <w:pStyle w:val="citation"/>
        <w:rPr>
          <w:lang w:val="fr-CA"/>
        </w:rPr>
      </w:pPr>
      <w:r w:rsidRPr="000274FA">
        <w:rPr>
          <w:lang w:val="fr-CA"/>
        </w:rPr>
        <w:t>Clark, K.J. et Trinko-Lake, T.</w:t>
      </w:r>
      <w:r w:rsidR="00D80605" w:rsidRPr="000274FA">
        <w:rPr>
          <w:lang w:val="fr-CA"/>
        </w:rPr>
        <w:t> </w:t>
      </w:r>
      <w:r w:rsidR="00B56E06" w:rsidRPr="000274FA">
        <w:rPr>
          <w:lang w:val="fr-CA"/>
        </w:rPr>
        <w:t>2020</w:t>
      </w:r>
      <w:r w:rsidRPr="000274FA">
        <w:rPr>
          <w:lang w:val="fr-CA"/>
        </w:rPr>
        <w:t xml:space="preserve">. Compte rendu </w:t>
      </w:r>
      <w:r w:rsidR="00B56E06" w:rsidRPr="000274FA">
        <w:rPr>
          <w:lang w:val="fr-CA"/>
        </w:rPr>
        <w:t xml:space="preserve">de la réunion de 2019 </w:t>
      </w:r>
      <w:r w:rsidRPr="000274FA">
        <w:rPr>
          <w:lang w:val="fr-CA"/>
        </w:rPr>
        <w:t xml:space="preserve">du Comité d’évaluation des ressources transfrontalières pour la morue et l’aiglefin de l’est du banc Georges et la limande </w:t>
      </w:r>
      <w:r w:rsidR="00953103" w:rsidRPr="000274FA">
        <w:rPr>
          <w:lang w:val="fr-CA"/>
        </w:rPr>
        <w:t>à que</w:t>
      </w:r>
      <w:r w:rsidR="00B56E06" w:rsidRPr="000274FA">
        <w:rPr>
          <w:lang w:val="fr-CA"/>
        </w:rPr>
        <w:t>ue jaune du banc Georges. C</w:t>
      </w:r>
      <w:r w:rsidRPr="000274FA">
        <w:rPr>
          <w:lang w:val="fr-CA"/>
        </w:rPr>
        <w:t>ompte rendu du CERT</w:t>
      </w:r>
      <w:r w:rsidR="00D80605" w:rsidRPr="000274FA">
        <w:rPr>
          <w:lang w:val="fr-CA"/>
        </w:rPr>
        <w:t> </w:t>
      </w:r>
      <w:r w:rsidRPr="000274FA">
        <w:rPr>
          <w:lang w:val="fr-CA"/>
        </w:rPr>
        <w:t xml:space="preserve">2019/001. </w:t>
      </w:r>
    </w:p>
    <w:p w14:paraId="3BC556DE" w14:textId="29DDA2A2" w:rsidR="00285CAB" w:rsidRPr="000274FA" w:rsidRDefault="00285CAB" w:rsidP="009411F2">
      <w:pPr>
        <w:pStyle w:val="BodyTextBoldItallics"/>
        <w:rPr>
          <w:lang w:val="fr-CA"/>
        </w:rPr>
      </w:pPr>
      <w:r w:rsidRPr="000274FA">
        <w:rPr>
          <w:lang w:val="fr-CA"/>
        </w:rPr>
        <w:t xml:space="preserve">Aussi disponible en </w:t>
      </w:r>
      <w:r w:rsidR="00E8153D" w:rsidRPr="000274FA">
        <w:rPr>
          <w:lang w:val="fr-CA"/>
        </w:rPr>
        <w:t>anglais </w:t>
      </w:r>
      <w:r w:rsidRPr="000274FA">
        <w:rPr>
          <w:b w:val="0"/>
          <w:lang w:val="fr-CA"/>
        </w:rPr>
        <w:t xml:space="preserve">: </w:t>
      </w:r>
    </w:p>
    <w:p w14:paraId="427768E1" w14:textId="610FC5AE" w:rsidR="00C76A56" w:rsidRPr="000274FA" w:rsidRDefault="00B56E06" w:rsidP="00B56E06">
      <w:pPr>
        <w:pStyle w:val="citation-translated"/>
        <w:rPr>
          <w:lang w:val="fr-CA"/>
        </w:rPr>
      </w:pPr>
      <w:r w:rsidRPr="000274FA">
        <w:rPr>
          <w:lang w:val="fr-CA"/>
        </w:rPr>
        <w:t xml:space="preserve">Clark, K.J. and Trinko-Lake, T. 2020. Proceedings of the 2019 Transboundary Resources Assessment Committee for Eastern Georges Bank Cod and Haddock, and Georges Bank Yellowtail Flounder. TRAC Proceed. Ser. 2019/001. </w:t>
      </w:r>
    </w:p>
    <w:p w14:paraId="1A222BD6" w14:textId="77777777" w:rsidR="00285CAB" w:rsidRPr="000274FA" w:rsidRDefault="00285CAB" w:rsidP="00285CAB">
      <w:pPr>
        <w:pStyle w:val="citation"/>
        <w:rPr>
          <w:b/>
          <w:i/>
          <w:lang w:val="fr-CA"/>
        </w:rPr>
        <w:sectPr w:rsidR="00285CAB" w:rsidRPr="000274FA" w:rsidSect="000B1AEC">
          <w:headerReference w:type="default" r:id="rId14"/>
          <w:footerReference w:type="default" r:id="rId15"/>
          <w:pgSz w:w="12240" w:h="15840" w:code="1"/>
          <w:pgMar w:top="1440" w:right="1440" w:bottom="1440" w:left="1440" w:header="709" w:footer="618" w:gutter="0"/>
          <w:cols w:space="720"/>
          <w:vAlign w:val="center"/>
        </w:sectPr>
      </w:pPr>
    </w:p>
    <w:sdt>
      <w:sdtPr>
        <w:rPr>
          <w:rFonts w:ascii="Arial" w:eastAsia="Times New Roman" w:hAnsi="Arial" w:cs="Times New Roman"/>
          <w:color w:val="auto"/>
          <w:sz w:val="22"/>
          <w:szCs w:val="20"/>
          <w:lang w:val="fr-CA"/>
        </w:rPr>
        <w:id w:val="-106354618"/>
        <w:docPartObj>
          <w:docPartGallery w:val="Table of Contents"/>
          <w:docPartUnique/>
        </w:docPartObj>
      </w:sdtPr>
      <w:sdtEndPr>
        <w:rPr>
          <w:b/>
          <w:caps w:val="0"/>
          <w:noProof/>
        </w:rPr>
      </w:sdtEndPr>
      <w:sdtContent>
        <w:p w14:paraId="5AB671E5" w14:textId="10652270" w:rsidR="00354A60" w:rsidRPr="000274FA" w:rsidRDefault="00354A60" w:rsidP="00704AAA">
          <w:pPr>
            <w:pStyle w:val="TOCHeading"/>
            <w:jc w:val="center"/>
            <w:rPr>
              <w:rFonts w:ascii="Arial" w:hAnsi="Arial" w:cs="Arial"/>
              <w:b/>
              <w:caps w:val="0"/>
              <w:color w:val="000000" w:themeColor="text1"/>
              <w:sz w:val="24"/>
              <w:szCs w:val="24"/>
              <w:lang w:val="fr-CA"/>
            </w:rPr>
          </w:pPr>
          <w:r w:rsidRPr="000274FA">
            <w:rPr>
              <w:rFonts w:ascii="Arial" w:hAnsi="Arial"/>
              <w:b/>
              <w:color w:val="000000" w:themeColor="text1"/>
              <w:sz w:val="24"/>
              <w:szCs w:val="24"/>
              <w:lang w:val="fr-CA"/>
            </w:rPr>
            <w:t>Table des matières</w:t>
          </w:r>
        </w:p>
        <w:p w14:paraId="188EFD8F" w14:textId="5D7B802A" w:rsidR="009059E9" w:rsidRDefault="00354A60">
          <w:pPr>
            <w:pStyle w:val="TOC1"/>
            <w:rPr>
              <w:rFonts w:asciiTheme="minorHAnsi" w:eastAsiaTheme="minorEastAsia" w:hAnsiTheme="minorHAnsi" w:cstheme="minorBidi"/>
              <w:caps w:val="0"/>
              <w:noProof/>
              <w:szCs w:val="22"/>
            </w:rPr>
          </w:pPr>
          <w:r w:rsidRPr="000274FA">
            <w:rPr>
              <w:lang w:val="fr-CA"/>
            </w:rPr>
            <w:fldChar w:fldCharType="begin"/>
          </w:r>
          <w:r w:rsidRPr="000274FA">
            <w:rPr>
              <w:lang w:val="fr-CA"/>
            </w:rPr>
            <w:instrText xml:space="preserve"> TOC \o "1-3" \h \z \u </w:instrText>
          </w:r>
          <w:r w:rsidRPr="000274FA">
            <w:rPr>
              <w:lang w:val="fr-CA"/>
            </w:rPr>
            <w:fldChar w:fldCharType="separate"/>
          </w:r>
          <w:hyperlink w:anchor="_Toc44059135" w:history="1">
            <w:r w:rsidR="009059E9" w:rsidRPr="00C42F6F">
              <w:rPr>
                <w:rStyle w:val="Hyperlink"/>
                <w:noProof/>
                <w:lang w:val="fr-CA"/>
              </w:rPr>
              <w:t>RÉSUMÉ</w:t>
            </w:r>
            <w:r w:rsidR="009059E9">
              <w:rPr>
                <w:noProof/>
                <w:webHidden/>
              </w:rPr>
              <w:tab/>
            </w:r>
            <w:r w:rsidR="009059E9">
              <w:rPr>
                <w:noProof/>
                <w:webHidden/>
              </w:rPr>
              <w:fldChar w:fldCharType="begin"/>
            </w:r>
            <w:r w:rsidR="009059E9">
              <w:rPr>
                <w:noProof/>
                <w:webHidden/>
              </w:rPr>
              <w:instrText xml:space="preserve"> PAGEREF _Toc44059135 \h </w:instrText>
            </w:r>
            <w:r w:rsidR="009059E9">
              <w:rPr>
                <w:noProof/>
                <w:webHidden/>
              </w:rPr>
            </w:r>
            <w:r w:rsidR="009059E9">
              <w:rPr>
                <w:noProof/>
                <w:webHidden/>
              </w:rPr>
              <w:fldChar w:fldCharType="separate"/>
            </w:r>
            <w:r w:rsidR="009059E9">
              <w:rPr>
                <w:noProof/>
                <w:webHidden/>
              </w:rPr>
              <w:t>iv</w:t>
            </w:r>
            <w:r w:rsidR="009059E9">
              <w:rPr>
                <w:noProof/>
                <w:webHidden/>
              </w:rPr>
              <w:fldChar w:fldCharType="end"/>
            </w:r>
          </w:hyperlink>
        </w:p>
        <w:p w14:paraId="40A2209B" w14:textId="184D00D9" w:rsidR="009059E9" w:rsidRDefault="009059E9">
          <w:pPr>
            <w:pStyle w:val="TOC1"/>
            <w:rPr>
              <w:rFonts w:asciiTheme="minorHAnsi" w:eastAsiaTheme="minorEastAsia" w:hAnsiTheme="minorHAnsi" w:cstheme="minorBidi"/>
              <w:caps w:val="0"/>
              <w:noProof/>
              <w:szCs w:val="22"/>
            </w:rPr>
          </w:pPr>
          <w:hyperlink w:anchor="_Toc44059136" w:history="1">
            <w:r w:rsidRPr="00C42F6F">
              <w:rPr>
                <w:rStyle w:val="Hyperlink"/>
                <w:noProof/>
                <w:lang w:val="fr-CA"/>
              </w:rPr>
              <w:t>INTRODUCTION</w:t>
            </w:r>
            <w:r>
              <w:rPr>
                <w:noProof/>
                <w:webHidden/>
              </w:rPr>
              <w:tab/>
            </w:r>
            <w:r>
              <w:rPr>
                <w:noProof/>
                <w:webHidden/>
              </w:rPr>
              <w:fldChar w:fldCharType="begin"/>
            </w:r>
            <w:r>
              <w:rPr>
                <w:noProof/>
                <w:webHidden/>
              </w:rPr>
              <w:instrText xml:space="preserve"> PAGEREF _Toc44059136 \h </w:instrText>
            </w:r>
            <w:r>
              <w:rPr>
                <w:noProof/>
                <w:webHidden/>
              </w:rPr>
            </w:r>
            <w:r>
              <w:rPr>
                <w:noProof/>
                <w:webHidden/>
              </w:rPr>
              <w:fldChar w:fldCharType="separate"/>
            </w:r>
            <w:r>
              <w:rPr>
                <w:noProof/>
                <w:webHidden/>
              </w:rPr>
              <w:t>1</w:t>
            </w:r>
            <w:r>
              <w:rPr>
                <w:noProof/>
                <w:webHidden/>
              </w:rPr>
              <w:fldChar w:fldCharType="end"/>
            </w:r>
          </w:hyperlink>
        </w:p>
        <w:p w14:paraId="26C9A2FE" w14:textId="742E19A6" w:rsidR="009059E9" w:rsidRDefault="009059E9">
          <w:pPr>
            <w:pStyle w:val="TOC2"/>
            <w:tabs>
              <w:tab w:val="right" w:leader="dot" w:pos="9350"/>
            </w:tabs>
            <w:rPr>
              <w:rFonts w:asciiTheme="minorHAnsi" w:eastAsiaTheme="minorEastAsia" w:hAnsiTheme="minorHAnsi" w:cstheme="minorBidi"/>
              <w:caps w:val="0"/>
              <w:noProof/>
              <w:szCs w:val="22"/>
            </w:rPr>
          </w:pPr>
          <w:hyperlink w:anchor="_Toc44059137" w:history="1">
            <w:r w:rsidRPr="00C42F6F">
              <w:rPr>
                <w:rStyle w:val="Hyperlink"/>
                <w:noProof/>
                <w:lang w:val="fr-CA"/>
              </w:rPr>
              <w:t>Limande à queue jaune du banc Georges</w:t>
            </w:r>
            <w:r>
              <w:rPr>
                <w:noProof/>
                <w:webHidden/>
              </w:rPr>
              <w:tab/>
            </w:r>
            <w:r>
              <w:rPr>
                <w:noProof/>
                <w:webHidden/>
              </w:rPr>
              <w:fldChar w:fldCharType="begin"/>
            </w:r>
            <w:r>
              <w:rPr>
                <w:noProof/>
                <w:webHidden/>
              </w:rPr>
              <w:instrText xml:space="preserve"> PAGEREF _Toc44059137 \h </w:instrText>
            </w:r>
            <w:r>
              <w:rPr>
                <w:noProof/>
                <w:webHidden/>
              </w:rPr>
            </w:r>
            <w:r>
              <w:rPr>
                <w:noProof/>
                <w:webHidden/>
              </w:rPr>
              <w:fldChar w:fldCharType="separate"/>
            </w:r>
            <w:r>
              <w:rPr>
                <w:noProof/>
                <w:webHidden/>
              </w:rPr>
              <w:t>1</w:t>
            </w:r>
            <w:r>
              <w:rPr>
                <w:noProof/>
                <w:webHidden/>
              </w:rPr>
              <w:fldChar w:fldCharType="end"/>
            </w:r>
          </w:hyperlink>
        </w:p>
        <w:p w14:paraId="207EA518" w14:textId="3097CB58" w:rsidR="009059E9" w:rsidRDefault="009059E9">
          <w:pPr>
            <w:pStyle w:val="TOC3"/>
            <w:tabs>
              <w:tab w:val="right" w:leader="dot" w:pos="9350"/>
            </w:tabs>
            <w:rPr>
              <w:rFonts w:asciiTheme="minorHAnsi" w:eastAsiaTheme="minorEastAsia" w:hAnsiTheme="minorHAnsi" w:cstheme="minorBidi"/>
              <w:noProof/>
            </w:rPr>
          </w:pPr>
          <w:hyperlink w:anchor="_Toc44059138" w:history="1">
            <w:r w:rsidRPr="00C42F6F">
              <w:rPr>
                <w:rStyle w:val="Hyperlink"/>
                <w:noProof/>
              </w:rPr>
              <w:t>Évaluation du stock de limande à queue jaune du banc Georges pour 2019</w:t>
            </w:r>
            <w:r>
              <w:rPr>
                <w:noProof/>
                <w:webHidden/>
              </w:rPr>
              <w:tab/>
            </w:r>
            <w:r>
              <w:rPr>
                <w:noProof/>
                <w:webHidden/>
              </w:rPr>
              <w:fldChar w:fldCharType="begin"/>
            </w:r>
            <w:r>
              <w:rPr>
                <w:noProof/>
                <w:webHidden/>
              </w:rPr>
              <w:instrText xml:space="preserve"> PAGEREF _Toc44059138 \h </w:instrText>
            </w:r>
            <w:r>
              <w:rPr>
                <w:noProof/>
                <w:webHidden/>
              </w:rPr>
            </w:r>
            <w:r>
              <w:rPr>
                <w:noProof/>
                <w:webHidden/>
              </w:rPr>
              <w:fldChar w:fldCharType="separate"/>
            </w:r>
            <w:r>
              <w:rPr>
                <w:noProof/>
                <w:webHidden/>
              </w:rPr>
              <w:t>1</w:t>
            </w:r>
            <w:r>
              <w:rPr>
                <w:noProof/>
                <w:webHidden/>
              </w:rPr>
              <w:fldChar w:fldCharType="end"/>
            </w:r>
          </w:hyperlink>
        </w:p>
        <w:p w14:paraId="359053C0" w14:textId="0E1E36BA" w:rsidR="009059E9" w:rsidRDefault="009059E9">
          <w:pPr>
            <w:pStyle w:val="TOC3"/>
            <w:tabs>
              <w:tab w:val="right" w:leader="dot" w:pos="9350"/>
            </w:tabs>
            <w:rPr>
              <w:rFonts w:asciiTheme="minorHAnsi" w:eastAsiaTheme="minorEastAsia" w:hAnsiTheme="minorHAnsi" w:cstheme="minorBidi"/>
              <w:noProof/>
            </w:rPr>
          </w:pPr>
          <w:hyperlink w:anchor="_Toc44059139" w:history="1">
            <w:r w:rsidRPr="00C42F6F">
              <w:rPr>
                <w:rStyle w:val="Hyperlink"/>
                <w:noProof/>
              </w:rPr>
              <w:t>Estimations tirées des relevés par dragage du pétoncle à l’échelle de l’industrie effectués par le VIMS</w:t>
            </w:r>
            <w:r>
              <w:rPr>
                <w:noProof/>
                <w:webHidden/>
              </w:rPr>
              <w:tab/>
            </w:r>
            <w:r>
              <w:rPr>
                <w:noProof/>
                <w:webHidden/>
              </w:rPr>
              <w:fldChar w:fldCharType="begin"/>
            </w:r>
            <w:r>
              <w:rPr>
                <w:noProof/>
                <w:webHidden/>
              </w:rPr>
              <w:instrText xml:space="preserve"> PAGEREF _Toc44059139 \h </w:instrText>
            </w:r>
            <w:r>
              <w:rPr>
                <w:noProof/>
                <w:webHidden/>
              </w:rPr>
            </w:r>
            <w:r>
              <w:rPr>
                <w:noProof/>
                <w:webHidden/>
              </w:rPr>
              <w:fldChar w:fldCharType="separate"/>
            </w:r>
            <w:r>
              <w:rPr>
                <w:noProof/>
                <w:webHidden/>
              </w:rPr>
              <w:t>7</w:t>
            </w:r>
            <w:r>
              <w:rPr>
                <w:noProof/>
                <w:webHidden/>
              </w:rPr>
              <w:fldChar w:fldCharType="end"/>
            </w:r>
          </w:hyperlink>
        </w:p>
        <w:p w14:paraId="7CE9B1E8" w14:textId="1BDC96B2" w:rsidR="009059E9" w:rsidRDefault="009059E9">
          <w:pPr>
            <w:pStyle w:val="TOC2"/>
            <w:tabs>
              <w:tab w:val="right" w:leader="dot" w:pos="9350"/>
            </w:tabs>
            <w:rPr>
              <w:rFonts w:asciiTheme="minorHAnsi" w:eastAsiaTheme="minorEastAsia" w:hAnsiTheme="minorHAnsi" w:cstheme="minorBidi"/>
              <w:caps w:val="0"/>
              <w:noProof/>
              <w:szCs w:val="22"/>
            </w:rPr>
          </w:pPr>
          <w:hyperlink w:anchor="_Toc44059140" w:history="1">
            <w:r w:rsidRPr="00C42F6F">
              <w:rPr>
                <w:rStyle w:val="Hyperlink"/>
                <w:noProof/>
              </w:rPr>
              <w:t>Aiglefin de l’est du banc Georges</w:t>
            </w:r>
            <w:r>
              <w:rPr>
                <w:noProof/>
                <w:webHidden/>
              </w:rPr>
              <w:tab/>
            </w:r>
            <w:r>
              <w:rPr>
                <w:noProof/>
                <w:webHidden/>
              </w:rPr>
              <w:fldChar w:fldCharType="begin"/>
            </w:r>
            <w:r>
              <w:rPr>
                <w:noProof/>
                <w:webHidden/>
              </w:rPr>
              <w:instrText xml:space="preserve"> PAGEREF _Toc44059140 \h </w:instrText>
            </w:r>
            <w:r>
              <w:rPr>
                <w:noProof/>
                <w:webHidden/>
              </w:rPr>
            </w:r>
            <w:r>
              <w:rPr>
                <w:noProof/>
                <w:webHidden/>
              </w:rPr>
              <w:fldChar w:fldCharType="separate"/>
            </w:r>
            <w:r>
              <w:rPr>
                <w:noProof/>
                <w:webHidden/>
              </w:rPr>
              <w:t>8</w:t>
            </w:r>
            <w:r>
              <w:rPr>
                <w:noProof/>
                <w:webHidden/>
              </w:rPr>
              <w:fldChar w:fldCharType="end"/>
            </w:r>
          </w:hyperlink>
        </w:p>
        <w:p w14:paraId="2C5B0439" w14:textId="05180A27" w:rsidR="009059E9" w:rsidRDefault="009059E9">
          <w:pPr>
            <w:pStyle w:val="TOC3"/>
            <w:tabs>
              <w:tab w:val="right" w:leader="dot" w:pos="9350"/>
            </w:tabs>
            <w:rPr>
              <w:rFonts w:asciiTheme="minorHAnsi" w:eastAsiaTheme="minorEastAsia" w:hAnsiTheme="minorHAnsi" w:cstheme="minorBidi"/>
              <w:noProof/>
            </w:rPr>
          </w:pPr>
          <w:hyperlink w:anchor="_Toc44059141" w:history="1">
            <w:r w:rsidRPr="00C42F6F">
              <w:rPr>
                <w:rStyle w:val="Hyperlink"/>
                <w:noProof/>
                <w:lang w:val="fr-FR"/>
              </w:rPr>
              <w:t>Évaluation de l’aiglefin de l’est du banc Georges pour 2019</w:t>
            </w:r>
            <w:r>
              <w:rPr>
                <w:noProof/>
                <w:webHidden/>
              </w:rPr>
              <w:tab/>
            </w:r>
            <w:r>
              <w:rPr>
                <w:noProof/>
                <w:webHidden/>
              </w:rPr>
              <w:fldChar w:fldCharType="begin"/>
            </w:r>
            <w:r>
              <w:rPr>
                <w:noProof/>
                <w:webHidden/>
              </w:rPr>
              <w:instrText xml:space="preserve"> PAGEREF _Toc44059141 \h </w:instrText>
            </w:r>
            <w:r>
              <w:rPr>
                <w:noProof/>
                <w:webHidden/>
              </w:rPr>
            </w:r>
            <w:r>
              <w:rPr>
                <w:noProof/>
                <w:webHidden/>
              </w:rPr>
              <w:fldChar w:fldCharType="separate"/>
            </w:r>
            <w:r>
              <w:rPr>
                <w:noProof/>
                <w:webHidden/>
              </w:rPr>
              <w:t>8</w:t>
            </w:r>
            <w:r>
              <w:rPr>
                <w:noProof/>
                <w:webHidden/>
              </w:rPr>
              <w:fldChar w:fldCharType="end"/>
            </w:r>
          </w:hyperlink>
        </w:p>
        <w:p w14:paraId="3ABDCAC3" w14:textId="28136F8C" w:rsidR="009059E9" w:rsidRDefault="009059E9">
          <w:pPr>
            <w:pStyle w:val="TOC3"/>
            <w:tabs>
              <w:tab w:val="right" w:leader="dot" w:pos="9350"/>
            </w:tabs>
            <w:rPr>
              <w:rFonts w:asciiTheme="minorHAnsi" w:eastAsiaTheme="minorEastAsia" w:hAnsiTheme="minorHAnsi" w:cstheme="minorBidi"/>
              <w:noProof/>
            </w:rPr>
          </w:pPr>
          <w:hyperlink w:anchor="_Toc44059142" w:history="1">
            <w:r w:rsidRPr="00C42F6F">
              <w:rPr>
                <w:rStyle w:val="Hyperlink"/>
                <w:noProof/>
              </w:rPr>
              <w:t>Changements dans la croissance somatique de l’aiglefin de l’est du banc Georges</w:t>
            </w:r>
            <w:r>
              <w:rPr>
                <w:noProof/>
                <w:webHidden/>
              </w:rPr>
              <w:tab/>
            </w:r>
            <w:r>
              <w:rPr>
                <w:noProof/>
                <w:webHidden/>
              </w:rPr>
              <w:fldChar w:fldCharType="begin"/>
            </w:r>
            <w:r>
              <w:rPr>
                <w:noProof/>
                <w:webHidden/>
              </w:rPr>
              <w:instrText xml:space="preserve"> PAGEREF _Toc44059142 \h </w:instrText>
            </w:r>
            <w:r>
              <w:rPr>
                <w:noProof/>
                <w:webHidden/>
              </w:rPr>
            </w:r>
            <w:r>
              <w:rPr>
                <w:noProof/>
                <w:webHidden/>
              </w:rPr>
              <w:fldChar w:fldCharType="separate"/>
            </w:r>
            <w:r>
              <w:rPr>
                <w:noProof/>
                <w:webHidden/>
              </w:rPr>
              <w:t>12</w:t>
            </w:r>
            <w:r>
              <w:rPr>
                <w:noProof/>
                <w:webHidden/>
              </w:rPr>
              <w:fldChar w:fldCharType="end"/>
            </w:r>
          </w:hyperlink>
        </w:p>
        <w:p w14:paraId="1E185C54" w14:textId="21CB82C5" w:rsidR="009059E9" w:rsidRDefault="009059E9">
          <w:pPr>
            <w:pStyle w:val="TOC2"/>
            <w:tabs>
              <w:tab w:val="right" w:leader="dot" w:pos="9350"/>
            </w:tabs>
            <w:rPr>
              <w:rFonts w:asciiTheme="minorHAnsi" w:eastAsiaTheme="minorEastAsia" w:hAnsiTheme="minorHAnsi" w:cstheme="minorBidi"/>
              <w:caps w:val="0"/>
              <w:noProof/>
              <w:szCs w:val="22"/>
            </w:rPr>
          </w:pPr>
          <w:hyperlink w:anchor="_Toc44059143" w:history="1">
            <w:r w:rsidRPr="00C42F6F">
              <w:rPr>
                <w:rStyle w:val="Hyperlink"/>
                <w:noProof/>
              </w:rPr>
              <w:t>parts allouées</w:t>
            </w:r>
            <w:r>
              <w:rPr>
                <w:noProof/>
                <w:webHidden/>
              </w:rPr>
              <w:tab/>
            </w:r>
            <w:r>
              <w:rPr>
                <w:noProof/>
                <w:webHidden/>
              </w:rPr>
              <w:fldChar w:fldCharType="begin"/>
            </w:r>
            <w:r>
              <w:rPr>
                <w:noProof/>
                <w:webHidden/>
              </w:rPr>
              <w:instrText xml:space="preserve"> PAGEREF _Toc44059143 \h </w:instrText>
            </w:r>
            <w:r>
              <w:rPr>
                <w:noProof/>
                <w:webHidden/>
              </w:rPr>
            </w:r>
            <w:r>
              <w:rPr>
                <w:noProof/>
                <w:webHidden/>
              </w:rPr>
              <w:fldChar w:fldCharType="separate"/>
            </w:r>
            <w:r>
              <w:rPr>
                <w:noProof/>
                <w:webHidden/>
              </w:rPr>
              <w:t>14</w:t>
            </w:r>
            <w:r>
              <w:rPr>
                <w:noProof/>
                <w:webHidden/>
              </w:rPr>
              <w:fldChar w:fldCharType="end"/>
            </w:r>
          </w:hyperlink>
        </w:p>
        <w:p w14:paraId="279AD2EA" w14:textId="29C49422" w:rsidR="009059E9" w:rsidRDefault="009059E9">
          <w:pPr>
            <w:pStyle w:val="TOC2"/>
            <w:tabs>
              <w:tab w:val="right" w:leader="dot" w:pos="9350"/>
            </w:tabs>
            <w:rPr>
              <w:rFonts w:asciiTheme="minorHAnsi" w:eastAsiaTheme="minorEastAsia" w:hAnsiTheme="minorHAnsi" w:cstheme="minorBidi"/>
              <w:caps w:val="0"/>
              <w:noProof/>
              <w:szCs w:val="22"/>
            </w:rPr>
          </w:pPr>
          <w:hyperlink w:anchor="_Toc44059144" w:history="1">
            <w:r w:rsidRPr="00C42F6F">
              <w:rPr>
                <w:rStyle w:val="Hyperlink"/>
                <w:noProof/>
              </w:rPr>
              <w:t>TRAVAUX À FAIRE EN PRÉVISION DE L’ÉVALUATION DE L’AIGLEFIN DE L’EST DU BANC DE GEORGES</w:t>
            </w:r>
            <w:r>
              <w:rPr>
                <w:noProof/>
                <w:webHidden/>
              </w:rPr>
              <w:tab/>
            </w:r>
            <w:r>
              <w:rPr>
                <w:noProof/>
                <w:webHidden/>
              </w:rPr>
              <w:fldChar w:fldCharType="begin"/>
            </w:r>
            <w:r>
              <w:rPr>
                <w:noProof/>
                <w:webHidden/>
              </w:rPr>
              <w:instrText xml:space="preserve"> PAGEREF _Toc44059144 \h </w:instrText>
            </w:r>
            <w:r>
              <w:rPr>
                <w:noProof/>
                <w:webHidden/>
              </w:rPr>
            </w:r>
            <w:r>
              <w:rPr>
                <w:noProof/>
                <w:webHidden/>
              </w:rPr>
              <w:fldChar w:fldCharType="separate"/>
            </w:r>
            <w:r>
              <w:rPr>
                <w:noProof/>
                <w:webHidden/>
              </w:rPr>
              <w:t>15</w:t>
            </w:r>
            <w:r>
              <w:rPr>
                <w:noProof/>
                <w:webHidden/>
              </w:rPr>
              <w:fldChar w:fldCharType="end"/>
            </w:r>
          </w:hyperlink>
        </w:p>
        <w:p w14:paraId="799A3106" w14:textId="0BF00BBD" w:rsidR="009059E9" w:rsidRDefault="009059E9">
          <w:pPr>
            <w:pStyle w:val="TOC2"/>
            <w:tabs>
              <w:tab w:val="right" w:leader="dot" w:pos="9350"/>
            </w:tabs>
            <w:rPr>
              <w:rFonts w:asciiTheme="minorHAnsi" w:eastAsiaTheme="minorEastAsia" w:hAnsiTheme="minorHAnsi" w:cstheme="minorBidi"/>
              <w:caps w:val="0"/>
              <w:noProof/>
              <w:szCs w:val="22"/>
            </w:rPr>
          </w:pPr>
          <w:hyperlink w:anchor="_Toc44059145" w:history="1">
            <w:r w:rsidRPr="00C42F6F">
              <w:rPr>
                <w:rStyle w:val="Hyperlink"/>
                <w:noProof/>
              </w:rPr>
              <w:t>Changements spatiotemporels dans la probabilité de rencontre de la morue et de LA LIMANDE À QUEUE JAUNE sur le banc Georges</w:t>
            </w:r>
            <w:r>
              <w:rPr>
                <w:noProof/>
                <w:webHidden/>
              </w:rPr>
              <w:tab/>
            </w:r>
            <w:r>
              <w:rPr>
                <w:noProof/>
                <w:webHidden/>
              </w:rPr>
              <w:fldChar w:fldCharType="begin"/>
            </w:r>
            <w:r>
              <w:rPr>
                <w:noProof/>
                <w:webHidden/>
              </w:rPr>
              <w:instrText xml:space="preserve"> PAGEREF _Toc44059145 \h </w:instrText>
            </w:r>
            <w:r>
              <w:rPr>
                <w:noProof/>
                <w:webHidden/>
              </w:rPr>
            </w:r>
            <w:r>
              <w:rPr>
                <w:noProof/>
                <w:webHidden/>
              </w:rPr>
              <w:fldChar w:fldCharType="separate"/>
            </w:r>
            <w:r>
              <w:rPr>
                <w:noProof/>
                <w:webHidden/>
              </w:rPr>
              <w:t>16</w:t>
            </w:r>
            <w:r>
              <w:rPr>
                <w:noProof/>
                <w:webHidden/>
              </w:rPr>
              <w:fldChar w:fldCharType="end"/>
            </w:r>
          </w:hyperlink>
        </w:p>
        <w:p w14:paraId="2B57A11A" w14:textId="1E279207" w:rsidR="009059E9" w:rsidRDefault="009059E9">
          <w:pPr>
            <w:pStyle w:val="TOC2"/>
            <w:tabs>
              <w:tab w:val="right" w:leader="dot" w:pos="9350"/>
            </w:tabs>
            <w:rPr>
              <w:rFonts w:asciiTheme="minorHAnsi" w:eastAsiaTheme="minorEastAsia" w:hAnsiTheme="minorHAnsi" w:cstheme="minorBidi"/>
              <w:caps w:val="0"/>
              <w:noProof/>
              <w:szCs w:val="22"/>
            </w:rPr>
          </w:pPr>
          <w:hyperlink w:anchor="_Toc44059146" w:history="1">
            <w:r w:rsidRPr="00C42F6F">
              <w:rPr>
                <w:rStyle w:val="Hyperlink"/>
                <w:noProof/>
              </w:rPr>
              <w:t>Progrès du groupe de travail sur la structure du stock de morue franche</w:t>
            </w:r>
            <w:r>
              <w:rPr>
                <w:noProof/>
                <w:webHidden/>
              </w:rPr>
              <w:tab/>
            </w:r>
            <w:r>
              <w:rPr>
                <w:noProof/>
                <w:webHidden/>
              </w:rPr>
              <w:fldChar w:fldCharType="begin"/>
            </w:r>
            <w:r>
              <w:rPr>
                <w:noProof/>
                <w:webHidden/>
              </w:rPr>
              <w:instrText xml:space="preserve"> PAGEREF _Toc44059146 \h </w:instrText>
            </w:r>
            <w:r>
              <w:rPr>
                <w:noProof/>
                <w:webHidden/>
              </w:rPr>
            </w:r>
            <w:r>
              <w:rPr>
                <w:noProof/>
                <w:webHidden/>
              </w:rPr>
              <w:fldChar w:fldCharType="separate"/>
            </w:r>
            <w:r>
              <w:rPr>
                <w:noProof/>
                <w:webHidden/>
              </w:rPr>
              <w:t>17</w:t>
            </w:r>
            <w:r>
              <w:rPr>
                <w:noProof/>
                <w:webHidden/>
              </w:rPr>
              <w:fldChar w:fldCharType="end"/>
            </w:r>
          </w:hyperlink>
        </w:p>
        <w:p w14:paraId="5BCC27E7" w14:textId="43356CCD" w:rsidR="009059E9" w:rsidRDefault="009059E9">
          <w:pPr>
            <w:pStyle w:val="TOC2"/>
            <w:tabs>
              <w:tab w:val="right" w:leader="dot" w:pos="9350"/>
            </w:tabs>
            <w:rPr>
              <w:rFonts w:asciiTheme="minorHAnsi" w:eastAsiaTheme="minorEastAsia" w:hAnsiTheme="minorHAnsi" w:cstheme="minorBidi"/>
              <w:caps w:val="0"/>
              <w:noProof/>
              <w:szCs w:val="22"/>
            </w:rPr>
          </w:pPr>
          <w:hyperlink w:anchor="_Toc44059147" w:history="1">
            <w:r w:rsidRPr="00C42F6F">
              <w:rPr>
                <w:rStyle w:val="Hyperlink"/>
                <w:noProof/>
              </w:rPr>
              <w:t>Morue de l’est du banc Georges</w:t>
            </w:r>
            <w:r>
              <w:rPr>
                <w:noProof/>
                <w:webHidden/>
              </w:rPr>
              <w:tab/>
            </w:r>
            <w:r>
              <w:rPr>
                <w:noProof/>
                <w:webHidden/>
              </w:rPr>
              <w:fldChar w:fldCharType="begin"/>
            </w:r>
            <w:r>
              <w:rPr>
                <w:noProof/>
                <w:webHidden/>
              </w:rPr>
              <w:instrText xml:space="preserve"> PAGEREF _Toc44059147 \h </w:instrText>
            </w:r>
            <w:r>
              <w:rPr>
                <w:noProof/>
                <w:webHidden/>
              </w:rPr>
            </w:r>
            <w:r>
              <w:rPr>
                <w:noProof/>
                <w:webHidden/>
              </w:rPr>
              <w:fldChar w:fldCharType="separate"/>
            </w:r>
            <w:r>
              <w:rPr>
                <w:noProof/>
                <w:webHidden/>
              </w:rPr>
              <w:t>19</w:t>
            </w:r>
            <w:r>
              <w:rPr>
                <w:noProof/>
                <w:webHidden/>
              </w:rPr>
              <w:fldChar w:fldCharType="end"/>
            </w:r>
          </w:hyperlink>
        </w:p>
        <w:p w14:paraId="4223B15E" w14:textId="76ADC1D6" w:rsidR="009059E9" w:rsidRDefault="009059E9">
          <w:pPr>
            <w:pStyle w:val="TOC3"/>
            <w:tabs>
              <w:tab w:val="right" w:leader="dot" w:pos="9350"/>
            </w:tabs>
            <w:rPr>
              <w:rFonts w:asciiTheme="minorHAnsi" w:eastAsiaTheme="minorEastAsia" w:hAnsiTheme="minorHAnsi" w:cstheme="minorBidi"/>
              <w:noProof/>
            </w:rPr>
          </w:pPr>
          <w:hyperlink w:anchor="_Toc44059148" w:history="1">
            <w:r w:rsidRPr="00C42F6F">
              <w:rPr>
                <w:rStyle w:val="Hyperlink"/>
                <w:noProof/>
              </w:rPr>
              <w:t>Mise à jour des données pour la morue de l’est du banc Georges en 2019</w:t>
            </w:r>
            <w:r>
              <w:rPr>
                <w:noProof/>
                <w:webHidden/>
              </w:rPr>
              <w:tab/>
            </w:r>
            <w:r>
              <w:rPr>
                <w:noProof/>
                <w:webHidden/>
              </w:rPr>
              <w:fldChar w:fldCharType="begin"/>
            </w:r>
            <w:r>
              <w:rPr>
                <w:noProof/>
                <w:webHidden/>
              </w:rPr>
              <w:instrText xml:space="preserve"> PAGEREF _Toc44059148 \h </w:instrText>
            </w:r>
            <w:r>
              <w:rPr>
                <w:noProof/>
                <w:webHidden/>
              </w:rPr>
            </w:r>
            <w:r>
              <w:rPr>
                <w:noProof/>
                <w:webHidden/>
              </w:rPr>
              <w:fldChar w:fldCharType="separate"/>
            </w:r>
            <w:r>
              <w:rPr>
                <w:noProof/>
                <w:webHidden/>
              </w:rPr>
              <w:t>19</w:t>
            </w:r>
            <w:r>
              <w:rPr>
                <w:noProof/>
                <w:webHidden/>
              </w:rPr>
              <w:fldChar w:fldCharType="end"/>
            </w:r>
          </w:hyperlink>
        </w:p>
        <w:p w14:paraId="6E5844ED" w14:textId="155105AB" w:rsidR="009059E9" w:rsidRDefault="009059E9">
          <w:pPr>
            <w:pStyle w:val="TOC3"/>
            <w:tabs>
              <w:tab w:val="right" w:leader="dot" w:pos="9350"/>
            </w:tabs>
            <w:rPr>
              <w:rFonts w:asciiTheme="minorHAnsi" w:eastAsiaTheme="minorEastAsia" w:hAnsiTheme="minorHAnsi" w:cstheme="minorBidi"/>
              <w:noProof/>
            </w:rPr>
          </w:pPr>
          <w:hyperlink w:anchor="_Toc44059149" w:history="1">
            <w:r w:rsidRPr="00C42F6F">
              <w:rPr>
                <w:rStyle w:val="Hyperlink"/>
                <w:noProof/>
              </w:rPr>
              <w:t>Autres méthodes pour la prestation d’avis provisoires sur les prises de morue de l’est du banc Georges</w:t>
            </w:r>
            <w:r>
              <w:rPr>
                <w:noProof/>
                <w:webHidden/>
              </w:rPr>
              <w:tab/>
            </w:r>
            <w:r>
              <w:rPr>
                <w:noProof/>
                <w:webHidden/>
              </w:rPr>
              <w:fldChar w:fldCharType="begin"/>
            </w:r>
            <w:r>
              <w:rPr>
                <w:noProof/>
                <w:webHidden/>
              </w:rPr>
              <w:instrText xml:space="preserve"> PAGEREF _Toc44059149 \h </w:instrText>
            </w:r>
            <w:r>
              <w:rPr>
                <w:noProof/>
                <w:webHidden/>
              </w:rPr>
            </w:r>
            <w:r>
              <w:rPr>
                <w:noProof/>
                <w:webHidden/>
              </w:rPr>
              <w:fldChar w:fldCharType="separate"/>
            </w:r>
            <w:r>
              <w:rPr>
                <w:noProof/>
                <w:webHidden/>
              </w:rPr>
              <w:t>20</w:t>
            </w:r>
            <w:r>
              <w:rPr>
                <w:noProof/>
                <w:webHidden/>
              </w:rPr>
              <w:fldChar w:fldCharType="end"/>
            </w:r>
          </w:hyperlink>
        </w:p>
        <w:p w14:paraId="4B5939E0" w14:textId="7340DB0D" w:rsidR="009059E9" w:rsidRDefault="009059E9">
          <w:pPr>
            <w:pStyle w:val="TOC3"/>
            <w:tabs>
              <w:tab w:val="right" w:leader="dot" w:pos="9350"/>
            </w:tabs>
            <w:rPr>
              <w:rFonts w:asciiTheme="minorHAnsi" w:eastAsiaTheme="minorEastAsia" w:hAnsiTheme="minorHAnsi" w:cstheme="minorBidi"/>
              <w:noProof/>
            </w:rPr>
          </w:pPr>
          <w:hyperlink w:anchor="_Toc44059150" w:history="1">
            <w:r w:rsidRPr="00C42F6F">
              <w:rPr>
                <w:rStyle w:val="Hyperlink"/>
                <w:noProof/>
              </w:rPr>
              <w:t>Résumé des conclusions pour la morue</w:t>
            </w:r>
            <w:r>
              <w:rPr>
                <w:noProof/>
                <w:webHidden/>
              </w:rPr>
              <w:tab/>
            </w:r>
            <w:r>
              <w:rPr>
                <w:noProof/>
                <w:webHidden/>
              </w:rPr>
              <w:fldChar w:fldCharType="begin"/>
            </w:r>
            <w:r>
              <w:rPr>
                <w:noProof/>
                <w:webHidden/>
              </w:rPr>
              <w:instrText xml:space="preserve"> PAGEREF _Toc44059150 \h </w:instrText>
            </w:r>
            <w:r>
              <w:rPr>
                <w:noProof/>
                <w:webHidden/>
              </w:rPr>
            </w:r>
            <w:r>
              <w:rPr>
                <w:noProof/>
                <w:webHidden/>
              </w:rPr>
              <w:fldChar w:fldCharType="separate"/>
            </w:r>
            <w:r>
              <w:rPr>
                <w:noProof/>
                <w:webHidden/>
              </w:rPr>
              <w:t>22</w:t>
            </w:r>
            <w:r>
              <w:rPr>
                <w:noProof/>
                <w:webHidden/>
              </w:rPr>
              <w:fldChar w:fldCharType="end"/>
            </w:r>
          </w:hyperlink>
        </w:p>
        <w:p w14:paraId="390E10EE" w14:textId="36BF2DD8" w:rsidR="009059E9" w:rsidRDefault="009059E9">
          <w:pPr>
            <w:pStyle w:val="TOC2"/>
            <w:tabs>
              <w:tab w:val="right" w:leader="dot" w:pos="9350"/>
            </w:tabs>
            <w:rPr>
              <w:rFonts w:asciiTheme="minorHAnsi" w:eastAsiaTheme="minorEastAsia" w:hAnsiTheme="minorHAnsi" w:cstheme="minorBidi"/>
              <w:caps w:val="0"/>
              <w:noProof/>
              <w:szCs w:val="22"/>
            </w:rPr>
          </w:pPr>
          <w:hyperlink w:anchor="_Toc44059151" w:history="1">
            <w:r w:rsidRPr="00C42F6F">
              <w:rPr>
                <w:rStyle w:val="Hyperlink"/>
                <w:noProof/>
                <w:lang w:val="fr-CA"/>
              </w:rPr>
              <w:t>Ébauche dU CADRE DE référence pour 2020</w:t>
            </w:r>
            <w:r>
              <w:rPr>
                <w:noProof/>
                <w:webHidden/>
              </w:rPr>
              <w:tab/>
            </w:r>
            <w:r>
              <w:rPr>
                <w:noProof/>
                <w:webHidden/>
              </w:rPr>
              <w:fldChar w:fldCharType="begin"/>
            </w:r>
            <w:r>
              <w:rPr>
                <w:noProof/>
                <w:webHidden/>
              </w:rPr>
              <w:instrText xml:space="preserve"> PAGEREF _Toc44059151 \h </w:instrText>
            </w:r>
            <w:r>
              <w:rPr>
                <w:noProof/>
                <w:webHidden/>
              </w:rPr>
            </w:r>
            <w:r>
              <w:rPr>
                <w:noProof/>
                <w:webHidden/>
              </w:rPr>
              <w:fldChar w:fldCharType="separate"/>
            </w:r>
            <w:r>
              <w:rPr>
                <w:noProof/>
                <w:webHidden/>
              </w:rPr>
              <w:t>23</w:t>
            </w:r>
            <w:r>
              <w:rPr>
                <w:noProof/>
                <w:webHidden/>
              </w:rPr>
              <w:fldChar w:fldCharType="end"/>
            </w:r>
          </w:hyperlink>
        </w:p>
        <w:p w14:paraId="6BAC4A08" w14:textId="5E0FE910" w:rsidR="009059E9" w:rsidRDefault="009059E9">
          <w:pPr>
            <w:pStyle w:val="TOC2"/>
            <w:tabs>
              <w:tab w:val="right" w:leader="dot" w:pos="9350"/>
            </w:tabs>
            <w:rPr>
              <w:rFonts w:asciiTheme="minorHAnsi" w:eastAsiaTheme="minorEastAsia" w:hAnsiTheme="minorHAnsi" w:cstheme="minorBidi"/>
              <w:caps w:val="0"/>
              <w:noProof/>
              <w:szCs w:val="22"/>
            </w:rPr>
          </w:pPr>
          <w:hyperlink w:anchor="_Toc44059152" w:history="1">
            <w:r w:rsidRPr="00C42F6F">
              <w:rPr>
                <w:rStyle w:val="Hyperlink"/>
                <w:noProof/>
              </w:rPr>
              <w:t>CONCLUSIONS</w:t>
            </w:r>
            <w:r>
              <w:rPr>
                <w:noProof/>
                <w:webHidden/>
              </w:rPr>
              <w:tab/>
            </w:r>
            <w:r>
              <w:rPr>
                <w:noProof/>
                <w:webHidden/>
              </w:rPr>
              <w:fldChar w:fldCharType="begin"/>
            </w:r>
            <w:r>
              <w:rPr>
                <w:noProof/>
                <w:webHidden/>
              </w:rPr>
              <w:instrText xml:space="preserve"> PAGEREF _Toc44059152 \h </w:instrText>
            </w:r>
            <w:r>
              <w:rPr>
                <w:noProof/>
                <w:webHidden/>
              </w:rPr>
            </w:r>
            <w:r>
              <w:rPr>
                <w:noProof/>
                <w:webHidden/>
              </w:rPr>
              <w:fldChar w:fldCharType="separate"/>
            </w:r>
            <w:r>
              <w:rPr>
                <w:noProof/>
                <w:webHidden/>
              </w:rPr>
              <w:t>23</w:t>
            </w:r>
            <w:r>
              <w:rPr>
                <w:noProof/>
                <w:webHidden/>
              </w:rPr>
              <w:fldChar w:fldCharType="end"/>
            </w:r>
          </w:hyperlink>
        </w:p>
        <w:p w14:paraId="4BA1115D" w14:textId="3EA513DB" w:rsidR="009059E9" w:rsidRDefault="009059E9">
          <w:pPr>
            <w:pStyle w:val="TOC2"/>
            <w:tabs>
              <w:tab w:val="right" w:leader="dot" w:pos="9350"/>
            </w:tabs>
            <w:rPr>
              <w:rFonts w:asciiTheme="minorHAnsi" w:eastAsiaTheme="minorEastAsia" w:hAnsiTheme="minorHAnsi" w:cstheme="minorBidi"/>
              <w:caps w:val="0"/>
              <w:noProof/>
              <w:szCs w:val="22"/>
            </w:rPr>
          </w:pPr>
          <w:hyperlink w:anchor="_Toc44059153" w:history="1">
            <w:r w:rsidRPr="00C42F6F">
              <w:rPr>
                <w:rStyle w:val="Hyperlink"/>
                <w:noProof/>
                <w:lang w:val="fr-CA"/>
              </w:rPr>
              <w:t>RÉFÉRENCES CITÉES</w:t>
            </w:r>
            <w:r>
              <w:rPr>
                <w:noProof/>
                <w:webHidden/>
              </w:rPr>
              <w:tab/>
            </w:r>
            <w:r>
              <w:rPr>
                <w:noProof/>
                <w:webHidden/>
              </w:rPr>
              <w:fldChar w:fldCharType="begin"/>
            </w:r>
            <w:r>
              <w:rPr>
                <w:noProof/>
                <w:webHidden/>
              </w:rPr>
              <w:instrText xml:space="preserve"> PAGEREF _Toc44059153 \h </w:instrText>
            </w:r>
            <w:r>
              <w:rPr>
                <w:noProof/>
                <w:webHidden/>
              </w:rPr>
            </w:r>
            <w:r>
              <w:rPr>
                <w:noProof/>
                <w:webHidden/>
              </w:rPr>
              <w:fldChar w:fldCharType="separate"/>
            </w:r>
            <w:r>
              <w:rPr>
                <w:noProof/>
                <w:webHidden/>
              </w:rPr>
              <w:t>23</w:t>
            </w:r>
            <w:r>
              <w:rPr>
                <w:noProof/>
                <w:webHidden/>
              </w:rPr>
              <w:fldChar w:fldCharType="end"/>
            </w:r>
          </w:hyperlink>
        </w:p>
        <w:p w14:paraId="7D23EB62" w14:textId="4646BE56" w:rsidR="009059E9" w:rsidRDefault="009059E9">
          <w:pPr>
            <w:pStyle w:val="TOC1"/>
            <w:rPr>
              <w:rFonts w:asciiTheme="minorHAnsi" w:eastAsiaTheme="minorEastAsia" w:hAnsiTheme="minorHAnsi" w:cstheme="minorBidi"/>
              <w:caps w:val="0"/>
              <w:noProof/>
              <w:szCs w:val="22"/>
            </w:rPr>
          </w:pPr>
          <w:hyperlink w:anchor="_Toc44059154" w:history="1">
            <w:r w:rsidRPr="00C42F6F">
              <w:rPr>
                <w:rStyle w:val="Hyperlink"/>
                <w:noProof/>
                <w:lang w:val="fr-CA"/>
              </w:rPr>
              <w:t>ANNEXES</w:t>
            </w:r>
            <w:r>
              <w:rPr>
                <w:noProof/>
                <w:webHidden/>
              </w:rPr>
              <w:tab/>
            </w:r>
            <w:r>
              <w:rPr>
                <w:noProof/>
                <w:webHidden/>
              </w:rPr>
              <w:fldChar w:fldCharType="begin"/>
            </w:r>
            <w:r>
              <w:rPr>
                <w:noProof/>
                <w:webHidden/>
              </w:rPr>
              <w:instrText xml:space="preserve"> PAGEREF _Toc44059154 \h </w:instrText>
            </w:r>
            <w:r>
              <w:rPr>
                <w:noProof/>
                <w:webHidden/>
              </w:rPr>
            </w:r>
            <w:r>
              <w:rPr>
                <w:noProof/>
                <w:webHidden/>
              </w:rPr>
              <w:fldChar w:fldCharType="separate"/>
            </w:r>
            <w:r>
              <w:rPr>
                <w:noProof/>
                <w:webHidden/>
              </w:rPr>
              <w:t>24</w:t>
            </w:r>
            <w:r>
              <w:rPr>
                <w:noProof/>
                <w:webHidden/>
              </w:rPr>
              <w:fldChar w:fldCharType="end"/>
            </w:r>
          </w:hyperlink>
        </w:p>
        <w:p w14:paraId="6609FD32" w14:textId="7D15A47B" w:rsidR="009059E9" w:rsidRDefault="009059E9">
          <w:pPr>
            <w:pStyle w:val="TOC2"/>
            <w:tabs>
              <w:tab w:val="right" w:leader="dot" w:pos="9350"/>
            </w:tabs>
            <w:rPr>
              <w:rFonts w:asciiTheme="minorHAnsi" w:eastAsiaTheme="minorEastAsia" w:hAnsiTheme="minorHAnsi" w:cstheme="minorBidi"/>
              <w:caps w:val="0"/>
              <w:noProof/>
              <w:szCs w:val="22"/>
            </w:rPr>
          </w:pPr>
          <w:hyperlink w:anchor="_Toc44059155" w:history="1">
            <w:r w:rsidRPr="00C42F6F">
              <w:rPr>
                <w:rStyle w:val="Hyperlink"/>
                <w:noProof/>
                <w:lang w:val="fr-CA"/>
              </w:rPr>
              <w:t>Annexe i. Liste des participants</w:t>
            </w:r>
            <w:r>
              <w:rPr>
                <w:noProof/>
                <w:webHidden/>
              </w:rPr>
              <w:tab/>
            </w:r>
            <w:r>
              <w:rPr>
                <w:noProof/>
                <w:webHidden/>
              </w:rPr>
              <w:fldChar w:fldCharType="begin"/>
            </w:r>
            <w:r>
              <w:rPr>
                <w:noProof/>
                <w:webHidden/>
              </w:rPr>
              <w:instrText xml:space="preserve"> PAGEREF _Toc44059155 \h </w:instrText>
            </w:r>
            <w:r>
              <w:rPr>
                <w:noProof/>
                <w:webHidden/>
              </w:rPr>
            </w:r>
            <w:r>
              <w:rPr>
                <w:noProof/>
                <w:webHidden/>
              </w:rPr>
              <w:fldChar w:fldCharType="separate"/>
            </w:r>
            <w:r>
              <w:rPr>
                <w:noProof/>
                <w:webHidden/>
              </w:rPr>
              <w:t>24</w:t>
            </w:r>
            <w:r>
              <w:rPr>
                <w:noProof/>
                <w:webHidden/>
              </w:rPr>
              <w:fldChar w:fldCharType="end"/>
            </w:r>
          </w:hyperlink>
        </w:p>
        <w:p w14:paraId="284344E7" w14:textId="07D81D63" w:rsidR="009059E9" w:rsidRDefault="009059E9">
          <w:pPr>
            <w:pStyle w:val="TOC2"/>
            <w:tabs>
              <w:tab w:val="right" w:leader="dot" w:pos="9350"/>
            </w:tabs>
            <w:rPr>
              <w:rFonts w:asciiTheme="minorHAnsi" w:eastAsiaTheme="minorEastAsia" w:hAnsiTheme="minorHAnsi" w:cstheme="minorBidi"/>
              <w:caps w:val="0"/>
              <w:noProof/>
              <w:szCs w:val="22"/>
            </w:rPr>
          </w:pPr>
          <w:hyperlink w:anchor="_Toc44059156" w:history="1">
            <w:r w:rsidRPr="00C42F6F">
              <w:rPr>
                <w:rStyle w:val="Hyperlink"/>
                <w:noProof/>
                <w:lang w:val="fr-CA"/>
              </w:rPr>
              <w:t>Annexe ii. CADRE DE RÉFÉRENCE de 2019</w:t>
            </w:r>
            <w:r>
              <w:rPr>
                <w:noProof/>
                <w:webHidden/>
              </w:rPr>
              <w:tab/>
            </w:r>
            <w:r>
              <w:rPr>
                <w:noProof/>
                <w:webHidden/>
              </w:rPr>
              <w:fldChar w:fldCharType="begin"/>
            </w:r>
            <w:r>
              <w:rPr>
                <w:noProof/>
                <w:webHidden/>
              </w:rPr>
              <w:instrText xml:space="preserve"> PAGEREF _Toc44059156 \h </w:instrText>
            </w:r>
            <w:r>
              <w:rPr>
                <w:noProof/>
                <w:webHidden/>
              </w:rPr>
            </w:r>
            <w:r>
              <w:rPr>
                <w:noProof/>
                <w:webHidden/>
              </w:rPr>
              <w:fldChar w:fldCharType="separate"/>
            </w:r>
            <w:r>
              <w:rPr>
                <w:noProof/>
                <w:webHidden/>
              </w:rPr>
              <w:t>26</w:t>
            </w:r>
            <w:r>
              <w:rPr>
                <w:noProof/>
                <w:webHidden/>
              </w:rPr>
              <w:fldChar w:fldCharType="end"/>
            </w:r>
          </w:hyperlink>
        </w:p>
        <w:p w14:paraId="37B70E50" w14:textId="373FF81A" w:rsidR="009059E9" w:rsidRDefault="009059E9">
          <w:pPr>
            <w:pStyle w:val="TOC2"/>
            <w:tabs>
              <w:tab w:val="right" w:leader="dot" w:pos="9350"/>
            </w:tabs>
            <w:rPr>
              <w:rFonts w:asciiTheme="minorHAnsi" w:eastAsiaTheme="minorEastAsia" w:hAnsiTheme="minorHAnsi" w:cstheme="minorBidi"/>
              <w:caps w:val="0"/>
              <w:noProof/>
              <w:szCs w:val="22"/>
            </w:rPr>
          </w:pPr>
          <w:hyperlink w:anchor="_Toc44059157" w:history="1">
            <w:r w:rsidRPr="00C42F6F">
              <w:rPr>
                <w:rStyle w:val="Hyperlink"/>
                <w:noProof/>
              </w:rPr>
              <w:t>Annexe iii. Programme 2019 du CERT</w:t>
            </w:r>
            <w:r>
              <w:rPr>
                <w:noProof/>
                <w:webHidden/>
              </w:rPr>
              <w:tab/>
            </w:r>
            <w:r>
              <w:rPr>
                <w:noProof/>
                <w:webHidden/>
              </w:rPr>
              <w:fldChar w:fldCharType="begin"/>
            </w:r>
            <w:r>
              <w:rPr>
                <w:noProof/>
                <w:webHidden/>
              </w:rPr>
              <w:instrText xml:space="preserve"> PAGEREF _Toc44059157 \h </w:instrText>
            </w:r>
            <w:r>
              <w:rPr>
                <w:noProof/>
                <w:webHidden/>
              </w:rPr>
            </w:r>
            <w:r>
              <w:rPr>
                <w:noProof/>
                <w:webHidden/>
              </w:rPr>
              <w:fldChar w:fldCharType="separate"/>
            </w:r>
            <w:r>
              <w:rPr>
                <w:noProof/>
                <w:webHidden/>
              </w:rPr>
              <w:t>29</w:t>
            </w:r>
            <w:r>
              <w:rPr>
                <w:noProof/>
                <w:webHidden/>
              </w:rPr>
              <w:fldChar w:fldCharType="end"/>
            </w:r>
          </w:hyperlink>
        </w:p>
        <w:p w14:paraId="243C3230" w14:textId="50925335" w:rsidR="00354A60" w:rsidRPr="000274FA" w:rsidRDefault="00354A60">
          <w:pPr>
            <w:rPr>
              <w:lang w:val="fr-CA"/>
            </w:rPr>
          </w:pPr>
          <w:r w:rsidRPr="000274FA">
            <w:rPr>
              <w:b/>
              <w:bCs/>
              <w:lang w:val="fr-CA"/>
            </w:rPr>
            <w:fldChar w:fldCharType="end"/>
          </w:r>
        </w:p>
      </w:sdtContent>
    </w:sdt>
    <w:p w14:paraId="6786318D" w14:textId="77777777" w:rsidR="00354A60" w:rsidRPr="000274FA" w:rsidRDefault="00354A60">
      <w:pPr>
        <w:spacing w:before="0" w:after="0"/>
        <w:rPr>
          <w:b/>
          <w:bCs/>
          <w:caps/>
          <w:sz w:val="24"/>
          <w:szCs w:val="22"/>
          <w:highlight w:val="yellow"/>
          <w:lang w:val="fr-CA"/>
        </w:rPr>
      </w:pPr>
      <w:r w:rsidRPr="000274FA">
        <w:rPr>
          <w:lang w:val="fr-CA"/>
        </w:rPr>
        <w:br w:type="page"/>
      </w:r>
    </w:p>
    <w:p w14:paraId="56F7370C" w14:textId="77777777" w:rsidR="00120C4A" w:rsidRPr="000274FA" w:rsidRDefault="007B2B09" w:rsidP="00606C90">
      <w:pPr>
        <w:pStyle w:val="Heading1"/>
        <w:rPr>
          <w:lang w:val="fr-CA"/>
        </w:rPr>
      </w:pPr>
      <w:bookmarkStart w:id="0" w:name="_Toc44059135"/>
      <w:r w:rsidRPr="000274FA">
        <w:rPr>
          <w:lang w:val="fr-CA"/>
        </w:rPr>
        <w:lastRenderedPageBreak/>
        <w:t>RÉSUMÉ</w:t>
      </w:r>
      <w:bookmarkEnd w:id="0"/>
    </w:p>
    <w:p w14:paraId="253F7E04" w14:textId="584868C9" w:rsidR="00A0159E" w:rsidRPr="000274FA" w:rsidRDefault="00F278C3" w:rsidP="00E82E3D">
      <w:pPr>
        <w:pStyle w:val="BodyText"/>
        <w:rPr>
          <w:lang w:val="fr-CA"/>
        </w:rPr>
      </w:pPr>
      <w:r w:rsidRPr="000274FA">
        <w:rPr>
          <w:lang w:val="fr-CA"/>
        </w:rPr>
        <w:t>Le Comité d</w:t>
      </w:r>
      <w:r w:rsidR="001B2BE1" w:rsidRPr="000274FA">
        <w:rPr>
          <w:lang w:val="fr-CA"/>
        </w:rPr>
        <w:t>’</w:t>
      </w:r>
      <w:r w:rsidRPr="000274FA">
        <w:rPr>
          <w:lang w:val="fr-CA"/>
        </w:rPr>
        <w:t>évaluation des ressources transfrontalières (CERT) s</w:t>
      </w:r>
      <w:r w:rsidR="001B2BE1" w:rsidRPr="000274FA">
        <w:rPr>
          <w:lang w:val="fr-CA"/>
        </w:rPr>
        <w:t>’</w:t>
      </w:r>
      <w:r w:rsidRPr="000274FA">
        <w:rPr>
          <w:lang w:val="fr-CA"/>
        </w:rPr>
        <w:t>est réuni du 9 au 11</w:t>
      </w:r>
      <w:r w:rsidR="00C10B47" w:rsidRPr="000274FA">
        <w:rPr>
          <w:lang w:val="fr-CA"/>
        </w:rPr>
        <w:t> </w:t>
      </w:r>
      <w:r w:rsidRPr="000274FA">
        <w:rPr>
          <w:lang w:val="fr-CA"/>
        </w:rPr>
        <w:t>juillet</w:t>
      </w:r>
      <w:r w:rsidR="00C10B47" w:rsidRPr="000274FA">
        <w:rPr>
          <w:lang w:val="fr-CA"/>
        </w:rPr>
        <w:t> </w:t>
      </w:r>
      <w:r w:rsidRPr="000274FA">
        <w:rPr>
          <w:lang w:val="fr-CA"/>
        </w:rPr>
        <w:t xml:space="preserve">2019 à St. Andrews </w:t>
      </w:r>
      <w:r w:rsidR="00C10B47" w:rsidRPr="000274FA">
        <w:rPr>
          <w:lang w:val="fr-CA"/>
        </w:rPr>
        <w:t>(</w:t>
      </w:r>
      <w:r w:rsidRPr="000274FA">
        <w:rPr>
          <w:lang w:val="fr-CA"/>
        </w:rPr>
        <w:t>Nouveau-Brunswick</w:t>
      </w:r>
      <w:r w:rsidR="00C10B47" w:rsidRPr="000274FA">
        <w:rPr>
          <w:lang w:val="fr-CA"/>
        </w:rPr>
        <w:t>)</w:t>
      </w:r>
      <w:r w:rsidRPr="000274FA">
        <w:rPr>
          <w:lang w:val="fr-CA"/>
        </w:rPr>
        <w:t>, Canada, pour examiner les évaluations actualisées (jusqu</w:t>
      </w:r>
      <w:r w:rsidR="001B2BE1" w:rsidRPr="000274FA">
        <w:rPr>
          <w:lang w:val="fr-CA"/>
        </w:rPr>
        <w:t>’</w:t>
      </w:r>
      <w:r w:rsidRPr="000274FA">
        <w:rPr>
          <w:lang w:val="fr-CA"/>
        </w:rPr>
        <w:t>en 2018) concernant la morue de l</w:t>
      </w:r>
      <w:r w:rsidR="001B2BE1" w:rsidRPr="000274FA">
        <w:rPr>
          <w:lang w:val="fr-CA"/>
        </w:rPr>
        <w:t>’</w:t>
      </w:r>
      <w:r w:rsidRPr="000274FA">
        <w:rPr>
          <w:lang w:val="fr-CA"/>
        </w:rPr>
        <w:t>est du banc Georges, l</w:t>
      </w:r>
      <w:r w:rsidR="001B2BE1" w:rsidRPr="000274FA">
        <w:rPr>
          <w:lang w:val="fr-CA"/>
        </w:rPr>
        <w:t>’</w:t>
      </w:r>
      <w:r w:rsidRPr="000274FA">
        <w:rPr>
          <w:lang w:val="fr-CA"/>
        </w:rPr>
        <w:t>aiglefin de l</w:t>
      </w:r>
      <w:r w:rsidR="001B2BE1" w:rsidRPr="000274FA">
        <w:rPr>
          <w:lang w:val="fr-CA"/>
        </w:rPr>
        <w:t>’</w:t>
      </w:r>
      <w:r w:rsidRPr="000274FA">
        <w:rPr>
          <w:lang w:val="fr-CA"/>
        </w:rPr>
        <w:t xml:space="preserve">est du banc Georges et la limande à queue jaune du banc Georges, et pour étudier diverses questions scientifiques connexes. Les résultats de ces évaluations seront utilisés par le Comité </w:t>
      </w:r>
      <w:r w:rsidR="00C10B47" w:rsidRPr="000274FA">
        <w:rPr>
          <w:lang w:val="fr-CA"/>
        </w:rPr>
        <w:t>d</w:t>
      </w:r>
      <w:r w:rsidR="001B2BE1" w:rsidRPr="000274FA">
        <w:rPr>
          <w:lang w:val="fr-CA"/>
        </w:rPr>
        <w:t>’</w:t>
      </w:r>
      <w:r w:rsidRPr="000274FA">
        <w:rPr>
          <w:lang w:val="fr-CA"/>
        </w:rPr>
        <w:t>orientation de la gestion des stocks transfrontaliers (COGST) pour formuler un avis sur l</w:t>
      </w:r>
      <w:r w:rsidR="001B2BE1" w:rsidRPr="000274FA">
        <w:rPr>
          <w:lang w:val="fr-CA"/>
        </w:rPr>
        <w:t>’</w:t>
      </w:r>
      <w:r w:rsidRPr="000274FA">
        <w:rPr>
          <w:lang w:val="fr-CA"/>
        </w:rPr>
        <w:t>orientation à donner à la gestion de ces ressources transfrontalières pour l</w:t>
      </w:r>
      <w:r w:rsidR="001B2BE1" w:rsidRPr="000274FA">
        <w:rPr>
          <w:lang w:val="fr-CA"/>
        </w:rPr>
        <w:t>’</w:t>
      </w:r>
      <w:r w:rsidRPr="000274FA">
        <w:rPr>
          <w:lang w:val="fr-CA"/>
        </w:rPr>
        <w:t>année de pêche</w:t>
      </w:r>
      <w:r w:rsidR="00C10B47" w:rsidRPr="000274FA">
        <w:rPr>
          <w:lang w:val="fr-CA"/>
        </w:rPr>
        <w:t> </w:t>
      </w:r>
      <w:r w:rsidRPr="000274FA">
        <w:rPr>
          <w:lang w:val="fr-CA"/>
        </w:rPr>
        <w:t>2020.</w:t>
      </w:r>
    </w:p>
    <w:p w14:paraId="53EF57FE" w14:textId="77777777" w:rsidR="00290E33" w:rsidRPr="000274FA" w:rsidRDefault="00290E33" w:rsidP="00E82E3D">
      <w:pPr>
        <w:pStyle w:val="BodyText"/>
        <w:rPr>
          <w:lang w:val="fr-CA"/>
        </w:rPr>
        <w:sectPr w:rsidR="00290E33" w:rsidRPr="000274FA" w:rsidSect="00DA68D4">
          <w:headerReference w:type="default" r:id="rId16"/>
          <w:footerReference w:type="default" r:id="rId17"/>
          <w:pgSz w:w="12240" w:h="15840"/>
          <w:pgMar w:top="1440" w:right="1440" w:bottom="1440" w:left="1440" w:header="720" w:footer="619" w:gutter="0"/>
          <w:pgNumType w:fmt="lowerRoman" w:start="3"/>
          <w:cols w:space="720"/>
        </w:sectPr>
      </w:pPr>
    </w:p>
    <w:p w14:paraId="71F9451A" w14:textId="77777777" w:rsidR="00E5308B" w:rsidRPr="000274FA" w:rsidRDefault="00E5308B" w:rsidP="00606C90">
      <w:pPr>
        <w:pStyle w:val="Heading1"/>
        <w:rPr>
          <w:lang w:val="fr-CA"/>
        </w:rPr>
      </w:pPr>
      <w:bookmarkStart w:id="1" w:name="_Toc44059136"/>
      <w:r w:rsidRPr="000274FA">
        <w:rPr>
          <w:lang w:val="fr-CA"/>
        </w:rPr>
        <w:lastRenderedPageBreak/>
        <w:t>INTRODUCTION</w:t>
      </w:r>
      <w:bookmarkEnd w:id="1"/>
    </w:p>
    <w:p w14:paraId="02DCDB01" w14:textId="61E6F12F" w:rsidR="00B026C2" w:rsidRPr="000274FA" w:rsidRDefault="00B026C2" w:rsidP="00354A60">
      <w:pPr>
        <w:pStyle w:val="BodyText"/>
        <w:rPr>
          <w:lang w:val="fr-CA"/>
        </w:rPr>
      </w:pPr>
      <w:r w:rsidRPr="000274FA">
        <w:rPr>
          <w:lang w:val="fr-CA"/>
        </w:rPr>
        <w:t>Le président de la réunion du Comité d</w:t>
      </w:r>
      <w:r w:rsidR="001B2BE1" w:rsidRPr="000274FA">
        <w:rPr>
          <w:lang w:val="fr-CA"/>
        </w:rPr>
        <w:t>’</w:t>
      </w:r>
      <w:r w:rsidRPr="000274FA">
        <w:rPr>
          <w:lang w:val="fr-CA"/>
        </w:rPr>
        <w:t>évaluation des ressources transfrontalières (CERT) de 2019, John</w:t>
      </w:r>
      <w:r w:rsidR="00745EDD" w:rsidRPr="000274FA">
        <w:rPr>
          <w:lang w:val="fr-CA"/>
        </w:rPr>
        <w:t> </w:t>
      </w:r>
      <w:r w:rsidRPr="000274FA">
        <w:rPr>
          <w:lang w:val="fr-CA"/>
        </w:rPr>
        <w:t>Neilson, souhaite la bienvenue aux participants (Annexe 1) à la réunion tenue par le CERT du 9 au 11 juillet 2019 pour l</w:t>
      </w:r>
      <w:r w:rsidR="001B2BE1" w:rsidRPr="000274FA">
        <w:rPr>
          <w:lang w:val="fr-CA"/>
        </w:rPr>
        <w:t>’</w:t>
      </w:r>
      <w:r w:rsidRPr="000274FA">
        <w:rPr>
          <w:lang w:val="fr-CA"/>
        </w:rPr>
        <w:t>évaluation de la morue franche de l</w:t>
      </w:r>
      <w:r w:rsidR="001B2BE1" w:rsidRPr="000274FA">
        <w:rPr>
          <w:lang w:val="fr-CA"/>
        </w:rPr>
        <w:t>’</w:t>
      </w:r>
      <w:r w:rsidRPr="000274FA">
        <w:rPr>
          <w:lang w:val="fr-CA"/>
        </w:rPr>
        <w:t xml:space="preserve">est du </w:t>
      </w:r>
      <w:r w:rsidR="00E8153D" w:rsidRPr="000274FA">
        <w:rPr>
          <w:lang w:val="fr-CA"/>
        </w:rPr>
        <w:t>banc Georges</w:t>
      </w:r>
      <w:r w:rsidRPr="000274FA">
        <w:rPr>
          <w:lang w:val="fr-CA"/>
        </w:rPr>
        <w:t xml:space="preserve"> (</w:t>
      </w:r>
      <w:r w:rsidRPr="000274FA">
        <w:rPr>
          <w:i/>
          <w:lang w:val="fr-CA"/>
        </w:rPr>
        <w:t>Gadus morhua</w:t>
      </w:r>
      <w:r w:rsidRPr="000274FA">
        <w:rPr>
          <w:lang w:val="fr-CA"/>
        </w:rPr>
        <w:t>), de l</w:t>
      </w:r>
      <w:r w:rsidR="001B2BE1" w:rsidRPr="000274FA">
        <w:rPr>
          <w:lang w:val="fr-CA"/>
        </w:rPr>
        <w:t>’</w:t>
      </w:r>
      <w:r w:rsidRPr="000274FA">
        <w:rPr>
          <w:lang w:val="fr-CA"/>
        </w:rPr>
        <w:t>aiglefin de l</w:t>
      </w:r>
      <w:r w:rsidR="001B2BE1" w:rsidRPr="000274FA">
        <w:rPr>
          <w:lang w:val="fr-CA"/>
        </w:rPr>
        <w:t>’</w:t>
      </w:r>
      <w:r w:rsidRPr="000274FA">
        <w:rPr>
          <w:lang w:val="fr-CA"/>
        </w:rPr>
        <w:t xml:space="preserve">est du </w:t>
      </w:r>
      <w:r w:rsidR="00E8153D" w:rsidRPr="000274FA">
        <w:rPr>
          <w:lang w:val="fr-CA"/>
        </w:rPr>
        <w:t>banc Georges</w:t>
      </w:r>
      <w:r w:rsidRPr="000274FA">
        <w:rPr>
          <w:lang w:val="fr-CA"/>
        </w:rPr>
        <w:t xml:space="preserve"> (</w:t>
      </w:r>
      <w:r w:rsidRPr="000274FA">
        <w:rPr>
          <w:i/>
          <w:lang w:val="fr-CA"/>
        </w:rPr>
        <w:t>Melanogrammus aeglefinus</w:t>
      </w:r>
      <w:r w:rsidRPr="000274FA">
        <w:rPr>
          <w:lang w:val="fr-CA"/>
        </w:rPr>
        <w:t xml:space="preserve">) et de la limande à queue jaune du </w:t>
      </w:r>
      <w:r w:rsidR="00E8153D" w:rsidRPr="000274FA">
        <w:rPr>
          <w:lang w:val="fr-CA"/>
        </w:rPr>
        <w:t>banc Georges</w:t>
      </w:r>
      <w:r w:rsidRPr="000274FA">
        <w:rPr>
          <w:lang w:val="fr-CA"/>
        </w:rPr>
        <w:t xml:space="preserve"> (</w:t>
      </w:r>
      <w:r w:rsidRPr="000274FA">
        <w:rPr>
          <w:i/>
          <w:lang w:val="fr-CA"/>
        </w:rPr>
        <w:t>Limanda ferruginea</w:t>
      </w:r>
      <w:r w:rsidRPr="000274FA">
        <w:rPr>
          <w:lang w:val="fr-CA"/>
        </w:rPr>
        <w:t>). Le CERT a été créé en 1998 pour effectuer des évaluations conjointes, pour le compte du Canada et des États-Unis d</w:t>
      </w:r>
      <w:r w:rsidR="001B2BE1" w:rsidRPr="000274FA">
        <w:rPr>
          <w:lang w:val="fr-CA"/>
        </w:rPr>
        <w:t>’</w:t>
      </w:r>
      <w:r w:rsidRPr="000274FA">
        <w:rPr>
          <w:lang w:val="fr-CA"/>
        </w:rPr>
        <w:t xml:space="preserve">Amérique, des ressources du </w:t>
      </w:r>
      <w:r w:rsidR="00E8153D" w:rsidRPr="000274FA">
        <w:rPr>
          <w:lang w:val="fr-CA"/>
        </w:rPr>
        <w:t>banc Georges</w:t>
      </w:r>
      <w:r w:rsidR="00A24F40">
        <w:rPr>
          <w:lang w:val="fr-CA"/>
        </w:rPr>
        <w:t>. Le cadre de r</w:t>
      </w:r>
      <w:r w:rsidR="00A24F40" w:rsidRPr="000274FA">
        <w:rPr>
          <w:lang w:val="fr-CA"/>
        </w:rPr>
        <w:t>é</w:t>
      </w:r>
      <w:r w:rsidR="00A24F40">
        <w:rPr>
          <w:lang w:val="fr-CA"/>
        </w:rPr>
        <w:t>f</w:t>
      </w:r>
      <w:r w:rsidR="00A24F40" w:rsidRPr="000274FA">
        <w:rPr>
          <w:lang w:val="fr-CA"/>
        </w:rPr>
        <w:t>é</w:t>
      </w:r>
      <w:r w:rsidR="00A24F40">
        <w:rPr>
          <w:lang w:val="fr-CA"/>
        </w:rPr>
        <w:t>rence</w:t>
      </w:r>
      <w:r w:rsidRPr="000274FA">
        <w:rPr>
          <w:lang w:val="fr-CA"/>
        </w:rPr>
        <w:t xml:space="preserve"> du CERT pour 2019 (Annexe 2) a été approuvé par le Comité directeur Canada–États-Unis, le Comité d</w:t>
      </w:r>
      <w:r w:rsidR="001B2BE1" w:rsidRPr="000274FA">
        <w:rPr>
          <w:lang w:val="fr-CA"/>
        </w:rPr>
        <w:t>’</w:t>
      </w:r>
      <w:r w:rsidRPr="000274FA">
        <w:rPr>
          <w:lang w:val="fr-CA"/>
        </w:rPr>
        <w:t>orientation de la gestion des stocks transfrontaliers (COGST) Canada–États-Unis, le Northeast Regional Coordinating Council des États-Unis et le Comité consultatif canadien du golfe du Maine.</w:t>
      </w:r>
    </w:p>
    <w:p w14:paraId="6DCA5FD8" w14:textId="04B438D4" w:rsidR="008431F2" w:rsidRPr="000274FA" w:rsidRDefault="00B026C2" w:rsidP="00354A60">
      <w:pPr>
        <w:pStyle w:val="BodyText"/>
        <w:rPr>
          <w:lang w:val="fr-CA"/>
        </w:rPr>
      </w:pPr>
      <w:r w:rsidRPr="000274FA">
        <w:rPr>
          <w:lang w:val="fr-CA"/>
        </w:rPr>
        <w:t>La coprésidente canadienne du CERT, Kirsten</w:t>
      </w:r>
      <w:r w:rsidR="00745EDD" w:rsidRPr="000274FA">
        <w:rPr>
          <w:lang w:val="fr-CA"/>
        </w:rPr>
        <w:t> </w:t>
      </w:r>
      <w:r w:rsidRPr="000274FA">
        <w:rPr>
          <w:lang w:val="fr-CA"/>
        </w:rPr>
        <w:t xml:space="preserve">Clark, rappelle aux participants à la réunion les sites </w:t>
      </w:r>
      <w:hyperlink r:id="rId18" w:history="1">
        <w:r w:rsidRPr="000274FA">
          <w:rPr>
            <w:rStyle w:val="Hyperlink"/>
            <w:lang w:val="fr-CA"/>
          </w:rPr>
          <w:t>canadien</w:t>
        </w:r>
      </w:hyperlink>
      <w:r w:rsidRPr="000274FA">
        <w:rPr>
          <w:lang w:val="fr-CA"/>
        </w:rPr>
        <w:t xml:space="preserve"> et </w:t>
      </w:r>
      <w:hyperlink r:id="rId19" w:history="1">
        <w:r w:rsidRPr="000274FA">
          <w:rPr>
            <w:rStyle w:val="Hyperlink"/>
            <w:lang w:val="fr-CA"/>
          </w:rPr>
          <w:t>américain</w:t>
        </w:r>
      </w:hyperlink>
      <w:r w:rsidRPr="000274FA">
        <w:rPr>
          <w:lang w:val="fr-CA"/>
        </w:rPr>
        <w:t xml:space="preserve"> </w:t>
      </w:r>
      <w:r w:rsidR="00ED246B" w:rsidRPr="000274FA">
        <w:rPr>
          <w:lang w:val="fr-CA"/>
        </w:rPr>
        <w:t xml:space="preserve">(en anglais seulement) </w:t>
      </w:r>
      <w:r w:rsidRPr="000274FA">
        <w:rPr>
          <w:lang w:val="fr-CA"/>
        </w:rPr>
        <w:t>sur lesquels le processus d</w:t>
      </w:r>
      <w:r w:rsidR="001B2BE1" w:rsidRPr="000274FA">
        <w:rPr>
          <w:lang w:val="fr-CA"/>
        </w:rPr>
        <w:t>’</w:t>
      </w:r>
      <w:r w:rsidRPr="000274FA">
        <w:rPr>
          <w:lang w:val="fr-CA"/>
        </w:rPr>
        <w:t>examen du CERT est consigné. Au cours de la réunion, chaque document de travail est présenté par les auteurs scientifiques; chaque présentation est suivie d</w:t>
      </w:r>
      <w:r w:rsidR="001B2BE1" w:rsidRPr="000274FA">
        <w:rPr>
          <w:lang w:val="fr-CA"/>
        </w:rPr>
        <w:t>’</w:t>
      </w:r>
      <w:r w:rsidRPr="000274FA">
        <w:rPr>
          <w:lang w:val="fr-CA"/>
        </w:rPr>
        <w:t>une discussion par les examinateurs, le personnel d</w:t>
      </w:r>
      <w:r w:rsidR="001B2BE1" w:rsidRPr="000274FA">
        <w:rPr>
          <w:lang w:val="fr-CA"/>
        </w:rPr>
        <w:t>’</w:t>
      </w:r>
      <w:r w:rsidRPr="000274FA">
        <w:rPr>
          <w:lang w:val="fr-CA"/>
        </w:rPr>
        <w:t>évaluation, les coprésidentes et les gestionnaires de ressources désignés, puis d</w:t>
      </w:r>
      <w:r w:rsidR="001B2BE1" w:rsidRPr="000274FA">
        <w:rPr>
          <w:lang w:val="fr-CA"/>
        </w:rPr>
        <w:t>’</w:t>
      </w:r>
      <w:r w:rsidRPr="000274FA">
        <w:rPr>
          <w:lang w:val="fr-CA"/>
        </w:rPr>
        <w:t>une discussion en séance plénière. Les examinateurs, le personnel d</w:t>
      </w:r>
      <w:r w:rsidR="001B2BE1" w:rsidRPr="000274FA">
        <w:rPr>
          <w:lang w:val="fr-CA"/>
        </w:rPr>
        <w:t>’</w:t>
      </w:r>
      <w:r w:rsidRPr="000274FA">
        <w:rPr>
          <w:lang w:val="fr-CA"/>
        </w:rPr>
        <w:t>évaluation, les coprésidentes et les gestionnaires de ressources désignés déterminent ensuite la mesure dans laquelle la discussion en séance plénière a modifié l</w:t>
      </w:r>
      <w:r w:rsidR="001B2BE1" w:rsidRPr="000274FA">
        <w:rPr>
          <w:lang w:val="fr-CA"/>
        </w:rPr>
        <w:t>’</w:t>
      </w:r>
      <w:r w:rsidRPr="000274FA">
        <w:rPr>
          <w:lang w:val="fr-CA"/>
        </w:rPr>
        <w:t>une ou l</w:t>
      </w:r>
      <w:r w:rsidR="001B2BE1" w:rsidRPr="000274FA">
        <w:rPr>
          <w:lang w:val="fr-CA"/>
        </w:rPr>
        <w:t>’</w:t>
      </w:r>
      <w:r w:rsidRPr="000274FA">
        <w:rPr>
          <w:lang w:val="fr-CA"/>
        </w:rPr>
        <w:t>autre de leurs recommandations initiales. D</w:t>
      </w:r>
      <w:r w:rsidR="001B2BE1" w:rsidRPr="000274FA">
        <w:rPr>
          <w:lang w:val="fr-CA"/>
        </w:rPr>
        <w:t>’</w:t>
      </w:r>
      <w:r w:rsidRPr="000274FA">
        <w:rPr>
          <w:lang w:val="fr-CA"/>
        </w:rPr>
        <w:t>autres exposés sont présentés pour lesquels aucun document de travail n</w:t>
      </w:r>
      <w:r w:rsidR="001B2BE1" w:rsidRPr="000274FA">
        <w:rPr>
          <w:lang w:val="fr-CA"/>
        </w:rPr>
        <w:t>’</w:t>
      </w:r>
      <w:r w:rsidRPr="000274FA">
        <w:rPr>
          <w:lang w:val="fr-CA"/>
        </w:rPr>
        <w:t>a été préparé.</w:t>
      </w:r>
    </w:p>
    <w:p w14:paraId="07CBE14D" w14:textId="06207842" w:rsidR="00210A96" w:rsidRPr="000274FA" w:rsidRDefault="008431F2" w:rsidP="00354A60">
      <w:pPr>
        <w:pStyle w:val="BodyText"/>
        <w:rPr>
          <w:lang w:val="fr-CA"/>
        </w:rPr>
      </w:pPr>
      <w:r w:rsidRPr="000274FA">
        <w:rPr>
          <w:lang w:val="fr-CA"/>
        </w:rPr>
        <w:t>La coprésidente américaine du CERT, Tara</w:t>
      </w:r>
      <w:r w:rsidR="00ED246B" w:rsidRPr="000274FA">
        <w:rPr>
          <w:lang w:val="fr-CA"/>
        </w:rPr>
        <w:t> </w:t>
      </w:r>
      <w:r w:rsidR="009059E9">
        <w:rPr>
          <w:lang w:val="fr-CA"/>
        </w:rPr>
        <w:t>Trinko-Lake, présente le cadre de r</w:t>
      </w:r>
      <w:r w:rsidR="009059E9" w:rsidRPr="000274FA">
        <w:rPr>
          <w:lang w:val="fr-CA"/>
        </w:rPr>
        <w:t>é</w:t>
      </w:r>
      <w:r w:rsidR="009059E9">
        <w:rPr>
          <w:lang w:val="fr-CA"/>
        </w:rPr>
        <w:t>f</w:t>
      </w:r>
      <w:r w:rsidR="009059E9" w:rsidRPr="000274FA">
        <w:rPr>
          <w:lang w:val="fr-CA"/>
        </w:rPr>
        <w:t>é</w:t>
      </w:r>
      <w:r w:rsidR="009059E9">
        <w:rPr>
          <w:lang w:val="fr-CA"/>
        </w:rPr>
        <w:t>rence</w:t>
      </w:r>
      <w:r w:rsidRPr="000274FA">
        <w:rPr>
          <w:lang w:val="fr-CA"/>
        </w:rPr>
        <w:t xml:space="preserve"> de 2019 (Annexe 2) et explique le </w:t>
      </w:r>
      <w:hyperlink r:id="rId20" w:history="1">
        <w:r w:rsidRPr="000274FA">
          <w:rPr>
            <w:rStyle w:val="Hyperlink"/>
            <w:lang w:val="fr-CA"/>
          </w:rPr>
          <w:t>nouveau processus des volets de gestion et de recherche pour l</w:t>
        </w:r>
        <w:r w:rsidR="001B2BE1" w:rsidRPr="000274FA">
          <w:rPr>
            <w:rStyle w:val="Hyperlink"/>
            <w:lang w:val="fr-CA"/>
          </w:rPr>
          <w:t>’</w:t>
        </w:r>
        <w:r w:rsidRPr="000274FA">
          <w:rPr>
            <w:rStyle w:val="Hyperlink"/>
            <w:lang w:val="fr-CA"/>
          </w:rPr>
          <w:t>évaluation des stocks nationaux américains</w:t>
        </w:r>
      </w:hyperlink>
      <w:r w:rsidR="00ED246B" w:rsidRPr="000274FA">
        <w:rPr>
          <w:lang w:val="fr-CA"/>
        </w:rPr>
        <w:t xml:space="preserve"> (en anglais seulement).</w:t>
      </w:r>
      <w:r w:rsidR="00C56C44" w:rsidRPr="000274FA">
        <w:rPr>
          <w:lang w:val="fr-CA"/>
        </w:rPr>
        <w:t xml:space="preserve"> </w:t>
      </w:r>
      <w:r w:rsidRPr="000274FA">
        <w:rPr>
          <w:lang w:val="fr-CA"/>
        </w:rPr>
        <w:t>Elle fait remarquer que les États-Unis ont prévu des évaluations du volet de recherche national pour l</w:t>
      </w:r>
      <w:r w:rsidR="001B2BE1" w:rsidRPr="000274FA">
        <w:rPr>
          <w:lang w:val="fr-CA"/>
        </w:rPr>
        <w:t>’</w:t>
      </w:r>
      <w:r w:rsidRPr="000274FA">
        <w:rPr>
          <w:lang w:val="fr-CA"/>
        </w:rPr>
        <w:t>aiglefin en 2021, la morue en 2023 et la limande à queue jaune en 2024</w:t>
      </w:r>
      <w:r w:rsidR="00C56C44" w:rsidRPr="000274FA">
        <w:rPr>
          <w:lang w:val="fr-CA"/>
        </w:rPr>
        <w:t xml:space="preserve">. </w:t>
      </w:r>
      <w:r w:rsidRPr="000274FA">
        <w:rPr>
          <w:lang w:val="fr-CA"/>
        </w:rPr>
        <w:t>Au cours des prochains mois, le Northeast Fisheries Science Center (NEFSC) et Pêches et Océans Canada (MPO) discuteront de la participation du Canada à ces processus et de l</w:t>
      </w:r>
      <w:r w:rsidR="001B2BE1" w:rsidRPr="000274FA">
        <w:rPr>
          <w:lang w:val="fr-CA"/>
        </w:rPr>
        <w:t>’</w:t>
      </w:r>
      <w:r w:rsidRPr="000274FA">
        <w:rPr>
          <w:lang w:val="fr-CA"/>
        </w:rPr>
        <w:t>harmonisation des évaluations de référence du CERT avec le calendrier américain.</w:t>
      </w:r>
    </w:p>
    <w:p w14:paraId="338F0CE2" w14:textId="6F7CC973" w:rsidR="00B026C2" w:rsidRPr="000274FA" w:rsidRDefault="00B026C2" w:rsidP="00354A60">
      <w:pPr>
        <w:pStyle w:val="BodyText"/>
        <w:rPr>
          <w:lang w:val="fr-CA"/>
        </w:rPr>
      </w:pPr>
      <w:r w:rsidRPr="000274FA">
        <w:rPr>
          <w:lang w:val="fr-CA"/>
        </w:rPr>
        <w:t>Deux pairs examinateurs sont invités à participer à l</w:t>
      </w:r>
      <w:r w:rsidR="001B2BE1" w:rsidRPr="000274FA">
        <w:rPr>
          <w:lang w:val="fr-CA"/>
        </w:rPr>
        <w:t>’</w:t>
      </w:r>
      <w:r w:rsidRPr="000274FA">
        <w:rPr>
          <w:lang w:val="fr-CA"/>
        </w:rPr>
        <w:t>examen des évaluations : David</w:t>
      </w:r>
      <w:r w:rsidR="00ED246B" w:rsidRPr="000274FA">
        <w:rPr>
          <w:lang w:val="fr-CA"/>
        </w:rPr>
        <w:t> </w:t>
      </w:r>
      <w:r w:rsidRPr="000274FA">
        <w:rPr>
          <w:lang w:val="fr-CA"/>
        </w:rPr>
        <w:t>Keith (Canada) et Jason</w:t>
      </w:r>
      <w:r w:rsidR="00ED246B" w:rsidRPr="000274FA">
        <w:rPr>
          <w:lang w:val="fr-CA"/>
        </w:rPr>
        <w:t> </w:t>
      </w:r>
      <w:r w:rsidRPr="000274FA">
        <w:rPr>
          <w:lang w:val="fr-CA"/>
        </w:rPr>
        <w:t>McNamee (États-Unis). Les deux examinateurs ont déjà agi à titre d</w:t>
      </w:r>
      <w:r w:rsidR="001B2BE1" w:rsidRPr="000274FA">
        <w:rPr>
          <w:lang w:val="fr-CA"/>
        </w:rPr>
        <w:t>’</w:t>
      </w:r>
      <w:r w:rsidRPr="000274FA">
        <w:rPr>
          <w:lang w:val="fr-CA"/>
        </w:rPr>
        <w:t>examinateurs du CERT.</w:t>
      </w:r>
    </w:p>
    <w:p w14:paraId="11EDFFA3" w14:textId="21494088" w:rsidR="00EB16A4" w:rsidRPr="000274FA" w:rsidRDefault="0036371F" w:rsidP="00291412">
      <w:pPr>
        <w:pStyle w:val="Heading2"/>
        <w:rPr>
          <w:lang w:val="fr-CA"/>
        </w:rPr>
      </w:pPr>
      <w:bookmarkStart w:id="2" w:name="_Toc44059137"/>
      <w:r w:rsidRPr="000274FA">
        <w:rPr>
          <w:lang w:val="fr-CA"/>
        </w:rPr>
        <w:t xml:space="preserve">Limande à queue jaune du </w:t>
      </w:r>
      <w:r w:rsidR="00E8153D" w:rsidRPr="000274FA">
        <w:rPr>
          <w:lang w:val="fr-CA"/>
        </w:rPr>
        <w:t>banc Georges</w:t>
      </w:r>
      <w:bookmarkEnd w:id="2"/>
    </w:p>
    <w:p w14:paraId="7274D944" w14:textId="50AA162B" w:rsidR="00F142E9" w:rsidRPr="000274FA" w:rsidRDefault="00806BB4" w:rsidP="00E607EA">
      <w:pPr>
        <w:pStyle w:val="Heading3"/>
      </w:pPr>
      <w:bookmarkStart w:id="3" w:name="_Toc44059138"/>
      <w:r w:rsidRPr="000274FA">
        <w:t>É</w:t>
      </w:r>
      <w:r w:rsidR="00F142E9" w:rsidRPr="000274FA">
        <w:t xml:space="preserve">valuation du stock de limande à queue jaune du </w:t>
      </w:r>
      <w:r w:rsidR="00E8153D" w:rsidRPr="000274FA">
        <w:t>banc Georges</w:t>
      </w:r>
      <w:r w:rsidR="00F142E9" w:rsidRPr="000274FA">
        <w:t xml:space="preserve"> pour 2019</w:t>
      </w:r>
      <w:bookmarkEnd w:id="3"/>
    </w:p>
    <w:p w14:paraId="07C009BB" w14:textId="1E46D5F8" w:rsidR="007C505A" w:rsidRPr="000274FA" w:rsidRDefault="00606C90" w:rsidP="00606C90">
      <w:pPr>
        <w:spacing w:before="0" w:after="0"/>
        <w:ind w:left="3240" w:hanging="3240"/>
        <w:rPr>
          <w:lang w:val="fr-CA"/>
        </w:rPr>
      </w:pPr>
      <w:r w:rsidRPr="000274FA">
        <w:rPr>
          <w:lang w:val="fr-CA"/>
        </w:rPr>
        <w:t>Document de travail</w:t>
      </w:r>
      <w:r w:rsidR="00D80605" w:rsidRPr="000274FA">
        <w:rPr>
          <w:lang w:val="fr-CA"/>
        </w:rPr>
        <w:t> </w:t>
      </w:r>
      <w:r w:rsidRPr="000274FA">
        <w:rPr>
          <w:lang w:val="fr-CA"/>
        </w:rPr>
        <w:t>2019/</w:t>
      </w:r>
      <w:r w:rsidR="000274FA" w:rsidRPr="000274FA">
        <w:rPr>
          <w:lang w:val="fr-CA"/>
        </w:rPr>
        <w:t>02</w:t>
      </w:r>
      <w:r w:rsidRPr="000274FA">
        <w:rPr>
          <w:lang w:val="fr-CA"/>
        </w:rPr>
        <w:t> :</w:t>
      </w:r>
      <w:r w:rsidRPr="000274FA">
        <w:rPr>
          <w:lang w:val="fr-CA"/>
        </w:rPr>
        <w:tab/>
        <w:t>Stock Assessment of Georges Bank Yellowtail Flounder for 2019</w:t>
      </w:r>
      <w:r w:rsidR="00111133" w:rsidRPr="000274FA">
        <w:rPr>
          <w:lang w:val="fr-CA"/>
        </w:rPr>
        <w:t xml:space="preserve"> (Évaluation du stock de limande à queue jaune du banc Georges pour 2019)</w:t>
      </w:r>
    </w:p>
    <w:p w14:paraId="6D420081" w14:textId="6A7D2C19" w:rsidR="007C505A" w:rsidRPr="000274FA" w:rsidRDefault="007C505A" w:rsidP="001B2BE1">
      <w:pPr>
        <w:tabs>
          <w:tab w:val="left" w:pos="3240"/>
        </w:tabs>
        <w:spacing w:before="0" w:after="0"/>
        <w:rPr>
          <w:lang w:val="fr-CA"/>
        </w:rPr>
      </w:pPr>
      <w:r w:rsidRPr="000274FA">
        <w:rPr>
          <w:lang w:val="fr-CA"/>
        </w:rPr>
        <w:t xml:space="preserve">Responsables scientifiques </w:t>
      </w:r>
      <w:r w:rsidR="001B2BE1" w:rsidRPr="000274FA">
        <w:rPr>
          <w:lang w:val="fr-CA"/>
        </w:rPr>
        <w:br/>
      </w:r>
      <w:r w:rsidRPr="000274FA">
        <w:rPr>
          <w:lang w:val="fr-CA"/>
        </w:rPr>
        <w:t xml:space="preserve">(document de travail) : </w:t>
      </w:r>
      <w:r w:rsidRPr="000274FA">
        <w:rPr>
          <w:lang w:val="fr-CA"/>
        </w:rPr>
        <w:tab/>
        <w:t>C.M. Legault et M. Finley</w:t>
      </w:r>
    </w:p>
    <w:p w14:paraId="181A5033" w14:textId="060EB9C0" w:rsidR="007C505A" w:rsidRPr="000274FA" w:rsidRDefault="00606C90" w:rsidP="00606C90">
      <w:pPr>
        <w:spacing w:before="0" w:after="0"/>
        <w:ind w:left="3240" w:hanging="3240"/>
        <w:rPr>
          <w:lang w:val="fr-CA"/>
        </w:rPr>
      </w:pPr>
      <w:r w:rsidRPr="000274FA">
        <w:rPr>
          <w:lang w:val="fr-CA"/>
        </w:rPr>
        <w:t>Présentateur</w:t>
      </w:r>
      <w:r w:rsidR="001C5656" w:rsidRPr="000274FA">
        <w:rPr>
          <w:lang w:val="fr-CA"/>
        </w:rPr>
        <w:t> </w:t>
      </w:r>
      <w:r w:rsidRPr="000274FA">
        <w:rPr>
          <w:lang w:val="fr-CA"/>
        </w:rPr>
        <w:t xml:space="preserve">: </w:t>
      </w:r>
      <w:r w:rsidRPr="000274FA">
        <w:rPr>
          <w:lang w:val="fr-CA"/>
        </w:rPr>
        <w:tab/>
        <w:t>C.M. Legault</w:t>
      </w:r>
    </w:p>
    <w:p w14:paraId="44836767" w14:textId="77777777" w:rsidR="007C505A" w:rsidRPr="000274FA" w:rsidRDefault="007C505A" w:rsidP="00606C90">
      <w:pPr>
        <w:spacing w:before="0" w:after="0"/>
        <w:ind w:left="3240" w:hanging="3240"/>
        <w:rPr>
          <w:lang w:val="fr-CA"/>
        </w:rPr>
      </w:pPr>
      <w:r w:rsidRPr="000274FA">
        <w:rPr>
          <w:lang w:val="fr-CA"/>
        </w:rPr>
        <w:t xml:space="preserve">Rapporteurs : </w:t>
      </w:r>
      <w:r w:rsidRPr="000274FA">
        <w:rPr>
          <w:lang w:val="fr-CA"/>
        </w:rPr>
        <w:tab/>
        <w:t>Q. McCurdy et K. Clark</w:t>
      </w:r>
    </w:p>
    <w:p w14:paraId="0022C113" w14:textId="77777777" w:rsidR="00EB16A4" w:rsidRPr="000274FA" w:rsidRDefault="007C505A" w:rsidP="000274FA">
      <w:pPr>
        <w:pStyle w:val="Heading4"/>
        <w:rPr>
          <w:lang w:val="fr-CA"/>
        </w:rPr>
      </w:pPr>
      <w:r w:rsidRPr="000274FA">
        <w:rPr>
          <w:lang w:val="fr-CA"/>
        </w:rPr>
        <w:t>Points saillants de la présentation</w:t>
      </w:r>
    </w:p>
    <w:p w14:paraId="5055A388" w14:textId="1F367722" w:rsidR="0036371F" w:rsidRPr="000274FA" w:rsidRDefault="0036371F" w:rsidP="000274FA">
      <w:pPr>
        <w:pStyle w:val="BodyText"/>
        <w:rPr>
          <w:lang w:val="fr-CA"/>
        </w:rPr>
      </w:pPr>
      <w:r w:rsidRPr="000274FA">
        <w:rPr>
          <w:lang w:val="fr-CA"/>
        </w:rPr>
        <w:t>En 2018, les prises combinées de limande à queue jaune au Canada et aux États-Unis se sont établies à 45 </w:t>
      </w:r>
      <w:r w:rsidR="009C79AB" w:rsidRPr="000274FA">
        <w:rPr>
          <w:lang w:val="fr-CA"/>
        </w:rPr>
        <w:t>tonnes métriques (tm)</w:t>
      </w:r>
      <w:r w:rsidRPr="000274FA">
        <w:rPr>
          <w:lang w:val="fr-CA"/>
        </w:rPr>
        <w:t>; aucun des deux pays n</w:t>
      </w:r>
      <w:r w:rsidR="001B2BE1" w:rsidRPr="000274FA">
        <w:rPr>
          <w:lang w:val="fr-CA"/>
        </w:rPr>
        <w:t>’</w:t>
      </w:r>
      <w:r w:rsidRPr="000274FA">
        <w:rPr>
          <w:lang w:val="fr-CA"/>
        </w:rPr>
        <w:t xml:space="preserve">a atteint sa part du quota. Deux </w:t>
      </w:r>
      <w:r w:rsidRPr="000274FA">
        <w:rPr>
          <w:lang w:val="fr-CA"/>
        </w:rPr>
        <w:lastRenderedPageBreak/>
        <w:t>des trois relevés au chalut ont augmenté, mais tous sont restés à de bas niveaux, comparativement aux autres relevés de cette série chronologique.</w:t>
      </w:r>
    </w:p>
    <w:p w14:paraId="006F8A01" w14:textId="28CFD848" w:rsidR="009D16A6" w:rsidRPr="000274FA" w:rsidRDefault="009D16A6" w:rsidP="000274FA">
      <w:pPr>
        <w:pStyle w:val="BodyText"/>
        <w:rPr>
          <w:rFonts w:cs="Arial"/>
          <w:lang w:val="fr-CA"/>
        </w:rPr>
      </w:pPr>
      <w:r w:rsidRPr="000274FA">
        <w:rPr>
          <w:lang w:val="fr-CA"/>
        </w:rPr>
        <w:t>Plusieurs sources d</w:t>
      </w:r>
      <w:r w:rsidR="001B2BE1" w:rsidRPr="000274FA">
        <w:rPr>
          <w:lang w:val="fr-CA"/>
        </w:rPr>
        <w:t>’</w:t>
      </w:r>
      <w:r w:rsidRPr="000274FA">
        <w:rPr>
          <w:lang w:val="fr-CA"/>
        </w:rPr>
        <w:t>incertitude ont été cernées, notamment la difficulté à caractériser les prises et les poids selon l</w:t>
      </w:r>
      <w:r w:rsidR="001B2BE1" w:rsidRPr="000274FA">
        <w:rPr>
          <w:lang w:val="fr-CA"/>
        </w:rPr>
        <w:t>’</w:t>
      </w:r>
      <w:r w:rsidRPr="000274FA">
        <w:rPr>
          <w:lang w:val="fr-CA"/>
        </w:rPr>
        <w:t>âge à une si faible abondance, les déclarations erronées des prises et des données biaisées en raison des effets d</w:t>
      </w:r>
      <w:r w:rsidR="001B2BE1" w:rsidRPr="000274FA">
        <w:rPr>
          <w:lang w:val="fr-CA"/>
        </w:rPr>
        <w:t>’</w:t>
      </w:r>
      <w:r w:rsidRPr="000274FA">
        <w:rPr>
          <w:lang w:val="fr-CA"/>
        </w:rPr>
        <w:t>observateurs en mer</w:t>
      </w:r>
      <w:r w:rsidR="00C56C44" w:rsidRPr="000274FA">
        <w:rPr>
          <w:lang w:val="fr-CA"/>
        </w:rPr>
        <w:t xml:space="preserve">. </w:t>
      </w:r>
      <w:r w:rsidRPr="000274FA">
        <w:rPr>
          <w:lang w:val="fr-CA"/>
        </w:rPr>
        <w:t>Un cas de déclaration erronée des prises par un détenteur de permis ayant d</w:t>
      </w:r>
      <w:r w:rsidR="001B2BE1" w:rsidRPr="000274FA">
        <w:rPr>
          <w:lang w:val="fr-CA"/>
        </w:rPr>
        <w:t>’</w:t>
      </w:r>
      <w:r w:rsidRPr="000274FA">
        <w:rPr>
          <w:lang w:val="fr-CA"/>
        </w:rPr>
        <w:t>importants quotas de poisson de fond est devant les tribunaux aux États-Unis et, bien que les débarquements de limande à queue jaune selon les documents déposés devant les tribunaux soient inférieurs à 10</w:t>
      </w:r>
      <w:r w:rsidR="009C79AB" w:rsidRPr="000274FA">
        <w:rPr>
          <w:lang w:val="fr-CA"/>
        </w:rPr>
        <w:t> </w:t>
      </w:r>
      <w:r w:rsidRPr="000274FA">
        <w:rPr>
          <w:lang w:val="fr-CA"/>
        </w:rPr>
        <w:t>t</w:t>
      </w:r>
      <w:r w:rsidR="009C79AB" w:rsidRPr="000274FA">
        <w:rPr>
          <w:lang w:val="fr-CA"/>
        </w:rPr>
        <w:t>m</w:t>
      </w:r>
      <w:r w:rsidRPr="000274FA">
        <w:rPr>
          <w:lang w:val="fr-CA"/>
        </w:rPr>
        <w:t xml:space="preserve"> sur quatre</w:t>
      </w:r>
      <w:r w:rsidR="009C79AB" w:rsidRPr="000274FA">
        <w:rPr>
          <w:lang w:val="fr-CA"/>
        </w:rPr>
        <w:t> </w:t>
      </w:r>
      <w:r w:rsidRPr="000274FA">
        <w:rPr>
          <w:lang w:val="fr-CA"/>
        </w:rPr>
        <w:t>ans, la source d</w:t>
      </w:r>
      <w:r w:rsidR="001B2BE1" w:rsidRPr="000274FA">
        <w:rPr>
          <w:lang w:val="fr-CA"/>
        </w:rPr>
        <w:t>’</w:t>
      </w:r>
      <w:r w:rsidRPr="000274FA">
        <w:rPr>
          <w:lang w:val="fr-CA"/>
        </w:rPr>
        <w:t>incertitude demeure parce qu</w:t>
      </w:r>
      <w:r w:rsidR="001B2BE1" w:rsidRPr="000274FA">
        <w:rPr>
          <w:lang w:val="fr-CA"/>
        </w:rPr>
        <w:t>’</w:t>
      </w:r>
      <w:r w:rsidRPr="000274FA">
        <w:rPr>
          <w:lang w:val="fr-CA"/>
        </w:rPr>
        <w:t>on ne sait pas à combien se chiffre le total des prises de la déclaration erronée</w:t>
      </w:r>
      <w:r w:rsidR="00C56C44" w:rsidRPr="000274FA">
        <w:rPr>
          <w:lang w:val="fr-CA"/>
        </w:rPr>
        <w:t xml:space="preserve">. </w:t>
      </w:r>
      <w:r w:rsidRPr="000274FA">
        <w:rPr>
          <w:lang w:val="fr-CA"/>
        </w:rPr>
        <w:t>Une enquête de l</w:t>
      </w:r>
      <w:r w:rsidR="001B2BE1" w:rsidRPr="000274FA">
        <w:rPr>
          <w:lang w:val="fr-CA"/>
        </w:rPr>
        <w:t>’</w:t>
      </w:r>
      <w:r w:rsidRPr="000274FA">
        <w:rPr>
          <w:lang w:val="fr-CA"/>
        </w:rPr>
        <w:t>équipe américaine de l</w:t>
      </w:r>
      <w:r w:rsidR="001B2BE1" w:rsidRPr="000274FA">
        <w:rPr>
          <w:lang w:val="fr-CA"/>
        </w:rPr>
        <w:t>’</w:t>
      </w:r>
      <w:r w:rsidRPr="000274FA">
        <w:rPr>
          <w:lang w:val="fr-CA"/>
        </w:rPr>
        <w:t xml:space="preserve">élaboration du plan pour le poisson de fond a permis de constater des différences dans le comportement de pêche lors des sorties observées et des sorties non observées, ce qui biaise probablement les données sur les prises pour les </w:t>
      </w:r>
      <w:r w:rsidR="009C79AB" w:rsidRPr="000274FA">
        <w:rPr>
          <w:lang w:val="fr-CA"/>
        </w:rPr>
        <w:t>20 </w:t>
      </w:r>
      <w:r w:rsidRPr="000274FA">
        <w:rPr>
          <w:lang w:val="fr-CA"/>
        </w:rPr>
        <w:t>stocks de poissons de fond étudiés, y compris la limande à queue jaune.</w:t>
      </w:r>
    </w:p>
    <w:p w14:paraId="520DF1F3" w14:textId="2BB2DA36" w:rsidR="0036371F" w:rsidRPr="000274FA" w:rsidRDefault="0036371F" w:rsidP="000274FA">
      <w:pPr>
        <w:pStyle w:val="BodyText"/>
        <w:rPr>
          <w:lang w:val="fr-CA"/>
        </w:rPr>
      </w:pPr>
      <w:r w:rsidRPr="000274FA">
        <w:rPr>
          <w:lang w:val="fr-CA"/>
        </w:rPr>
        <w:t>L</w:t>
      </w:r>
      <w:r w:rsidR="001B2BE1" w:rsidRPr="000274FA">
        <w:rPr>
          <w:lang w:val="fr-CA"/>
        </w:rPr>
        <w:t>’</w:t>
      </w:r>
      <w:r w:rsidRPr="000274FA">
        <w:rPr>
          <w:lang w:val="fr-CA"/>
        </w:rPr>
        <w:t>approche empirique recommandée pour l</w:t>
      </w:r>
      <w:r w:rsidR="001B2BE1" w:rsidRPr="000274FA">
        <w:rPr>
          <w:lang w:val="fr-CA"/>
        </w:rPr>
        <w:t>’</w:t>
      </w:r>
      <w:r w:rsidRPr="000274FA">
        <w:rPr>
          <w:lang w:val="fr-CA"/>
        </w:rPr>
        <w:t>analyse comparative des diagnostics de 2014 et modifiée lors de la réunion du CERT de l</w:t>
      </w:r>
      <w:r w:rsidR="001B2BE1" w:rsidRPr="000274FA">
        <w:rPr>
          <w:lang w:val="fr-CA"/>
        </w:rPr>
        <w:t>’</w:t>
      </w:r>
      <w:r w:rsidRPr="000274FA">
        <w:rPr>
          <w:lang w:val="fr-CA"/>
        </w:rPr>
        <w:t xml:space="preserve">an dernier a été appliquée </w:t>
      </w:r>
      <w:r w:rsidR="009C79AB" w:rsidRPr="000274FA">
        <w:rPr>
          <w:lang w:val="fr-CA"/>
        </w:rPr>
        <w:t xml:space="preserve">à </w:t>
      </w:r>
      <w:r w:rsidRPr="000274FA">
        <w:rPr>
          <w:lang w:val="fr-CA"/>
        </w:rPr>
        <w:t>la mise à jour de l</w:t>
      </w:r>
      <w:r w:rsidR="001B2BE1" w:rsidRPr="000274FA">
        <w:rPr>
          <w:lang w:val="fr-CA"/>
        </w:rPr>
        <w:t>’</w:t>
      </w:r>
      <w:r w:rsidRPr="000274FA">
        <w:rPr>
          <w:lang w:val="fr-CA"/>
        </w:rPr>
        <w:t xml:space="preserve">évaluation de cette année. Les trois récents relevés au chalut ont été adaptés </w:t>
      </w:r>
      <w:r w:rsidR="00BC068E" w:rsidRPr="000274FA">
        <w:rPr>
          <w:lang w:val="fr-CA"/>
        </w:rPr>
        <w:t>en fonction d</w:t>
      </w:r>
      <w:r w:rsidRPr="000274FA">
        <w:rPr>
          <w:lang w:val="fr-CA"/>
        </w:rPr>
        <w:t>es estimations de la biomasse absolue et mis en moyenne, et un taux d</w:t>
      </w:r>
      <w:r w:rsidR="001B2BE1" w:rsidRPr="000274FA">
        <w:rPr>
          <w:lang w:val="fr-CA"/>
        </w:rPr>
        <w:t>’</w:t>
      </w:r>
      <w:r w:rsidRPr="000274FA">
        <w:rPr>
          <w:lang w:val="fr-CA"/>
        </w:rPr>
        <w:t>exploitation a été appliqué afin de produire un avis sur les prises pour l</w:t>
      </w:r>
      <w:r w:rsidR="001B2BE1" w:rsidRPr="000274FA">
        <w:rPr>
          <w:lang w:val="fr-CA"/>
        </w:rPr>
        <w:t>’</w:t>
      </w:r>
      <w:r w:rsidRPr="000274FA">
        <w:rPr>
          <w:lang w:val="fr-CA"/>
        </w:rPr>
        <w:t>année suivante. L</w:t>
      </w:r>
      <w:r w:rsidR="001B2BE1" w:rsidRPr="000274FA">
        <w:rPr>
          <w:lang w:val="fr-CA"/>
        </w:rPr>
        <w:t>’</w:t>
      </w:r>
      <w:r w:rsidRPr="000274FA">
        <w:rPr>
          <w:lang w:val="fr-CA"/>
        </w:rPr>
        <w:t>an dernier, le CERT a recommandé un taux d</w:t>
      </w:r>
      <w:r w:rsidR="001B2BE1" w:rsidRPr="000274FA">
        <w:rPr>
          <w:lang w:val="fr-CA"/>
        </w:rPr>
        <w:t>’</w:t>
      </w:r>
      <w:r w:rsidRPr="000274FA">
        <w:rPr>
          <w:lang w:val="fr-CA"/>
        </w:rPr>
        <w:t xml:space="preserve">exploitation de 6 % </w:t>
      </w:r>
      <w:r w:rsidR="00BC068E" w:rsidRPr="000274FA">
        <w:rPr>
          <w:lang w:val="fr-CA"/>
        </w:rPr>
        <w:t>dans son</w:t>
      </w:r>
      <w:r w:rsidRPr="000274FA">
        <w:rPr>
          <w:lang w:val="fr-CA"/>
        </w:rPr>
        <w:t xml:space="preserve"> avis sur les prises. L</w:t>
      </w:r>
      <w:r w:rsidR="001B2BE1" w:rsidRPr="000274FA">
        <w:rPr>
          <w:lang w:val="fr-CA"/>
        </w:rPr>
        <w:t>’</w:t>
      </w:r>
      <w:r w:rsidRPr="000274FA">
        <w:rPr>
          <w:lang w:val="fr-CA"/>
        </w:rPr>
        <w:t>application de ce taux d</w:t>
      </w:r>
      <w:r w:rsidR="001B2BE1" w:rsidRPr="000274FA">
        <w:rPr>
          <w:lang w:val="fr-CA"/>
        </w:rPr>
        <w:t>’</w:t>
      </w:r>
      <w:r w:rsidRPr="000274FA">
        <w:rPr>
          <w:lang w:val="fr-CA"/>
        </w:rPr>
        <w:t>exploitation aux relevés actualisés de cette année donne lieu à un avis sur les prises de 199 t</w:t>
      </w:r>
      <w:r w:rsidR="00BC068E" w:rsidRPr="000274FA">
        <w:rPr>
          <w:lang w:val="fr-CA"/>
        </w:rPr>
        <w:t>m</w:t>
      </w:r>
      <w:r w:rsidRPr="000274FA">
        <w:rPr>
          <w:lang w:val="fr-CA"/>
        </w:rPr>
        <w:t xml:space="preserve"> pour 2020. L</w:t>
      </w:r>
      <w:r w:rsidR="001B2BE1" w:rsidRPr="000274FA">
        <w:rPr>
          <w:lang w:val="fr-CA"/>
        </w:rPr>
        <w:t>’</w:t>
      </w:r>
      <w:r w:rsidRPr="000274FA">
        <w:rPr>
          <w:lang w:val="fr-CA"/>
        </w:rPr>
        <w:t>éventail complet des taux d</w:t>
      </w:r>
      <w:r w:rsidR="001B2BE1" w:rsidRPr="000274FA">
        <w:rPr>
          <w:lang w:val="fr-CA"/>
        </w:rPr>
        <w:t>’</w:t>
      </w:r>
      <w:r w:rsidRPr="000274FA">
        <w:rPr>
          <w:lang w:val="fr-CA"/>
        </w:rPr>
        <w:t>exploitation découlant de l</w:t>
      </w:r>
      <w:r w:rsidR="001B2BE1" w:rsidRPr="000274FA">
        <w:rPr>
          <w:lang w:val="fr-CA"/>
        </w:rPr>
        <w:t>’</w:t>
      </w:r>
      <w:r w:rsidRPr="000274FA">
        <w:rPr>
          <w:lang w:val="fr-CA"/>
        </w:rPr>
        <w:t>analyse comparative des diagnostics et de l</w:t>
      </w:r>
      <w:r w:rsidR="001B2BE1" w:rsidRPr="000274FA">
        <w:rPr>
          <w:lang w:val="fr-CA"/>
        </w:rPr>
        <w:t>’</w:t>
      </w:r>
      <w:r w:rsidRPr="000274FA">
        <w:rPr>
          <w:lang w:val="fr-CA"/>
        </w:rPr>
        <w:t xml:space="preserve">approche empirique de 2014, de 2 % à 16 %, appliqué aux relevés de cette année, donne </w:t>
      </w:r>
      <w:r w:rsidR="00BC068E" w:rsidRPr="000274FA">
        <w:rPr>
          <w:lang w:val="fr-CA"/>
        </w:rPr>
        <w:t xml:space="preserve">de </w:t>
      </w:r>
      <w:r w:rsidRPr="000274FA">
        <w:rPr>
          <w:lang w:val="fr-CA"/>
        </w:rPr>
        <w:t>66</w:t>
      </w:r>
      <w:r w:rsidR="00BC068E" w:rsidRPr="000274FA">
        <w:rPr>
          <w:lang w:val="fr-CA"/>
        </w:rPr>
        <w:t> </w:t>
      </w:r>
      <w:r w:rsidRPr="000274FA">
        <w:rPr>
          <w:lang w:val="fr-CA"/>
        </w:rPr>
        <w:t>t</w:t>
      </w:r>
      <w:r w:rsidR="00BC068E" w:rsidRPr="000274FA">
        <w:rPr>
          <w:lang w:val="fr-CA"/>
        </w:rPr>
        <w:t>m</w:t>
      </w:r>
      <w:r w:rsidRPr="000274FA">
        <w:rPr>
          <w:lang w:val="fr-CA"/>
        </w:rPr>
        <w:t xml:space="preserve"> à 531</w:t>
      </w:r>
      <w:r w:rsidR="00BC068E" w:rsidRPr="000274FA">
        <w:rPr>
          <w:lang w:val="fr-CA"/>
        </w:rPr>
        <w:t> </w:t>
      </w:r>
      <w:r w:rsidRPr="000274FA">
        <w:rPr>
          <w:lang w:val="fr-CA"/>
        </w:rPr>
        <w:t>t</w:t>
      </w:r>
      <w:r w:rsidR="00BC068E" w:rsidRPr="000274FA">
        <w:rPr>
          <w:lang w:val="fr-CA"/>
        </w:rPr>
        <w:t>m</w:t>
      </w:r>
      <w:r w:rsidRPr="000274FA">
        <w:rPr>
          <w:lang w:val="fr-CA"/>
        </w:rPr>
        <w:t xml:space="preserve">. </w:t>
      </w:r>
    </w:p>
    <w:p w14:paraId="7C07C9D9" w14:textId="77777777" w:rsidR="007060E1" w:rsidRPr="000274FA" w:rsidRDefault="007C505A" w:rsidP="000274FA">
      <w:pPr>
        <w:pStyle w:val="Heading4"/>
        <w:rPr>
          <w:lang w:val="fr-CA"/>
        </w:rPr>
      </w:pPr>
      <w:r w:rsidRPr="000274FA">
        <w:rPr>
          <w:lang w:val="fr-CA"/>
        </w:rPr>
        <w:t>Discussion</w:t>
      </w:r>
    </w:p>
    <w:p w14:paraId="51C69065" w14:textId="64666BB4" w:rsidR="004A7C67" w:rsidRPr="000274FA" w:rsidRDefault="000274FA" w:rsidP="00F142E9">
      <w:pPr>
        <w:ind w:left="360"/>
        <w:rPr>
          <w:u w:val="single"/>
          <w:lang w:val="fr-CA"/>
        </w:rPr>
      </w:pPr>
      <w:r w:rsidRPr="000274FA">
        <w:rPr>
          <w:u w:val="single"/>
          <w:lang w:val="fr-CA"/>
        </w:rPr>
        <w:t>Cadre de référence</w:t>
      </w:r>
      <w:r w:rsidR="004A7C67" w:rsidRPr="000274FA">
        <w:rPr>
          <w:u w:val="single"/>
          <w:lang w:val="fr-CA"/>
        </w:rPr>
        <w:t> 1</w:t>
      </w:r>
    </w:p>
    <w:p w14:paraId="499E6688" w14:textId="747275FE" w:rsidR="004A7C67" w:rsidRPr="000274FA" w:rsidRDefault="004A7C67" w:rsidP="00E82E3D">
      <w:pPr>
        <w:pStyle w:val="ListBullet"/>
        <w:numPr>
          <w:ilvl w:val="0"/>
          <w:numId w:val="0"/>
        </w:numPr>
        <w:spacing w:before="120"/>
        <w:rPr>
          <w:i/>
          <w:lang w:val="fr-CA"/>
        </w:rPr>
      </w:pPr>
      <w:r w:rsidRPr="000274FA">
        <w:rPr>
          <w:i/>
          <w:lang w:val="fr-CA"/>
        </w:rPr>
        <w:t>Appliquer l</w:t>
      </w:r>
      <w:r w:rsidR="001B2BE1" w:rsidRPr="000274FA">
        <w:rPr>
          <w:i/>
          <w:lang w:val="fr-CA"/>
        </w:rPr>
        <w:t>’</w:t>
      </w:r>
      <w:r w:rsidRPr="000274FA">
        <w:rPr>
          <w:i/>
          <w:lang w:val="fr-CA"/>
        </w:rPr>
        <w:t>évaluation des points de référence (p. ex. l</w:t>
      </w:r>
      <w:r w:rsidR="001B2BE1" w:rsidRPr="000274FA">
        <w:rPr>
          <w:i/>
          <w:lang w:val="fr-CA"/>
        </w:rPr>
        <w:t>’</w:t>
      </w:r>
      <w:r w:rsidRPr="000274FA">
        <w:rPr>
          <w:i/>
          <w:lang w:val="fr-CA"/>
        </w:rPr>
        <w:t>approche empirique) pour la limande à queue jaune, mettre à jour les résultats concernant les renseignements les plus récents provenant des pêches, y compris les estimations de rejets et les relevés de recherche, et caractériser les incertitudes relatives aux estimations.</w:t>
      </w:r>
    </w:p>
    <w:p w14:paraId="5CD04233" w14:textId="77777777" w:rsidR="004A7C67" w:rsidRPr="000274FA" w:rsidRDefault="004A7C67" w:rsidP="00F142E9">
      <w:pPr>
        <w:ind w:left="360"/>
        <w:rPr>
          <w:i/>
          <w:lang w:val="fr-CA"/>
        </w:rPr>
      </w:pPr>
      <w:r w:rsidRPr="000274FA">
        <w:rPr>
          <w:i/>
          <w:lang w:val="fr-CA"/>
        </w:rPr>
        <w:t>Examinateurs</w:t>
      </w:r>
    </w:p>
    <w:p w14:paraId="3C8893B7" w14:textId="0B0941D6" w:rsidR="004A7C67" w:rsidRPr="000274FA" w:rsidRDefault="004A7C67" w:rsidP="000274FA">
      <w:pPr>
        <w:pStyle w:val="BodyText"/>
        <w:rPr>
          <w:rFonts w:cs="Arial"/>
          <w:lang w:val="fr-CA"/>
        </w:rPr>
      </w:pPr>
      <w:r w:rsidRPr="000274FA">
        <w:rPr>
          <w:lang w:val="fr-CA"/>
        </w:rPr>
        <w:t>On mentionne que le U.S. Science and Statistical Committee (SSC) n</w:t>
      </w:r>
      <w:r w:rsidR="001B2BE1" w:rsidRPr="000274FA">
        <w:rPr>
          <w:lang w:val="fr-CA"/>
        </w:rPr>
        <w:t>’</w:t>
      </w:r>
      <w:r w:rsidRPr="000274FA">
        <w:rPr>
          <w:lang w:val="fr-CA"/>
        </w:rPr>
        <w:t>a pas inclus les résultats du relevé printanier du National Marine Fisheries Service (NMFS) de 2018 dans son application de l</w:t>
      </w:r>
      <w:r w:rsidR="001B2BE1" w:rsidRPr="000274FA">
        <w:rPr>
          <w:lang w:val="fr-CA"/>
        </w:rPr>
        <w:t>’</w:t>
      </w:r>
      <w:r w:rsidRPr="000274FA">
        <w:rPr>
          <w:lang w:val="fr-CA"/>
        </w:rPr>
        <w:t>approche empirique en 2018, en raison de problèmes liés à ce relevé, notamment une couverture plus faible (39 traits au lieu des 55 et plus habituellement) et un manque de traits dans l</w:t>
      </w:r>
      <w:r w:rsidR="001B2BE1" w:rsidRPr="000274FA">
        <w:rPr>
          <w:lang w:val="fr-CA"/>
        </w:rPr>
        <w:t>’</w:t>
      </w:r>
      <w:r w:rsidRPr="000274FA">
        <w:rPr>
          <w:lang w:val="fr-CA"/>
        </w:rPr>
        <w:t>habitat traditionnel de la limande à queue jaune</w:t>
      </w:r>
      <w:r w:rsidR="00C56C44" w:rsidRPr="000274FA">
        <w:rPr>
          <w:lang w:val="fr-CA"/>
        </w:rPr>
        <w:t xml:space="preserve">. </w:t>
      </w:r>
      <w:r w:rsidRPr="000274FA">
        <w:rPr>
          <w:lang w:val="fr-CA"/>
        </w:rPr>
        <w:t>Ces problèmes ne s</w:t>
      </w:r>
      <w:r w:rsidR="001B2BE1" w:rsidRPr="000274FA">
        <w:rPr>
          <w:lang w:val="fr-CA"/>
        </w:rPr>
        <w:t>’</w:t>
      </w:r>
      <w:r w:rsidRPr="000274FA">
        <w:rPr>
          <w:lang w:val="fr-CA"/>
        </w:rPr>
        <w:t>étant pas posés dans les relevés de l</w:t>
      </w:r>
      <w:r w:rsidR="001B2BE1" w:rsidRPr="000274FA">
        <w:rPr>
          <w:lang w:val="fr-CA"/>
        </w:rPr>
        <w:t>’</w:t>
      </w:r>
      <w:r w:rsidRPr="000274FA">
        <w:rPr>
          <w:lang w:val="fr-CA"/>
        </w:rPr>
        <w:t>automne</w:t>
      </w:r>
      <w:r w:rsidR="00D80605" w:rsidRPr="000274FA">
        <w:rPr>
          <w:lang w:val="fr-CA"/>
        </w:rPr>
        <w:t> </w:t>
      </w:r>
      <w:r w:rsidRPr="000274FA">
        <w:rPr>
          <w:lang w:val="fr-CA"/>
        </w:rPr>
        <w:t>2018 du NMFS et du printemps</w:t>
      </w:r>
      <w:r w:rsidR="00D80605" w:rsidRPr="000274FA">
        <w:rPr>
          <w:lang w:val="fr-CA"/>
        </w:rPr>
        <w:t> </w:t>
      </w:r>
      <w:r w:rsidRPr="000274FA">
        <w:rPr>
          <w:lang w:val="fr-CA"/>
        </w:rPr>
        <w:t>2019 du NMFS et du MPO, il n</w:t>
      </w:r>
      <w:r w:rsidR="001B2BE1" w:rsidRPr="000274FA">
        <w:rPr>
          <w:lang w:val="fr-CA"/>
        </w:rPr>
        <w:t>’</w:t>
      </w:r>
      <w:r w:rsidRPr="000274FA">
        <w:rPr>
          <w:lang w:val="fr-CA"/>
        </w:rPr>
        <w:t>y avait aucune raison de retirer l</w:t>
      </w:r>
      <w:r w:rsidR="001B2BE1" w:rsidRPr="000274FA">
        <w:rPr>
          <w:lang w:val="fr-CA"/>
        </w:rPr>
        <w:t>’</w:t>
      </w:r>
      <w:r w:rsidRPr="000274FA">
        <w:rPr>
          <w:lang w:val="fr-CA"/>
        </w:rPr>
        <w:t>un ou l</w:t>
      </w:r>
      <w:r w:rsidR="001B2BE1" w:rsidRPr="000274FA">
        <w:rPr>
          <w:lang w:val="fr-CA"/>
        </w:rPr>
        <w:t>’</w:t>
      </w:r>
      <w:r w:rsidRPr="000274FA">
        <w:rPr>
          <w:lang w:val="fr-CA"/>
        </w:rPr>
        <w:t>autre de ces relevés de la présente analyse</w:t>
      </w:r>
      <w:r w:rsidR="00C56C44" w:rsidRPr="000274FA">
        <w:rPr>
          <w:lang w:val="fr-CA"/>
        </w:rPr>
        <w:t xml:space="preserve">. </w:t>
      </w:r>
    </w:p>
    <w:p w14:paraId="5E97B09D" w14:textId="7D2F5357" w:rsidR="00DF3DCE" w:rsidRPr="000274FA" w:rsidRDefault="00B922A1" w:rsidP="000274FA">
      <w:pPr>
        <w:pStyle w:val="BodyText"/>
        <w:rPr>
          <w:rFonts w:cs="Arial"/>
          <w:lang w:val="fr-CA"/>
        </w:rPr>
      </w:pPr>
      <w:r w:rsidRPr="000274FA">
        <w:rPr>
          <w:lang w:val="fr-CA"/>
        </w:rPr>
        <w:t>Les examinateurs encouragent les responsables à tenir compte de la répartition spatiale du stock. Il est plus difficile d</w:t>
      </w:r>
      <w:r w:rsidR="001B2BE1" w:rsidRPr="000274FA">
        <w:rPr>
          <w:lang w:val="fr-CA"/>
        </w:rPr>
        <w:t>’</w:t>
      </w:r>
      <w:r w:rsidRPr="000274FA">
        <w:rPr>
          <w:lang w:val="fr-CA"/>
        </w:rPr>
        <w:t>interpréter les tendances spatiales en raison de la faible abondance de limandes à queue jaune, mais on laisse entendre que les données sur la présence ou l</w:t>
      </w:r>
      <w:r w:rsidR="001B2BE1" w:rsidRPr="000274FA">
        <w:rPr>
          <w:lang w:val="fr-CA"/>
        </w:rPr>
        <w:t>’</w:t>
      </w:r>
      <w:r w:rsidRPr="000274FA">
        <w:rPr>
          <w:lang w:val="fr-CA"/>
        </w:rPr>
        <w:t>absence sont souvent plus révélatrices pour les stocks à des niveaux aussi bas que les modèles fondés sur les nombres totaux</w:t>
      </w:r>
      <w:r w:rsidR="00C56C44" w:rsidRPr="000274FA">
        <w:rPr>
          <w:lang w:val="fr-CA"/>
        </w:rPr>
        <w:t xml:space="preserve">. </w:t>
      </w:r>
      <w:r w:rsidRPr="000274FA">
        <w:rPr>
          <w:lang w:val="fr-CA"/>
        </w:rPr>
        <w:t xml:space="preserve">Par exemple, si les poissons sont regroupés dans seulement quelques endroits de leur habitat préféré, </w:t>
      </w:r>
      <w:r w:rsidR="00823B92" w:rsidRPr="000274FA">
        <w:rPr>
          <w:lang w:val="fr-CA"/>
        </w:rPr>
        <w:t>il s’agira alors des</w:t>
      </w:r>
      <w:r w:rsidRPr="000274FA">
        <w:rPr>
          <w:lang w:val="fr-CA"/>
        </w:rPr>
        <w:t xml:space="preserve"> zones où les prises accessoires seront les plus élevées dans d</w:t>
      </w:r>
      <w:r w:rsidR="001B2BE1" w:rsidRPr="000274FA">
        <w:rPr>
          <w:lang w:val="fr-CA"/>
        </w:rPr>
        <w:t>’</w:t>
      </w:r>
      <w:r w:rsidRPr="000274FA">
        <w:rPr>
          <w:lang w:val="fr-CA"/>
        </w:rPr>
        <w:t xml:space="preserve">autres pêches et, par conséquent, </w:t>
      </w:r>
      <w:r w:rsidR="00823B92" w:rsidRPr="000274FA">
        <w:rPr>
          <w:lang w:val="fr-CA"/>
        </w:rPr>
        <w:t xml:space="preserve">qui </w:t>
      </w:r>
      <w:r w:rsidRPr="000274FA">
        <w:rPr>
          <w:lang w:val="fr-CA"/>
        </w:rPr>
        <w:t>devraient faire l</w:t>
      </w:r>
      <w:r w:rsidR="001B2BE1" w:rsidRPr="000274FA">
        <w:rPr>
          <w:lang w:val="fr-CA"/>
        </w:rPr>
        <w:t>’</w:t>
      </w:r>
      <w:r w:rsidRPr="000274FA">
        <w:rPr>
          <w:lang w:val="fr-CA"/>
        </w:rPr>
        <w:t>objet d</w:t>
      </w:r>
      <w:r w:rsidR="001B2BE1" w:rsidRPr="000274FA">
        <w:rPr>
          <w:lang w:val="fr-CA"/>
        </w:rPr>
        <w:t>’</w:t>
      </w:r>
      <w:r w:rsidRPr="000274FA">
        <w:rPr>
          <w:lang w:val="fr-CA"/>
        </w:rPr>
        <w:t>une surveillance et d</w:t>
      </w:r>
      <w:r w:rsidR="001B2BE1" w:rsidRPr="000274FA">
        <w:rPr>
          <w:lang w:val="fr-CA"/>
        </w:rPr>
        <w:t>’</w:t>
      </w:r>
      <w:r w:rsidRPr="000274FA">
        <w:rPr>
          <w:lang w:val="fr-CA"/>
        </w:rPr>
        <w:t xml:space="preserve">une protection adéquates. </w:t>
      </w:r>
    </w:p>
    <w:p w14:paraId="7C5F6EC4" w14:textId="79BAE795" w:rsidR="004A7C67" w:rsidRPr="000274FA" w:rsidRDefault="007B6726" w:rsidP="000274FA">
      <w:pPr>
        <w:pStyle w:val="BodyText"/>
        <w:rPr>
          <w:rFonts w:cs="Arial"/>
          <w:lang w:val="fr-CA"/>
        </w:rPr>
      </w:pPr>
      <w:r w:rsidRPr="000274FA">
        <w:rPr>
          <w:lang w:val="fr-CA"/>
        </w:rPr>
        <w:lastRenderedPageBreak/>
        <w:t>Actuellement, on se limite à calculer la moyenne des trois relevés (relevé du printemps du MPO, relevés du printemps et de l</w:t>
      </w:r>
      <w:r w:rsidR="001B2BE1" w:rsidRPr="000274FA">
        <w:rPr>
          <w:lang w:val="fr-CA"/>
        </w:rPr>
        <w:t>’</w:t>
      </w:r>
      <w:r w:rsidRPr="000274FA">
        <w:rPr>
          <w:lang w:val="fr-CA"/>
        </w:rPr>
        <w:t>automne du NMFS). On laisse entendre qu</w:t>
      </w:r>
      <w:r w:rsidR="001B2BE1" w:rsidRPr="000274FA">
        <w:rPr>
          <w:lang w:val="fr-CA"/>
        </w:rPr>
        <w:t>’</w:t>
      </w:r>
      <w:r w:rsidRPr="000274FA">
        <w:rPr>
          <w:lang w:val="fr-CA"/>
        </w:rPr>
        <w:t>il pourrait être utile d</w:t>
      </w:r>
      <w:r w:rsidR="001B2BE1" w:rsidRPr="000274FA">
        <w:rPr>
          <w:lang w:val="fr-CA"/>
        </w:rPr>
        <w:t>’</w:t>
      </w:r>
      <w:r w:rsidRPr="000274FA">
        <w:rPr>
          <w:lang w:val="fr-CA"/>
        </w:rPr>
        <w:t>étudier des méthodes permettant de combiner les estimations des relevés pour tenir compte des renseignements spatiaux et temporels. Charles</w:t>
      </w:r>
      <w:r w:rsidR="00823B92" w:rsidRPr="000274FA">
        <w:rPr>
          <w:lang w:val="fr-CA"/>
        </w:rPr>
        <w:t> </w:t>
      </w:r>
      <w:r w:rsidRPr="000274FA">
        <w:rPr>
          <w:lang w:val="fr-CA"/>
        </w:rPr>
        <w:t>Adams, du NEFSC, a dirigé des travaux en appliquant l</w:t>
      </w:r>
      <w:r w:rsidR="001B2BE1" w:rsidRPr="000274FA">
        <w:rPr>
          <w:lang w:val="fr-CA"/>
        </w:rPr>
        <w:t>’</w:t>
      </w:r>
      <w:r w:rsidRPr="000274FA">
        <w:rPr>
          <w:lang w:val="fr-CA"/>
        </w:rPr>
        <w:t>approche de modélisation spatiotemporelle vectorielle autorégressive à la morue, à l</w:t>
      </w:r>
      <w:r w:rsidR="001B2BE1" w:rsidRPr="000274FA">
        <w:rPr>
          <w:lang w:val="fr-CA"/>
        </w:rPr>
        <w:t>’</w:t>
      </w:r>
      <w:r w:rsidRPr="000274FA">
        <w:rPr>
          <w:lang w:val="fr-CA"/>
        </w:rPr>
        <w:t>aiglefin et à la limande à queue jaune. À ce jour, ces analyses n</w:t>
      </w:r>
      <w:r w:rsidR="001B2BE1" w:rsidRPr="000274FA">
        <w:rPr>
          <w:lang w:val="fr-CA"/>
        </w:rPr>
        <w:t>’</w:t>
      </w:r>
      <w:r w:rsidRPr="000274FA">
        <w:rPr>
          <w:lang w:val="fr-CA"/>
        </w:rPr>
        <w:t>ont pas révélé de grandes différences par rapport à la perception actuelle, mais cette approche pourrait être utile pour intégrer l</w:t>
      </w:r>
      <w:r w:rsidR="001B2BE1" w:rsidRPr="000274FA">
        <w:rPr>
          <w:lang w:val="fr-CA"/>
        </w:rPr>
        <w:t>’</w:t>
      </w:r>
      <w:r w:rsidRPr="000274FA">
        <w:rPr>
          <w:lang w:val="fr-CA"/>
        </w:rPr>
        <w:t>information spatiale. Elle pourrait ne pas être aussi utile vu les estimations actuelles de relevés de bas niveau, mais si le stock se rétablit, elle pourrait être bénéfique.</w:t>
      </w:r>
    </w:p>
    <w:p w14:paraId="74295F71" w14:textId="0AC2D55F" w:rsidR="007B6726" w:rsidRPr="000274FA" w:rsidRDefault="007B6726" w:rsidP="00E82E3D">
      <w:pPr>
        <w:pStyle w:val="NoSpacing"/>
        <w:tabs>
          <w:tab w:val="left" w:pos="8640"/>
        </w:tabs>
        <w:spacing w:before="120" w:after="120"/>
        <w:ind w:left="360" w:right="360"/>
        <w:rPr>
          <w:rFonts w:ascii="Arial" w:hAnsi="Arial" w:cs="Arial"/>
          <w:lang w:val="fr-CA"/>
        </w:rPr>
      </w:pPr>
      <w:r w:rsidRPr="000274FA">
        <w:rPr>
          <w:rFonts w:ascii="Arial" w:hAnsi="Arial"/>
          <w:b/>
          <w:lang w:val="fr-CA"/>
        </w:rPr>
        <w:t>Recommandation en matière de recherche </w:t>
      </w:r>
      <w:r w:rsidRPr="000274FA">
        <w:rPr>
          <w:rFonts w:ascii="Arial" w:hAnsi="Arial"/>
          <w:lang w:val="fr-CA"/>
        </w:rPr>
        <w:t>: En prévision de la prochaine évaluation des points de référence de CERT, étudier des techniques permettant de combiner les estimations de relevés qui tiennent compte de l</w:t>
      </w:r>
      <w:r w:rsidR="001B2BE1" w:rsidRPr="000274FA">
        <w:rPr>
          <w:rFonts w:ascii="Arial" w:hAnsi="Arial"/>
          <w:lang w:val="fr-CA"/>
        </w:rPr>
        <w:t>’</w:t>
      </w:r>
      <w:r w:rsidRPr="000274FA">
        <w:rPr>
          <w:rFonts w:ascii="Arial" w:hAnsi="Arial"/>
          <w:lang w:val="fr-CA"/>
        </w:rPr>
        <w:t>information à la fois spatiale et temporelle.</w:t>
      </w:r>
    </w:p>
    <w:p w14:paraId="723F7732" w14:textId="77777777" w:rsidR="007B6726" w:rsidRPr="000274FA" w:rsidRDefault="00DF502C" w:rsidP="00F142E9">
      <w:pPr>
        <w:ind w:left="360"/>
        <w:rPr>
          <w:i/>
          <w:lang w:val="fr-CA"/>
        </w:rPr>
      </w:pPr>
      <w:r w:rsidRPr="000274FA">
        <w:rPr>
          <w:i/>
          <w:lang w:val="fr-CA"/>
        </w:rPr>
        <w:t>Personnel scientifique, gestionnaires de ressources désignés et coprésidentes du CERT</w:t>
      </w:r>
    </w:p>
    <w:p w14:paraId="07CCB0D4" w14:textId="1AF43CC5" w:rsidR="00DF502C" w:rsidRPr="000274FA" w:rsidRDefault="00DF502C" w:rsidP="000274FA">
      <w:pPr>
        <w:pStyle w:val="BodyText"/>
        <w:rPr>
          <w:rFonts w:cs="Arial"/>
          <w:lang w:val="fr-CA"/>
        </w:rPr>
      </w:pPr>
      <w:r w:rsidRPr="000274FA">
        <w:rPr>
          <w:lang w:val="fr-CA"/>
        </w:rPr>
        <w:t xml:space="preserve">On demande </w:t>
      </w:r>
      <w:r w:rsidR="00823B92" w:rsidRPr="000274FA">
        <w:rPr>
          <w:lang w:val="fr-CA"/>
        </w:rPr>
        <w:t>ce qui explique</w:t>
      </w:r>
      <w:r w:rsidRPr="000274FA">
        <w:rPr>
          <w:lang w:val="fr-CA"/>
        </w:rPr>
        <w:t xml:space="preserve"> le manque d</w:t>
      </w:r>
      <w:r w:rsidR="001B2BE1" w:rsidRPr="000274FA">
        <w:rPr>
          <w:lang w:val="fr-CA"/>
        </w:rPr>
        <w:t>’</w:t>
      </w:r>
      <w:r w:rsidRPr="000274FA">
        <w:rPr>
          <w:lang w:val="fr-CA"/>
        </w:rPr>
        <w:t>échantillonnage au port au cours de la deuxième moitié de 2018. Les responsables indiquent qu</w:t>
      </w:r>
      <w:r w:rsidR="001B2BE1" w:rsidRPr="000274FA">
        <w:rPr>
          <w:lang w:val="fr-CA"/>
        </w:rPr>
        <w:t>’</w:t>
      </w:r>
      <w:r w:rsidRPr="000274FA">
        <w:rPr>
          <w:lang w:val="fr-CA"/>
        </w:rPr>
        <w:t xml:space="preserve">il a été difficile de trouver des sorties visant uniquement la pêche de la limande à queue jaune sur le </w:t>
      </w:r>
      <w:r w:rsidR="00E8153D" w:rsidRPr="000274FA">
        <w:rPr>
          <w:lang w:val="fr-CA"/>
        </w:rPr>
        <w:t>banc Georges</w:t>
      </w:r>
      <w:r w:rsidRPr="000274FA">
        <w:rPr>
          <w:lang w:val="fr-CA"/>
        </w:rPr>
        <w:t>, à une période où les prises étaient si faibles. Aux fins de l</w:t>
      </w:r>
      <w:r w:rsidR="001B2BE1" w:rsidRPr="000274FA">
        <w:rPr>
          <w:lang w:val="fr-CA"/>
        </w:rPr>
        <w:t>’</w:t>
      </w:r>
      <w:r w:rsidRPr="000274FA">
        <w:rPr>
          <w:lang w:val="fr-CA"/>
        </w:rPr>
        <w:t>évaluation, l</w:t>
      </w:r>
      <w:r w:rsidR="001B2BE1" w:rsidRPr="000274FA">
        <w:rPr>
          <w:lang w:val="fr-CA"/>
        </w:rPr>
        <w:t>’</w:t>
      </w:r>
      <w:r w:rsidRPr="000274FA">
        <w:rPr>
          <w:lang w:val="fr-CA"/>
        </w:rPr>
        <w:t>équipe scientifique a dû supposer que les proportions concernant les longueurs et les âges dans la deuxième moitié de l</w:t>
      </w:r>
      <w:r w:rsidR="001B2BE1" w:rsidRPr="000274FA">
        <w:rPr>
          <w:lang w:val="fr-CA"/>
        </w:rPr>
        <w:t>’</w:t>
      </w:r>
      <w:r w:rsidRPr="000274FA">
        <w:rPr>
          <w:lang w:val="fr-CA"/>
        </w:rPr>
        <w:t>année étaient semblables à celles de la première moitié</w:t>
      </w:r>
      <w:r w:rsidR="00C56C44" w:rsidRPr="000274FA">
        <w:rPr>
          <w:lang w:val="fr-CA"/>
        </w:rPr>
        <w:t xml:space="preserve">. </w:t>
      </w:r>
      <w:r w:rsidRPr="000274FA">
        <w:rPr>
          <w:lang w:val="fr-CA"/>
        </w:rPr>
        <w:t>Il s</w:t>
      </w:r>
      <w:r w:rsidR="001B2BE1" w:rsidRPr="000274FA">
        <w:rPr>
          <w:lang w:val="fr-CA"/>
        </w:rPr>
        <w:t>’</w:t>
      </w:r>
      <w:r w:rsidRPr="000274FA">
        <w:rPr>
          <w:lang w:val="fr-CA"/>
        </w:rPr>
        <w:t>agit d</w:t>
      </w:r>
      <w:r w:rsidR="001B2BE1" w:rsidRPr="000274FA">
        <w:rPr>
          <w:lang w:val="fr-CA"/>
        </w:rPr>
        <w:t>’</w:t>
      </w:r>
      <w:r w:rsidRPr="000274FA">
        <w:rPr>
          <w:lang w:val="fr-CA"/>
        </w:rPr>
        <w:t>une autre source d</w:t>
      </w:r>
      <w:r w:rsidR="001B2BE1" w:rsidRPr="000274FA">
        <w:rPr>
          <w:lang w:val="fr-CA"/>
        </w:rPr>
        <w:t>’</w:t>
      </w:r>
      <w:r w:rsidRPr="000274FA">
        <w:rPr>
          <w:lang w:val="fr-CA"/>
        </w:rPr>
        <w:t xml:space="preserve">incertitude. </w:t>
      </w:r>
    </w:p>
    <w:p w14:paraId="52A86BA3" w14:textId="77777777" w:rsidR="00DF502C" w:rsidRPr="000274FA" w:rsidRDefault="00DF502C" w:rsidP="00F142E9">
      <w:pPr>
        <w:ind w:left="360"/>
        <w:rPr>
          <w:i/>
          <w:lang w:val="fr-CA"/>
        </w:rPr>
      </w:pPr>
      <w:r w:rsidRPr="000274FA">
        <w:rPr>
          <w:i/>
          <w:lang w:val="fr-CA"/>
        </w:rPr>
        <w:t>Autres participants à la réunion</w:t>
      </w:r>
    </w:p>
    <w:p w14:paraId="22363604" w14:textId="4FDEF2B2" w:rsidR="00DF502C" w:rsidRPr="000274FA" w:rsidRDefault="004E78CA" w:rsidP="000274FA">
      <w:pPr>
        <w:pStyle w:val="BodyText"/>
        <w:rPr>
          <w:rFonts w:cs="Arial"/>
          <w:lang w:val="fr-CA"/>
        </w:rPr>
      </w:pPr>
      <w:r w:rsidRPr="000274FA">
        <w:rPr>
          <w:lang w:val="fr-CA"/>
        </w:rPr>
        <w:t>Le rapport scientifique sur la limande à queue jaune du CERT devrait mentionner l</w:t>
      </w:r>
      <w:r w:rsidR="001B2BE1" w:rsidRPr="000274FA">
        <w:rPr>
          <w:lang w:val="fr-CA"/>
        </w:rPr>
        <w:t>’</w:t>
      </w:r>
      <w:r w:rsidRPr="000274FA">
        <w:rPr>
          <w:lang w:val="fr-CA"/>
        </w:rPr>
        <w:t>absence d</w:t>
      </w:r>
      <w:r w:rsidR="001B2BE1" w:rsidRPr="000274FA">
        <w:rPr>
          <w:lang w:val="fr-CA"/>
        </w:rPr>
        <w:t>’</w:t>
      </w:r>
      <w:r w:rsidRPr="000274FA">
        <w:rPr>
          <w:lang w:val="fr-CA"/>
        </w:rPr>
        <w:t>anomalies dans les trois relevés utilisés pour l</w:t>
      </w:r>
      <w:r w:rsidR="001B2BE1" w:rsidRPr="000274FA">
        <w:rPr>
          <w:lang w:val="fr-CA"/>
        </w:rPr>
        <w:t>’</w:t>
      </w:r>
      <w:r w:rsidRPr="000274FA">
        <w:rPr>
          <w:lang w:val="fr-CA"/>
        </w:rPr>
        <w:t xml:space="preserve">évaluation de cette année et, par conséquent, </w:t>
      </w:r>
      <w:r w:rsidR="00B44C4A" w:rsidRPr="000274FA">
        <w:rPr>
          <w:lang w:val="fr-CA"/>
        </w:rPr>
        <w:t>qu’</w:t>
      </w:r>
      <w:r w:rsidRPr="000274FA">
        <w:rPr>
          <w:lang w:val="fr-CA"/>
        </w:rPr>
        <w:t>il n</w:t>
      </w:r>
      <w:r w:rsidR="001B2BE1" w:rsidRPr="000274FA">
        <w:rPr>
          <w:lang w:val="fr-CA"/>
        </w:rPr>
        <w:t>’</w:t>
      </w:r>
      <w:r w:rsidRPr="000274FA">
        <w:rPr>
          <w:lang w:val="fr-CA"/>
        </w:rPr>
        <w:t>y a aucune raison de retirer l</w:t>
      </w:r>
      <w:r w:rsidR="001B2BE1" w:rsidRPr="000274FA">
        <w:rPr>
          <w:lang w:val="fr-CA"/>
        </w:rPr>
        <w:t>’</w:t>
      </w:r>
      <w:r w:rsidRPr="000274FA">
        <w:rPr>
          <w:lang w:val="fr-CA"/>
        </w:rPr>
        <w:t>un ou l</w:t>
      </w:r>
      <w:r w:rsidR="001B2BE1" w:rsidRPr="000274FA">
        <w:rPr>
          <w:lang w:val="fr-CA"/>
        </w:rPr>
        <w:t>’</w:t>
      </w:r>
      <w:r w:rsidRPr="000274FA">
        <w:rPr>
          <w:lang w:val="fr-CA"/>
        </w:rPr>
        <w:t>autre relevé de l</w:t>
      </w:r>
      <w:r w:rsidR="001B2BE1" w:rsidRPr="000274FA">
        <w:rPr>
          <w:lang w:val="fr-CA"/>
        </w:rPr>
        <w:t>’</w:t>
      </w:r>
      <w:r w:rsidRPr="000274FA">
        <w:rPr>
          <w:lang w:val="fr-CA"/>
        </w:rPr>
        <w:t>analyse empirique.</w:t>
      </w:r>
    </w:p>
    <w:p w14:paraId="14C2FD37" w14:textId="4CAC10F6" w:rsidR="004A7C67" w:rsidRPr="000274FA" w:rsidRDefault="00DF502C" w:rsidP="000274FA">
      <w:pPr>
        <w:pStyle w:val="BodyText"/>
        <w:rPr>
          <w:rFonts w:cs="Arial"/>
          <w:lang w:val="fr-CA"/>
        </w:rPr>
      </w:pPr>
      <w:r w:rsidRPr="000274FA">
        <w:rPr>
          <w:lang w:val="fr-CA"/>
        </w:rPr>
        <w:t>Les examinateurs, le personnel scientifique, les gestionnaires de ressources, les coprésidentes du CERT et les autres participants à la réunion s</w:t>
      </w:r>
      <w:r w:rsidR="001B2BE1" w:rsidRPr="000274FA">
        <w:rPr>
          <w:lang w:val="fr-CA"/>
        </w:rPr>
        <w:t>’</w:t>
      </w:r>
      <w:r w:rsidRPr="000274FA">
        <w:rPr>
          <w:lang w:val="fr-CA"/>
        </w:rPr>
        <w:t xml:space="preserve">entendent pour dire que les auteurs ont rempli le premier </w:t>
      </w:r>
      <w:r w:rsidR="009059E9">
        <w:rPr>
          <w:lang w:val="fr-CA"/>
        </w:rPr>
        <w:t>cadre de r</w:t>
      </w:r>
      <w:r w:rsidR="009059E9" w:rsidRPr="000274FA">
        <w:rPr>
          <w:lang w:val="fr-CA"/>
        </w:rPr>
        <w:t>é</w:t>
      </w:r>
      <w:r w:rsidR="009059E9">
        <w:rPr>
          <w:lang w:val="fr-CA"/>
        </w:rPr>
        <w:t>f</w:t>
      </w:r>
      <w:r w:rsidR="009059E9" w:rsidRPr="000274FA">
        <w:rPr>
          <w:lang w:val="fr-CA"/>
        </w:rPr>
        <w:t>é</w:t>
      </w:r>
      <w:r w:rsidR="009059E9">
        <w:rPr>
          <w:lang w:val="fr-CA"/>
        </w:rPr>
        <w:t>rence</w:t>
      </w:r>
      <w:r w:rsidR="00C56C44" w:rsidRPr="000274FA">
        <w:rPr>
          <w:lang w:val="fr-CA"/>
        </w:rPr>
        <w:t xml:space="preserve">. </w:t>
      </w:r>
    </w:p>
    <w:p w14:paraId="1778DE94" w14:textId="482226B7" w:rsidR="00DF502C" w:rsidRPr="000274FA" w:rsidRDefault="000274FA" w:rsidP="00F142E9">
      <w:pPr>
        <w:ind w:left="360"/>
        <w:rPr>
          <w:u w:val="single"/>
          <w:lang w:val="fr-CA"/>
        </w:rPr>
      </w:pPr>
      <w:r w:rsidRPr="000274FA">
        <w:rPr>
          <w:u w:val="single"/>
          <w:lang w:val="fr-CA"/>
        </w:rPr>
        <w:t>Cadre de référence</w:t>
      </w:r>
      <w:r w:rsidR="00DF502C" w:rsidRPr="000274FA">
        <w:rPr>
          <w:u w:val="single"/>
          <w:lang w:val="fr-CA"/>
        </w:rPr>
        <w:t> 2</w:t>
      </w:r>
    </w:p>
    <w:p w14:paraId="12FFA511" w14:textId="4BFA8306" w:rsidR="00DF502C" w:rsidRPr="000274FA" w:rsidRDefault="00DF502C" w:rsidP="00DF502C">
      <w:pPr>
        <w:pStyle w:val="ListBullet"/>
        <w:numPr>
          <w:ilvl w:val="0"/>
          <w:numId w:val="0"/>
        </w:numPr>
        <w:rPr>
          <w:i/>
          <w:lang w:val="fr-CA"/>
        </w:rPr>
      </w:pPr>
      <w:r w:rsidRPr="000274FA">
        <w:rPr>
          <w:i/>
          <w:lang w:val="fr-CA"/>
        </w:rPr>
        <w:t>Fournir des avis sur les prises pour 2020 en s</w:t>
      </w:r>
      <w:r w:rsidR="001B2BE1" w:rsidRPr="000274FA">
        <w:rPr>
          <w:i/>
          <w:lang w:val="fr-CA"/>
        </w:rPr>
        <w:t>’</w:t>
      </w:r>
      <w:r w:rsidRPr="000274FA">
        <w:rPr>
          <w:i/>
          <w:lang w:val="fr-CA"/>
        </w:rPr>
        <w:t>appuyant sur l</w:t>
      </w:r>
      <w:r w:rsidR="001B2BE1" w:rsidRPr="000274FA">
        <w:rPr>
          <w:i/>
          <w:lang w:val="fr-CA"/>
        </w:rPr>
        <w:t>’</w:t>
      </w:r>
      <w:r w:rsidRPr="000274FA">
        <w:rPr>
          <w:i/>
          <w:lang w:val="fr-CA"/>
        </w:rPr>
        <w:t>approche empirique pour un éventail de taux d</w:t>
      </w:r>
      <w:r w:rsidR="001B2BE1" w:rsidRPr="000274FA">
        <w:rPr>
          <w:i/>
          <w:lang w:val="fr-CA"/>
        </w:rPr>
        <w:t>’</w:t>
      </w:r>
      <w:r w:rsidRPr="000274FA">
        <w:rPr>
          <w:i/>
          <w:lang w:val="fr-CA"/>
        </w:rPr>
        <w:t xml:space="preserve">exploitation pour 2020. </w:t>
      </w:r>
    </w:p>
    <w:p w14:paraId="746C33B9" w14:textId="77777777" w:rsidR="00DF502C" w:rsidRPr="000274FA" w:rsidRDefault="00780120" w:rsidP="00F142E9">
      <w:pPr>
        <w:ind w:left="360"/>
        <w:rPr>
          <w:i/>
          <w:lang w:val="fr-CA"/>
        </w:rPr>
      </w:pPr>
      <w:r w:rsidRPr="000274FA">
        <w:rPr>
          <w:i/>
          <w:lang w:val="fr-CA"/>
        </w:rPr>
        <w:t>Examinateurs</w:t>
      </w:r>
    </w:p>
    <w:p w14:paraId="76092309" w14:textId="0946B0A0" w:rsidR="005266B9" w:rsidRPr="000274FA" w:rsidRDefault="00780120" w:rsidP="000274FA">
      <w:pPr>
        <w:pStyle w:val="BodyText"/>
        <w:rPr>
          <w:rFonts w:cs="Arial"/>
          <w:lang w:val="fr-CA"/>
        </w:rPr>
      </w:pPr>
      <w:r w:rsidRPr="000274FA">
        <w:rPr>
          <w:lang w:val="fr-CA"/>
        </w:rPr>
        <w:t>On demande si la limande à queue jaune est l</w:t>
      </w:r>
      <w:r w:rsidR="001B2BE1" w:rsidRPr="000274FA">
        <w:rPr>
          <w:lang w:val="fr-CA"/>
        </w:rPr>
        <w:t>’</w:t>
      </w:r>
      <w:r w:rsidRPr="000274FA">
        <w:rPr>
          <w:lang w:val="fr-CA"/>
        </w:rPr>
        <w:t>une des espèces pour lesquelles un effet d</w:t>
      </w:r>
      <w:r w:rsidR="001B2BE1" w:rsidRPr="000274FA">
        <w:rPr>
          <w:lang w:val="fr-CA"/>
        </w:rPr>
        <w:t>’</w:t>
      </w:r>
      <w:r w:rsidRPr="000274FA">
        <w:rPr>
          <w:lang w:val="fr-CA"/>
        </w:rPr>
        <w:t>observateur a été démontré dans l</w:t>
      </w:r>
      <w:r w:rsidR="001B2BE1" w:rsidRPr="000274FA">
        <w:rPr>
          <w:lang w:val="fr-CA"/>
        </w:rPr>
        <w:t>’</w:t>
      </w:r>
      <w:r w:rsidRPr="000274FA">
        <w:rPr>
          <w:lang w:val="fr-CA"/>
        </w:rPr>
        <w:t>étude réalisée par l</w:t>
      </w:r>
      <w:r w:rsidR="001B2BE1" w:rsidRPr="000274FA">
        <w:rPr>
          <w:lang w:val="fr-CA"/>
        </w:rPr>
        <w:t>’</w:t>
      </w:r>
      <w:r w:rsidRPr="000274FA">
        <w:rPr>
          <w:lang w:val="fr-CA"/>
        </w:rPr>
        <w:t>équipe des États-Unis chargée d</w:t>
      </w:r>
      <w:r w:rsidR="001B2BE1" w:rsidRPr="000274FA">
        <w:rPr>
          <w:lang w:val="fr-CA"/>
        </w:rPr>
        <w:t>’</w:t>
      </w:r>
      <w:r w:rsidRPr="000274FA">
        <w:rPr>
          <w:lang w:val="fr-CA"/>
        </w:rPr>
        <w:t xml:space="preserve">élaborer le plan sur le poisson de fond. </w:t>
      </w:r>
      <w:r w:rsidR="00B44C4A" w:rsidRPr="000274FA">
        <w:rPr>
          <w:lang w:val="fr-CA"/>
        </w:rPr>
        <w:t>L’</w:t>
      </w:r>
      <w:r w:rsidRPr="000274FA">
        <w:rPr>
          <w:lang w:val="fr-CA"/>
        </w:rPr>
        <w:t xml:space="preserve">incitation </w:t>
      </w:r>
      <w:r w:rsidR="00B44C4A" w:rsidRPr="000274FA">
        <w:rPr>
          <w:lang w:val="fr-CA"/>
        </w:rPr>
        <w:t>au rejet</w:t>
      </w:r>
      <w:r w:rsidRPr="000274FA">
        <w:rPr>
          <w:lang w:val="fr-CA"/>
        </w:rPr>
        <w:t xml:space="preserve"> </w:t>
      </w:r>
      <w:r w:rsidR="00B44C4A" w:rsidRPr="000274FA">
        <w:rPr>
          <w:lang w:val="fr-CA"/>
        </w:rPr>
        <w:t xml:space="preserve">pourrait être plus grande </w:t>
      </w:r>
      <w:r w:rsidRPr="000274FA">
        <w:rPr>
          <w:lang w:val="fr-CA"/>
        </w:rPr>
        <w:t>certaines années que d</w:t>
      </w:r>
      <w:r w:rsidR="001B2BE1" w:rsidRPr="000274FA">
        <w:rPr>
          <w:lang w:val="fr-CA"/>
        </w:rPr>
        <w:t>’</w:t>
      </w:r>
      <w:r w:rsidRPr="000274FA">
        <w:rPr>
          <w:lang w:val="fr-CA"/>
        </w:rPr>
        <w:t>autres selon les zones de pêche, mais on fait également remarquer que l</w:t>
      </w:r>
      <w:r w:rsidR="001B2BE1" w:rsidRPr="000274FA">
        <w:rPr>
          <w:lang w:val="fr-CA"/>
        </w:rPr>
        <w:t>’</w:t>
      </w:r>
      <w:r w:rsidRPr="000274FA">
        <w:rPr>
          <w:lang w:val="fr-CA"/>
        </w:rPr>
        <w:t>effet d</w:t>
      </w:r>
      <w:r w:rsidR="001B2BE1" w:rsidRPr="000274FA">
        <w:rPr>
          <w:lang w:val="fr-CA"/>
        </w:rPr>
        <w:t>’</w:t>
      </w:r>
      <w:r w:rsidRPr="000274FA">
        <w:rPr>
          <w:lang w:val="fr-CA"/>
        </w:rPr>
        <w:t>observateur n</w:t>
      </w:r>
      <w:r w:rsidR="001B2BE1" w:rsidRPr="000274FA">
        <w:rPr>
          <w:lang w:val="fr-CA"/>
        </w:rPr>
        <w:t>’</w:t>
      </w:r>
      <w:r w:rsidRPr="000274FA">
        <w:rPr>
          <w:lang w:val="fr-CA"/>
        </w:rPr>
        <w:t>est pas unidirectionnel</w:t>
      </w:r>
      <w:r w:rsidR="00C56C44" w:rsidRPr="000274FA">
        <w:rPr>
          <w:lang w:val="fr-CA"/>
        </w:rPr>
        <w:t xml:space="preserve">. </w:t>
      </w:r>
    </w:p>
    <w:p w14:paraId="57920096" w14:textId="77F2A996" w:rsidR="00780120" w:rsidRPr="000274FA" w:rsidRDefault="00780120" w:rsidP="000274FA">
      <w:pPr>
        <w:pStyle w:val="BodyText"/>
        <w:rPr>
          <w:rFonts w:cs="Arial"/>
          <w:lang w:val="fr-CA"/>
        </w:rPr>
      </w:pPr>
      <w:r w:rsidRPr="000274FA">
        <w:rPr>
          <w:lang w:val="fr-CA"/>
        </w:rPr>
        <w:t>Dans l</w:t>
      </w:r>
      <w:r w:rsidR="001B2BE1" w:rsidRPr="000274FA">
        <w:rPr>
          <w:lang w:val="fr-CA"/>
        </w:rPr>
        <w:t>’</w:t>
      </w:r>
      <w:r w:rsidRPr="000274FA">
        <w:rPr>
          <w:lang w:val="fr-CA"/>
        </w:rPr>
        <w:t>approche empirique actuelle, l</w:t>
      </w:r>
      <w:r w:rsidR="001B2BE1" w:rsidRPr="000274FA">
        <w:rPr>
          <w:lang w:val="fr-CA"/>
        </w:rPr>
        <w:t>’</w:t>
      </w:r>
      <w:r w:rsidRPr="000274FA">
        <w:rPr>
          <w:lang w:val="fr-CA"/>
        </w:rPr>
        <w:t>incertitude concernant les prises et les rejets n</w:t>
      </w:r>
      <w:r w:rsidR="001B2BE1" w:rsidRPr="000274FA">
        <w:rPr>
          <w:lang w:val="fr-CA"/>
        </w:rPr>
        <w:t>’</w:t>
      </w:r>
      <w:r w:rsidRPr="000274FA">
        <w:rPr>
          <w:lang w:val="fr-CA"/>
        </w:rPr>
        <w:t>est pas prise en compte dans l</w:t>
      </w:r>
      <w:r w:rsidR="001B2BE1" w:rsidRPr="000274FA">
        <w:rPr>
          <w:lang w:val="fr-CA"/>
        </w:rPr>
        <w:t>’</w:t>
      </w:r>
      <w:r w:rsidRPr="000274FA">
        <w:rPr>
          <w:lang w:val="fr-CA"/>
        </w:rPr>
        <w:t>analyse</w:t>
      </w:r>
      <w:r w:rsidR="00C56C44" w:rsidRPr="000274FA">
        <w:rPr>
          <w:lang w:val="fr-CA"/>
        </w:rPr>
        <w:t xml:space="preserve">. </w:t>
      </w:r>
      <w:r w:rsidRPr="000274FA">
        <w:rPr>
          <w:lang w:val="fr-CA"/>
        </w:rPr>
        <w:t>Si le taux d</w:t>
      </w:r>
      <w:r w:rsidR="001B2BE1" w:rsidRPr="000274FA">
        <w:rPr>
          <w:lang w:val="fr-CA"/>
        </w:rPr>
        <w:t>’</w:t>
      </w:r>
      <w:r w:rsidRPr="000274FA">
        <w:rPr>
          <w:lang w:val="fr-CA"/>
        </w:rPr>
        <w:t>exploitation calculé était fondé sur les prises, il susciterait une incertitude</w:t>
      </w:r>
      <w:r w:rsidR="00C56C44" w:rsidRPr="000274FA">
        <w:rPr>
          <w:lang w:val="fr-CA"/>
        </w:rPr>
        <w:t xml:space="preserve">. </w:t>
      </w:r>
      <w:r w:rsidR="00B44C4A" w:rsidRPr="000274FA">
        <w:rPr>
          <w:lang w:val="fr-CA"/>
        </w:rPr>
        <w:t xml:space="preserve">Toutefois, </w:t>
      </w:r>
      <w:r w:rsidRPr="000274FA">
        <w:rPr>
          <w:lang w:val="fr-CA"/>
        </w:rPr>
        <w:t>le taux d</w:t>
      </w:r>
      <w:r w:rsidR="001B2BE1" w:rsidRPr="000274FA">
        <w:rPr>
          <w:lang w:val="fr-CA"/>
        </w:rPr>
        <w:t>’</w:t>
      </w:r>
      <w:r w:rsidRPr="000274FA">
        <w:rPr>
          <w:lang w:val="fr-CA"/>
        </w:rPr>
        <w:t>exploitation utilisé dans l</w:t>
      </w:r>
      <w:r w:rsidR="001B2BE1" w:rsidRPr="000274FA">
        <w:rPr>
          <w:lang w:val="fr-CA"/>
        </w:rPr>
        <w:t>’</w:t>
      </w:r>
      <w:r w:rsidRPr="000274FA">
        <w:rPr>
          <w:lang w:val="fr-CA"/>
        </w:rPr>
        <w:t>approche empirique actuelle s</w:t>
      </w:r>
      <w:r w:rsidR="001B2BE1" w:rsidRPr="000274FA">
        <w:rPr>
          <w:lang w:val="fr-CA"/>
        </w:rPr>
        <w:t>’</w:t>
      </w:r>
      <w:r w:rsidRPr="000274FA">
        <w:rPr>
          <w:lang w:val="fr-CA"/>
        </w:rPr>
        <w:t xml:space="preserve">appuie sur le quota plutôt que sur les prises. </w:t>
      </w:r>
    </w:p>
    <w:p w14:paraId="172D5F20" w14:textId="5395B05C" w:rsidR="00F52C6F" w:rsidRPr="000274FA" w:rsidRDefault="00F52C6F" w:rsidP="00E82E3D">
      <w:pPr>
        <w:pStyle w:val="NoSpacing"/>
        <w:tabs>
          <w:tab w:val="left" w:pos="8640"/>
        </w:tabs>
        <w:spacing w:before="120" w:after="120"/>
        <w:ind w:left="360" w:right="360"/>
        <w:rPr>
          <w:rFonts w:ascii="Arial" w:hAnsi="Arial" w:cs="Arial"/>
          <w:lang w:val="fr-CA"/>
        </w:rPr>
      </w:pPr>
      <w:r w:rsidRPr="000274FA">
        <w:rPr>
          <w:rFonts w:ascii="Arial" w:hAnsi="Arial"/>
          <w:b/>
          <w:lang w:val="fr-CA"/>
        </w:rPr>
        <w:t>Recommandation en matière de recherche</w:t>
      </w:r>
      <w:r w:rsidRPr="000274FA">
        <w:rPr>
          <w:rFonts w:ascii="Arial" w:hAnsi="Arial"/>
          <w:lang w:val="fr-CA"/>
        </w:rPr>
        <w:t> :</w:t>
      </w:r>
      <w:r w:rsidRPr="000274FA">
        <w:rPr>
          <w:rFonts w:ascii="Arial" w:hAnsi="Arial"/>
          <w:b/>
          <w:lang w:val="fr-CA"/>
        </w:rPr>
        <w:t xml:space="preserve"> </w:t>
      </w:r>
      <w:r w:rsidRPr="000274FA">
        <w:rPr>
          <w:rFonts w:ascii="Arial" w:hAnsi="Arial"/>
          <w:lang w:val="fr-CA"/>
        </w:rPr>
        <w:t>Si, à l</w:t>
      </w:r>
      <w:r w:rsidR="001B2BE1" w:rsidRPr="000274FA">
        <w:rPr>
          <w:rFonts w:ascii="Arial" w:hAnsi="Arial"/>
          <w:lang w:val="fr-CA"/>
        </w:rPr>
        <w:t>’</w:t>
      </w:r>
      <w:r w:rsidRPr="000274FA">
        <w:rPr>
          <w:rFonts w:ascii="Arial" w:hAnsi="Arial"/>
          <w:lang w:val="fr-CA"/>
        </w:rPr>
        <w:t>avenir, la méthode empirique est modifiée de sorte que le taux d</w:t>
      </w:r>
      <w:r w:rsidR="001B2BE1" w:rsidRPr="000274FA">
        <w:rPr>
          <w:rFonts w:ascii="Arial" w:hAnsi="Arial"/>
          <w:lang w:val="fr-CA"/>
        </w:rPr>
        <w:t>’</w:t>
      </w:r>
      <w:r w:rsidRPr="000274FA">
        <w:rPr>
          <w:rFonts w:ascii="Arial" w:hAnsi="Arial"/>
          <w:lang w:val="fr-CA"/>
        </w:rPr>
        <w:t>exploitation soit calculé en fonction des prises plutôt que des quotas, il conviendra de réfléchir à la façon d</w:t>
      </w:r>
      <w:r w:rsidR="001B2BE1" w:rsidRPr="000274FA">
        <w:rPr>
          <w:rFonts w:ascii="Arial" w:hAnsi="Arial"/>
          <w:lang w:val="fr-CA"/>
        </w:rPr>
        <w:t>’</w:t>
      </w:r>
      <w:r w:rsidRPr="000274FA">
        <w:rPr>
          <w:rFonts w:ascii="Arial" w:hAnsi="Arial"/>
          <w:lang w:val="fr-CA"/>
        </w:rPr>
        <w:t>intégrer l</w:t>
      </w:r>
      <w:r w:rsidR="001B2BE1" w:rsidRPr="000274FA">
        <w:rPr>
          <w:rFonts w:ascii="Arial" w:hAnsi="Arial"/>
          <w:lang w:val="fr-CA"/>
        </w:rPr>
        <w:t>’</w:t>
      </w:r>
      <w:r w:rsidRPr="000274FA">
        <w:rPr>
          <w:rFonts w:ascii="Arial" w:hAnsi="Arial"/>
          <w:lang w:val="fr-CA"/>
        </w:rPr>
        <w:t>incertitude relative aux prises.</w:t>
      </w:r>
    </w:p>
    <w:p w14:paraId="42A6FFEE" w14:textId="2BBF3928" w:rsidR="00F52C6F" w:rsidRPr="000274FA" w:rsidRDefault="00F52C6F" w:rsidP="000274FA">
      <w:pPr>
        <w:pStyle w:val="BodyText"/>
        <w:rPr>
          <w:rFonts w:cs="Arial"/>
          <w:lang w:val="fr-CA"/>
        </w:rPr>
      </w:pPr>
      <w:r w:rsidRPr="000274FA">
        <w:rPr>
          <w:lang w:val="fr-CA"/>
        </w:rPr>
        <w:lastRenderedPageBreak/>
        <w:t>Bien qu</w:t>
      </w:r>
      <w:r w:rsidR="001B2BE1" w:rsidRPr="000274FA">
        <w:rPr>
          <w:lang w:val="fr-CA"/>
        </w:rPr>
        <w:t>’</w:t>
      </w:r>
      <w:r w:rsidRPr="000274FA">
        <w:rPr>
          <w:lang w:val="fr-CA"/>
        </w:rPr>
        <w:t>il ne s</w:t>
      </w:r>
      <w:r w:rsidR="001B2BE1" w:rsidRPr="000274FA">
        <w:rPr>
          <w:lang w:val="fr-CA"/>
        </w:rPr>
        <w:t>’</w:t>
      </w:r>
      <w:r w:rsidRPr="000274FA">
        <w:rPr>
          <w:lang w:val="fr-CA"/>
        </w:rPr>
        <w:t>agisse pas d</w:t>
      </w:r>
      <w:r w:rsidR="001B2BE1" w:rsidRPr="000274FA">
        <w:rPr>
          <w:lang w:val="fr-CA"/>
        </w:rPr>
        <w:t>’</w:t>
      </w:r>
      <w:r w:rsidRPr="000274FA">
        <w:rPr>
          <w:lang w:val="fr-CA"/>
        </w:rPr>
        <w:t xml:space="preserve">un </w:t>
      </w:r>
      <w:r w:rsidR="009059E9">
        <w:rPr>
          <w:lang w:val="fr-CA"/>
        </w:rPr>
        <w:t>cadre de r</w:t>
      </w:r>
      <w:r w:rsidR="009059E9" w:rsidRPr="000274FA">
        <w:rPr>
          <w:lang w:val="fr-CA"/>
        </w:rPr>
        <w:t>é</w:t>
      </w:r>
      <w:r w:rsidR="009059E9">
        <w:rPr>
          <w:lang w:val="fr-CA"/>
        </w:rPr>
        <w:t>f</w:t>
      </w:r>
      <w:r w:rsidR="009059E9" w:rsidRPr="000274FA">
        <w:rPr>
          <w:lang w:val="fr-CA"/>
        </w:rPr>
        <w:t>é</w:t>
      </w:r>
      <w:r w:rsidR="009059E9">
        <w:rPr>
          <w:lang w:val="fr-CA"/>
        </w:rPr>
        <w:t>rence</w:t>
      </w:r>
      <w:r w:rsidRPr="000274FA">
        <w:rPr>
          <w:lang w:val="fr-CA"/>
        </w:rPr>
        <w:t xml:space="preserve"> proprement dit, le document de travail traite de la question du recrutement et de l</w:t>
      </w:r>
      <w:r w:rsidR="001B2BE1" w:rsidRPr="000274FA">
        <w:rPr>
          <w:lang w:val="fr-CA"/>
        </w:rPr>
        <w:t>’</w:t>
      </w:r>
      <w:r w:rsidRPr="000274FA">
        <w:rPr>
          <w:lang w:val="fr-CA"/>
        </w:rPr>
        <w:t>effet dépensatoire</w:t>
      </w:r>
      <w:r w:rsidR="00C56C44" w:rsidRPr="000274FA">
        <w:rPr>
          <w:lang w:val="fr-CA"/>
        </w:rPr>
        <w:t xml:space="preserve">. </w:t>
      </w:r>
      <w:r w:rsidRPr="000274FA">
        <w:rPr>
          <w:lang w:val="fr-CA"/>
        </w:rPr>
        <w:t>La relation entre les recrues et la biomasse provenant des relevés a été examinée, et donc aucune modélisation n</w:t>
      </w:r>
      <w:r w:rsidR="001B2BE1" w:rsidRPr="000274FA">
        <w:rPr>
          <w:lang w:val="fr-CA"/>
        </w:rPr>
        <w:t>’</w:t>
      </w:r>
      <w:r w:rsidRPr="000274FA">
        <w:rPr>
          <w:lang w:val="fr-CA"/>
        </w:rPr>
        <w:t>a été effectuée</w:t>
      </w:r>
      <w:r w:rsidR="00C56C44" w:rsidRPr="000274FA">
        <w:rPr>
          <w:lang w:val="fr-CA"/>
        </w:rPr>
        <w:t xml:space="preserve">. </w:t>
      </w:r>
      <w:r w:rsidRPr="000274FA">
        <w:rPr>
          <w:lang w:val="fr-CA"/>
        </w:rPr>
        <w:t>Des relevés récents révèlent un recrutement très faible malgré une faible exploitation</w:t>
      </w:r>
      <w:r w:rsidR="00C56C44" w:rsidRPr="000274FA">
        <w:rPr>
          <w:lang w:val="fr-CA"/>
        </w:rPr>
        <w:t xml:space="preserve">. </w:t>
      </w:r>
      <w:r w:rsidRPr="000274FA">
        <w:rPr>
          <w:lang w:val="fr-CA"/>
        </w:rPr>
        <w:t xml:space="preserve">On fait remarquer que ce stock pourrait </w:t>
      </w:r>
      <w:r w:rsidR="003C38A7" w:rsidRPr="000274FA">
        <w:rPr>
          <w:lang w:val="fr-CA"/>
        </w:rPr>
        <w:t>être aux prises avec l’effet dépensatoire</w:t>
      </w:r>
      <w:r w:rsidRPr="000274FA">
        <w:rPr>
          <w:lang w:val="fr-CA"/>
        </w:rPr>
        <w:t>.</w:t>
      </w:r>
    </w:p>
    <w:p w14:paraId="1BB514DF" w14:textId="77777777" w:rsidR="00F52C6F" w:rsidRPr="000274FA" w:rsidRDefault="00F52C6F" w:rsidP="00F142E9">
      <w:pPr>
        <w:ind w:left="360"/>
        <w:rPr>
          <w:i/>
          <w:lang w:val="fr-CA"/>
        </w:rPr>
      </w:pPr>
      <w:r w:rsidRPr="000274FA">
        <w:rPr>
          <w:i/>
          <w:lang w:val="fr-CA"/>
        </w:rPr>
        <w:t>Personnel scientifique, gestionnaires de ressources désignés et coprésidentes du CERT</w:t>
      </w:r>
    </w:p>
    <w:p w14:paraId="0CEE6676" w14:textId="4A0B523F" w:rsidR="00F52C6F" w:rsidRPr="000274FA" w:rsidRDefault="00F52C6F" w:rsidP="000274FA">
      <w:pPr>
        <w:pStyle w:val="BodyText"/>
        <w:rPr>
          <w:lang w:val="fr-CA"/>
        </w:rPr>
      </w:pPr>
      <w:r w:rsidRPr="000274FA">
        <w:rPr>
          <w:lang w:val="fr-CA"/>
        </w:rPr>
        <w:t>On demande quel est le taux d</w:t>
      </w:r>
      <w:r w:rsidR="001B2BE1" w:rsidRPr="000274FA">
        <w:rPr>
          <w:lang w:val="fr-CA"/>
        </w:rPr>
        <w:t>’</w:t>
      </w:r>
      <w:r w:rsidRPr="000274FA">
        <w:rPr>
          <w:lang w:val="fr-CA"/>
        </w:rPr>
        <w:t>exploitation réalisé pour le quota actuel de 140 t</w:t>
      </w:r>
      <w:r w:rsidR="003C38A7" w:rsidRPr="000274FA">
        <w:rPr>
          <w:lang w:val="fr-CA"/>
        </w:rPr>
        <w:t>m</w:t>
      </w:r>
      <w:r w:rsidRPr="000274FA">
        <w:rPr>
          <w:lang w:val="fr-CA"/>
        </w:rPr>
        <w:t xml:space="preserve"> pour 2019</w:t>
      </w:r>
      <w:r w:rsidR="00C56C44" w:rsidRPr="000274FA">
        <w:rPr>
          <w:lang w:val="fr-CA"/>
        </w:rPr>
        <w:t xml:space="preserve">. </w:t>
      </w:r>
      <w:r w:rsidRPr="000274FA">
        <w:rPr>
          <w:lang w:val="fr-CA"/>
        </w:rPr>
        <w:t>Compte tenu de l</w:t>
      </w:r>
      <w:r w:rsidR="001B2BE1" w:rsidRPr="000274FA">
        <w:rPr>
          <w:lang w:val="fr-CA"/>
        </w:rPr>
        <w:t>’</w:t>
      </w:r>
      <w:r w:rsidRPr="000274FA">
        <w:rPr>
          <w:lang w:val="fr-CA"/>
        </w:rPr>
        <w:t>augmentation des relevés en 2019, le taux d</w:t>
      </w:r>
      <w:r w:rsidR="001B2BE1" w:rsidRPr="000274FA">
        <w:rPr>
          <w:lang w:val="fr-CA"/>
        </w:rPr>
        <w:t>’</w:t>
      </w:r>
      <w:r w:rsidRPr="000274FA">
        <w:rPr>
          <w:lang w:val="fr-CA"/>
        </w:rPr>
        <w:t>exploitation (quota/biomasse moyenne des relevés) est de 4 %</w:t>
      </w:r>
      <w:r w:rsidR="00C56C44" w:rsidRPr="000274FA">
        <w:rPr>
          <w:lang w:val="fr-CA"/>
        </w:rPr>
        <w:t xml:space="preserve">. </w:t>
      </w:r>
      <w:r w:rsidRPr="000274FA">
        <w:rPr>
          <w:lang w:val="fr-CA"/>
        </w:rPr>
        <w:t>L</w:t>
      </w:r>
      <w:r w:rsidR="001B2BE1" w:rsidRPr="000274FA">
        <w:rPr>
          <w:lang w:val="fr-CA"/>
        </w:rPr>
        <w:t>’</w:t>
      </w:r>
      <w:r w:rsidRPr="000274FA">
        <w:rPr>
          <w:lang w:val="fr-CA"/>
        </w:rPr>
        <w:t>avis proposé est de maintenir l</w:t>
      </w:r>
      <w:r w:rsidR="001B2BE1" w:rsidRPr="000274FA">
        <w:rPr>
          <w:lang w:val="fr-CA"/>
        </w:rPr>
        <w:t>’</w:t>
      </w:r>
      <w:r w:rsidRPr="000274FA">
        <w:rPr>
          <w:lang w:val="fr-CA"/>
        </w:rPr>
        <w:t>exploitation à 6 % ou moins, ce qui correspond à la moyenne des taux d</w:t>
      </w:r>
      <w:r w:rsidR="001B2BE1" w:rsidRPr="000274FA">
        <w:rPr>
          <w:lang w:val="fr-CA"/>
        </w:rPr>
        <w:t>’</w:t>
      </w:r>
      <w:r w:rsidRPr="000274FA">
        <w:rPr>
          <w:lang w:val="fr-CA"/>
        </w:rPr>
        <w:t>exploitation entre 2010 et 2016, alors que le COGST établissait le quota conformément aux recommandations du CERT et que la biomasse moyenne des relevés diminuait d</w:t>
      </w:r>
      <w:r w:rsidR="001B2BE1" w:rsidRPr="000274FA">
        <w:rPr>
          <w:lang w:val="fr-CA"/>
        </w:rPr>
        <w:t>’</w:t>
      </w:r>
      <w:r w:rsidRPr="000274FA">
        <w:rPr>
          <w:lang w:val="fr-CA"/>
        </w:rPr>
        <w:t>environ 95 %</w:t>
      </w:r>
      <w:r w:rsidR="00C56C44" w:rsidRPr="000274FA">
        <w:rPr>
          <w:lang w:val="fr-CA"/>
        </w:rPr>
        <w:t xml:space="preserve">. </w:t>
      </w:r>
      <w:r w:rsidRPr="000274FA">
        <w:rPr>
          <w:lang w:val="fr-CA"/>
        </w:rPr>
        <w:t>Il n</w:t>
      </w:r>
      <w:r w:rsidR="001B2BE1" w:rsidRPr="000274FA">
        <w:rPr>
          <w:lang w:val="fr-CA"/>
        </w:rPr>
        <w:t>’</w:t>
      </w:r>
      <w:r w:rsidRPr="000274FA">
        <w:rPr>
          <w:lang w:val="fr-CA"/>
        </w:rPr>
        <w:t>y a eu aucun changement dans l</w:t>
      </w:r>
      <w:r w:rsidR="001B2BE1" w:rsidRPr="000274FA">
        <w:rPr>
          <w:lang w:val="fr-CA"/>
        </w:rPr>
        <w:t>’</w:t>
      </w:r>
      <w:r w:rsidRPr="000274FA">
        <w:rPr>
          <w:lang w:val="fr-CA"/>
        </w:rPr>
        <w:t xml:space="preserve">état du stock indiquant que ce taux de 6 % devrait être réexaminé. </w:t>
      </w:r>
    </w:p>
    <w:p w14:paraId="30DD803B" w14:textId="674EAA0F" w:rsidR="00FC3DFA" w:rsidRPr="000274FA" w:rsidRDefault="008F57D0" w:rsidP="000274FA">
      <w:pPr>
        <w:pStyle w:val="BodyText"/>
        <w:rPr>
          <w:lang w:val="fr-CA"/>
        </w:rPr>
      </w:pPr>
      <w:r w:rsidRPr="000274FA">
        <w:rPr>
          <w:lang w:val="fr-CA"/>
        </w:rPr>
        <w:t>On demande de mettre à jour l</w:t>
      </w:r>
      <w:r w:rsidR="001B2BE1" w:rsidRPr="000274FA">
        <w:rPr>
          <w:lang w:val="fr-CA"/>
        </w:rPr>
        <w:t>’</w:t>
      </w:r>
      <w:r w:rsidRPr="000274FA">
        <w:rPr>
          <w:lang w:val="fr-CA"/>
        </w:rPr>
        <w:t>état d</w:t>
      </w:r>
      <w:r w:rsidR="001B2BE1" w:rsidRPr="000274FA">
        <w:rPr>
          <w:lang w:val="fr-CA"/>
        </w:rPr>
        <w:t>’</w:t>
      </w:r>
      <w:r w:rsidRPr="000274FA">
        <w:rPr>
          <w:lang w:val="fr-CA"/>
        </w:rPr>
        <w:t>avancement du plan canadien de rétablissement du stock de limande à queue jaune</w:t>
      </w:r>
      <w:r w:rsidR="00C56C44" w:rsidRPr="000274FA">
        <w:rPr>
          <w:lang w:val="fr-CA"/>
        </w:rPr>
        <w:t xml:space="preserve">. </w:t>
      </w:r>
      <w:r w:rsidRPr="000274FA">
        <w:rPr>
          <w:lang w:val="fr-CA"/>
        </w:rPr>
        <w:t xml:space="preserve">Le </w:t>
      </w:r>
      <w:hyperlink r:id="rId21" w:history="1">
        <w:r w:rsidRPr="000274FA">
          <w:rPr>
            <w:rStyle w:val="Hyperlink"/>
            <w:lang w:val="fr-CA"/>
          </w:rPr>
          <w:t>plan est terminé et a été affiché</w:t>
        </w:r>
      </w:hyperlink>
      <w:r w:rsidRPr="000274FA">
        <w:rPr>
          <w:lang w:val="fr-CA"/>
        </w:rPr>
        <w:t xml:space="preserve"> en juillet 2019</w:t>
      </w:r>
      <w:r w:rsidR="00C56C44" w:rsidRPr="000274FA">
        <w:rPr>
          <w:lang w:val="fr-CA"/>
        </w:rPr>
        <w:t xml:space="preserve">. </w:t>
      </w:r>
      <w:r w:rsidRPr="000274FA">
        <w:rPr>
          <w:lang w:val="fr-CA"/>
        </w:rPr>
        <w:t>C</w:t>
      </w:r>
      <w:r w:rsidR="001B2BE1" w:rsidRPr="000274FA">
        <w:rPr>
          <w:lang w:val="fr-CA"/>
        </w:rPr>
        <w:t>’</w:t>
      </w:r>
      <w:r w:rsidRPr="000274FA">
        <w:rPr>
          <w:lang w:val="fr-CA"/>
        </w:rPr>
        <w:t>est un plan national et, d</w:t>
      </w:r>
      <w:r w:rsidR="001B2BE1" w:rsidRPr="000274FA">
        <w:rPr>
          <w:lang w:val="fr-CA"/>
        </w:rPr>
        <w:t>’</w:t>
      </w:r>
      <w:r w:rsidRPr="000274FA">
        <w:rPr>
          <w:lang w:val="fr-CA"/>
        </w:rPr>
        <w:t>un point de vue opérationnel, il exige que le Canada maintienne ses propres prélèvements en conformité avec l</w:t>
      </w:r>
      <w:r w:rsidR="001B2BE1" w:rsidRPr="000274FA">
        <w:rPr>
          <w:lang w:val="fr-CA"/>
        </w:rPr>
        <w:t>’</w:t>
      </w:r>
      <w:r w:rsidRPr="000274FA">
        <w:rPr>
          <w:lang w:val="fr-CA"/>
        </w:rPr>
        <w:t>avis du CERT.</w:t>
      </w:r>
    </w:p>
    <w:p w14:paraId="3C8D1639" w14:textId="2ED08AB0" w:rsidR="008F57D0" w:rsidRPr="000274FA" w:rsidRDefault="00FC3DFA" w:rsidP="000274FA">
      <w:pPr>
        <w:pStyle w:val="BodyText"/>
        <w:rPr>
          <w:lang w:val="fr-CA"/>
        </w:rPr>
      </w:pPr>
      <w:r w:rsidRPr="000274FA">
        <w:rPr>
          <w:lang w:val="fr-CA"/>
        </w:rPr>
        <w:t>Les examinateurs, le personnel scientifique, les gestionnaires de ressources, les coprésidentes du CERT et les autres participants à la réunion s</w:t>
      </w:r>
      <w:r w:rsidR="001B2BE1" w:rsidRPr="000274FA">
        <w:rPr>
          <w:lang w:val="fr-CA"/>
        </w:rPr>
        <w:t>’</w:t>
      </w:r>
      <w:r w:rsidRPr="000274FA">
        <w:rPr>
          <w:lang w:val="fr-CA"/>
        </w:rPr>
        <w:t xml:space="preserve">entendent pour dire que les auteurs ont rempli le deuxième </w:t>
      </w:r>
      <w:r w:rsidR="009059E9">
        <w:rPr>
          <w:lang w:val="fr-CA"/>
        </w:rPr>
        <w:t>cadre de r</w:t>
      </w:r>
      <w:r w:rsidR="009059E9" w:rsidRPr="000274FA">
        <w:rPr>
          <w:lang w:val="fr-CA"/>
        </w:rPr>
        <w:t>é</w:t>
      </w:r>
      <w:r w:rsidR="009059E9">
        <w:rPr>
          <w:lang w:val="fr-CA"/>
        </w:rPr>
        <w:t>f</w:t>
      </w:r>
      <w:r w:rsidR="009059E9" w:rsidRPr="000274FA">
        <w:rPr>
          <w:lang w:val="fr-CA"/>
        </w:rPr>
        <w:t>é</w:t>
      </w:r>
      <w:r w:rsidR="009059E9">
        <w:rPr>
          <w:lang w:val="fr-CA"/>
        </w:rPr>
        <w:t>rence</w:t>
      </w:r>
      <w:r w:rsidR="00C56C44" w:rsidRPr="000274FA">
        <w:rPr>
          <w:lang w:val="fr-CA"/>
        </w:rPr>
        <w:t xml:space="preserve">. </w:t>
      </w:r>
    </w:p>
    <w:p w14:paraId="0B9A6ACB" w14:textId="7A28F9AA" w:rsidR="00FC3DFA" w:rsidRPr="000274FA" w:rsidRDefault="000274FA" w:rsidP="00F142E9">
      <w:pPr>
        <w:ind w:left="360"/>
        <w:rPr>
          <w:u w:val="single"/>
          <w:lang w:val="fr-CA"/>
        </w:rPr>
      </w:pPr>
      <w:r w:rsidRPr="000274FA">
        <w:rPr>
          <w:u w:val="single"/>
          <w:lang w:val="fr-CA"/>
        </w:rPr>
        <w:t>Cadre de référence</w:t>
      </w:r>
      <w:r w:rsidR="00FC3DFA" w:rsidRPr="000274FA">
        <w:rPr>
          <w:u w:val="single"/>
          <w:lang w:val="fr-CA"/>
        </w:rPr>
        <w:t> 3</w:t>
      </w:r>
    </w:p>
    <w:p w14:paraId="3DFF984E" w14:textId="05082FAE" w:rsidR="00FC3DFA" w:rsidRPr="000274FA" w:rsidRDefault="00FC3DFA" w:rsidP="00FC3DFA">
      <w:pPr>
        <w:pStyle w:val="ListBullet"/>
        <w:numPr>
          <w:ilvl w:val="0"/>
          <w:numId w:val="0"/>
        </w:numPr>
        <w:rPr>
          <w:i/>
          <w:lang w:val="fr-CA"/>
        </w:rPr>
      </w:pPr>
      <w:r w:rsidRPr="000274FA">
        <w:rPr>
          <w:i/>
          <w:lang w:val="fr-CA"/>
        </w:rPr>
        <w:t>Décrire tout ajustement apporté au modèle d</w:t>
      </w:r>
      <w:r w:rsidR="001B2BE1" w:rsidRPr="000274FA">
        <w:rPr>
          <w:i/>
          <w:lang w:val="fr-CA"/>
        </w:rPr>
        <w:t>’</w:t>
      </w:r>
      <w:r w:rsidRPr="000274FA">
        <w:rPr>
          <w:i/>
          <w:lang w:val="fr-CA"/>
        </w:rPr>
        <w:t>évaluation de référence lors des réunions du CERT, ce qui comprend les incidences sur les avis donnés au COGST.</w:t>
      </w:r>
    </w:p>
    <w:p w14:paraId="1182C8C6" w14:textId="03D8B8E1" w:rsidR="00E938C9" w:rsidRPr="000274FA" w:rsidRDefault="00E938C9" w:rsidP="000274FA">
      <w:pPr>
        <w:pStyle w:val="BodyText"/>
        <w:rPr>
          <w:lang w:val="fr-CA"/>
        </w:rPr>
      </w:pPr>
      <w:r w:rsidRPr="000274FA">
        <w:rPr>
          <w:lang w:val="fr-CA"/>
        </w:rPr>
        <w:t>Aucun ajustement n</w:t>
      </w:r>
      <w:r w:rsidR="001B2BE1" w:rsidRPr="000274FA">
        <w:rPr>
          <w:lang w:val="fr-CA"/>
        </w:rPr>
        <w:t>’</w:t>
      </w:r>
      <w:r w:rsidRPr="000274FA">
        <w:rPr>
          <w:lang w:val="fr-CA"/>
        </w:rPr>
        <w:t>a été apporté au modèle d</w:t>
      </w:r>
      <w:r w:rsidR="001B2BE1" w:rsidRPr="000274FA">
        <w:rPr>
          <w:lang w:val="fr-CA"/>
        </w:rPr>
        <w:t>’</w:t>
      </w:r>
      <w:r w:rsidRPr="000274FA">
        <w:rPr>
          <w:lang w:val="fr-CA"/>
        </w:rPr>
        <w:t>évaluation de référence</w:t>
      </w:r>
      <w:r w:rsidR="00C56C44" w:rsidRPr="000274FA">
        <w:rPr>
          <w:lang w:val="fr-CA"/>
        </w:rPr>
        <w:t xml:space="preserve">. </w:t>
      </w:r>
      <w:r w:rsidRPr="000274FA">
        <w:rPr>
          <w:lang w:val="fr-CA"/>
        </w:rPr>
        <w:t>Toutefois, les auteurs communiquent des renseignements sur les analyses actuellement menées par Timothy</w:t>
      </w:r>
      <w:r w:rsidR="00E477D9" w:rsidRPr="000274FA">
        <w:rPr>
          <w:lang w:val="fr-CA"/>
        </w:rPr>
        <w:t> </w:t>
      </w:r>
      <w:r w:rsidRPr="000274FA">
        <w:rPr>
          <w:lang w:val="fr-CA"/>
        </w:rPr>
        <w:t>Miller du NEFSC</w:t>
      </w:r>
      <w:r w:rsidR="00C56C44" w:rsidRPr="000274FA">
        <w:rPr>
          <w:lang w:val="fr-CA"/>
        </w:rPr>
        <w:t xml:space="preserve">. </w:t>
      </w:r>
      <w:r w:rsidRPr="000274FA">
        <w:rPr>
          <w:lang w:val="fr-CA"/>
        </w:rPr>
        <w:t>Les résultats préliminaires de ses travaux indiquent que l</w:t>
      </w:r>
      <w:r w:rsidR="00F93B6A" w:rsidRPr="000274FA">
        <w:rPr>
          <w:lang w:val="fr-CA"/>
        </w:rPr>
        <w:t xml:space="preserve">e potentiel de </w:t>
      </w:r>
      <w:r w:rsidRPr="000274FA">
        <w:rPr>
          <w:lang w:val="fr-CA"/>
        </w:rPr>
        <w:t>captur</w:t>
      </w:r>
      <w:r w:rsidR="00F93B6A" w:rsidRPr="000274FA">
        <w:rPr>
          <w:lang w:val="fr-CA"/>
        </w:rPr>
        <w:t>e</w:t>
      </w:r>
      <w:r w:rsidRPr="000274FA">
        <w:rPr>
          <w:lang w:val="fr-CA"/>
        </w:rPr>
        <w:t xml:space="preserve"> (q) pourrait être légèrement supérieur à la valeur actuelle de 0,31 du CERT, ce qui se traduirait par des estimations légèrement inférieures de la biomasse</w:t>
      </w:r>
      <w:r w:rsidR="00C56C44" w:rsidRPr="000274FA">
        <w:rPr>
          <w:lang w:val="fr-CA"/>
        </w:rPr>
        <w:t xml:space="preserve">. </w:t>
      </w:r>
      <w:r w:rsidRPr="000274FA">
        <w:rPr>
          <w:lang w:val="fr-CA"/>
        </w:rPr>
        <w:t>L</w:t>
      </w:r>
      <w:r w:rsidR="00F93B6A" w:rsidRPr="000274FA">
        <w:rPr>
          <w:lang w:val="fr-CA"/>
        </w:rPr>
        <w:t>e</w:t>
      </w:r>
      <w:r w:rsidRPr="000274FA">
        <w:rPr>
          <w:lang w:val="fr-CA"/>
        </w:rPr>
        <w:t xml:space="preserve"> </w:t>
      </w:r>
      <w:r w:rsidR="00F93B6A" w:rsidRPr="000274FA">
        <w:rPr>
          <w:lang w:val="fr-CA"/>
        </w:rPr>
        <w:t xml:space="preserve">potentiel de capture </w:t>
      </w:r>
      <w:r w:rsidRPr="000274FA">
        <w:rPr>
          <w:lang w:val="fr-CA"/>
        </w:rPr>
        <w:t>(q) supérieur n</w:t>
      </w:r>
      <w:r w:rsidR="001B2BE1" w:rsidRPr="000274FA">
        <w:rPr>
          <w:lang w:val="fr-CA"/>
        </w:rPr>
        <w:t>’</w:t>
      </w:r>
      <w:r w:rsidRPr="000274FA">
        <w:rPr>
          <w:lang w:val="fr-CA"/>
        </w:rPr>
        <w:t>a pas été appliqué</w:t>
      </w:r>
      <w:r w:rsidR="00F93B6A" w:rsidRPr="000274FA">
        <w:rPr>
          <w:lang w:val="fr-CA"/>
        </w:rPr>
        <w:t xml:space="preserve"> </w:t>
      </w:r>
      <w:r w:rsidRPr="000274FA">
        <w:rPr>
          <w:lang w:val="fr-CA"/>
        </w:rPr>
        <w:t>au relevé du MPO dans les analyses de M. Miller jusqu</w:t>
      </w:r>
      <w:r w:rsidR="001B2BE1" w:rsidRPr="000274FA">
        <w:rPr>
          <w:lang w:val="fr-CA"/>
        </w:rPr>
        <w:t>’</w:t>
      </w:r>
      <w:r w:rsidRPr="000274FA">
        <w:rPr>
          <w:lang w:val="fr-CA"/>
        </w:rPr>
        <w:t xml:space="preserve">à présent et </w:t>
      </w:r>
      <w:r w:rsidR="00F93B6A" w:rsidRPr="000274FA">
        <w:rPr>
          <w:lang w:val="fr-CA"/>
        </w:rPr>
        <w:t xml:space="preserve">il </w:t>
      </w:r>
      <w:r w:rsidRPr="000274FA">
        <w:rPr>
          <w:lang w:val="fr-CA"/>
        </w:rPr>
        <w:t>n</w:t>
      </w:r>
      <w:r w:rsidR="001B2BE1" w:rsidRPr="000274FA">
        <w:rPr>
          <w:lang w:val="fr-CA"/>
        </w:rPr>
        <w:t>’</w:t>
      </w:r>
      <w:r w:rsidRPr="000274FA">
        <w:rPr>
          <w:lang w:val="fr-CA"/>
        </w:rPr>
        <w:t>est pas utilisé</w:t>
      </w:r>
      <w:r w:rsidR="00F93B6A" w:rsidRPr="000274FA">
        <w:rPr>
          <w:lang w:val="fr-CA"/>
        </w:rPr>
        <w:t xml:space="preserve"> </w:t>
      </w:r>
      <w:r w:rsidRPr="000274FA">
        <w:rPr>
          <w:lang w:val="fr-CA"/>
        </w:rPr>
        <w:t>actuellement dans l</w:t>
      </w:r>
      <w:r w:rsidR="001B2BE1" w:rsidRPr="000274FA">
        <w:rPr>
          <w:lang w:val="fr-CA"/>
        </w:rPr>
        <w:t>’</w:t>
      </w:r>
      <w:r w:rsidRPr="000274FA">
        <w:rPr>
          <w:lang w:val="fr-CA"/>
        </w:rPr>
        <w:t xml:space="preserve">approche empirique du CERT. </w:t>
      </w:r>
    </w:p>
    <w:p w14:paraId="615CFEA3" w14:textId="77777777" w:rsidR="00E938C9" w:rsidRPr="000274FA" w:rsidRDefault="00E938C9" w:rsidP="00F142E9">
      <w:pPr>
        <w:ind w:left="360"/>
        <w:rPr>
          <w:i/>
          <w:lang w:val="fr-CA"/>
        </w:rPr>
      </w:pPr>
      <w:r w:rsidRPr="000274FA">
        <w:rPr>
          <w:i/>
          <w:lang w:val="fr-CA"/>
        </w:rPr>
        <w:t>Examinateurs</w:t>
      </w:r>
    </w:p>
    <w:p w14:paraId="47A1A196" w14:textId="391FCFE1" w:rsidR="00FC3DFA" w:rsidRPr="000274FA" w:rsidRDefault="00E938C9" w:rsidP="000274FA">
      <w:pPr>
        <w:pStyle w:val="BodyText"/>
        <w:rPr>
          <w:lang w:val="fr-CA"/>
        </w:rPr>
      </w:pPr>
      <w:r w:rsidRPr="000274FA">
        <w:rPr>
          <w:lang w:val="fr-CA"/>
        </w:rPr>
        <w:t>On mentionne qu</w:t>
      </w:r>
      <w:r w:rsidR="001B2BE1" w:rsidRPr="000274FA">
        <w:rPr>
          <w:lang w:val="fr-CA"/>
        </w:rPr>
        <w:t>’</w:t>
      </w:r>
      <w:r w:rsidRPr="000274FA">
        <w:rPr>
          <w:lang w:val="fr-CA"/>
        </w:rPr>
        <w:t>à l</w:t>
      </w:r>
      <w:r w:rsidR="001B2BE1" w:rsidRPr="000274FA">
        <w:rPr>
          <w:lang w:val="fr-CA"/>
        </w:rPr>
        <w:t>’</w:t>
      </w:r>
      <w:r w:rsidRPr="000274FA">
        <w:rPr>
          <w:lang w:val="fr-CA"/>
        </w:rPr>
        <w:t>heure actuelle, le CERT applique la valeur q de 0,31 au relevé du MPO</w:t>
      </w:r>
      <w:r w:rsidR="00C56C44" w:rsidRPr="000274FA">
        <w:rPr>
          <w:lang w:val="fr-CA"/>
        </w:rPr>
        <w:t xml:space="preserve">. </w:t>
      </w:r>
      <w:r w:rsidRPr="000274FA">
        <w:rPr>
          <w:lang w:val="fr-CA"/>
        </w:rPr>
        <w:t>Dans le tableau 12 du document de travail, les examinateurs ont indiqué que les valeurs de la biomasse de la zone d</w:t>
      </w:r>
      <w:r w:rsidR="001B2BE1" w:rsidRPr="000274FA">
        <w:rPr>
          <w:lang w:val="fr-CA"/>
        </w:rPr>
        <w:t>’</w:t>
      </w:r>
      <w:r w:rsidRPr="000274FA">
        <w:rPr>
          <w:lang w:val="fr-CA"/>
        </w:rPr>
        <w:t>étude du relevé du MPO sont presque toujours (</w:t>
      </w:r>
      <w:r w:rsidR="00B40BB6" w:rsidRPr="000274FA">
        <w:rPr>
          <w:lang w:val="fr-CA"/>
        </w:rPr>
        <w:t>8 </w:t>
      </w:r>
      <w:r w:rsidRPr="000274FA">
        <w:rPr>
          <w:lang w:val="fr-CA"/>
        </w:rPr>
        <w:t xml:space="preserve">années sur </w:t>
      </w:r>
      <w:r w:rsidR="00B40BB6" w:rsidRPr="000274FA">
        <w:rPr>
          <w:lang w:val="fr-CA"/>
        </w:rPr>
        <w:t>10</w:t>
      </w:r>
      <w:r w:rsidRPr="000274FA">
        <w:rPr>
          <w:lang w:val="fr-CA"/>
        </w:rPr>
        <w:t>) inférieures aux valeurs du relevé du printemps du NMFS, ce qui peut indiquer que la valeur q diffère pour le relevé du MPO. L</w:t>
      </w:r>
      <w:r w:rsidR="00F93B6A" w:rsidRPr="000274FA">
        <w:rPr>
          <w:lang w:val="fr-CA"/>
        </w:rPr>
        <w:t xml:space="preserve">e potentiel de capture </w:t>
      </w:r>
      <w:r w:rsidRPr="000274FA">
        <w:rPr>
          <w:lang w:val="fr-CA"/>
        </w:rPr>
        <w:t>du relevé n</w:t>
      </w:r>
      <w:r w:rsidR="001B2BE1" w:rsidRPr="000274FA">
        <w:rPr>
          <w:lang w:val="fr-CA"/>
        </w:rPr>
        <w:t>’</w:t>
      </w:r>
      <w:r w:rsidRPr="000274FA">
        <w:rPr>
          <w:lang w:val="fr-CA"/>
        </w:rPr>
        <w:t>a pas fait l</w:t>
      </w:r>
      <w:r w:rsidR="001B2BE1" w:rsidRPr="000274FA">
        <w:rPr>
          <w:lang w:val="fr-CA"/>
        </w:rPr>
        <w:t>’</w:t>
      </w:r>
      <w:r w:rsidRPr="000274FA">
        <w:rPr>
          <w:lang w:val="fr-CA"/>
        </w:rPr>
        <w:t>objet d</w:t>
      </w:r>
      <w:r w:rsidR="001B2BE1" w:rsidRPr="000274FA">
        <w:rPr>
          <w:lang w:val="fr-CA"/>
        </w:rPr>
        <w:t>’</w:t>
      </w:r>
      <w:r w:rsidRPr="000274FA">
        <w:rPr>
          <w:lang w:val="fr-CA"/>
        </w:rPr>
        <w:t>expériences au moyen de l</w:t>
      </w:r>
      <w:r w:rsidR="001B2BE1" w:rsidRPr="000274FA">
        <w:rPr>
          <w:lang w:val="fr-CA"/>
        </w:rPr>
        <w:t>’</w:t>
      </w:r>
      <w:r w:rsidRPr="000274FA">
        <w:rPr>
          <w:lang w:val="fr-CA"/>
        </w:rPr>
        <w:t>engin de relevé du MPO (chalut Western IIA).</w:t>
      </w:r>
    </w:p>
    <w:p w14:paraId="1EC0C053" w14:textId="63221C4B" w:rsidR="00CF6E34" w:rsidRPr="000274FA" w:rsidRDefault="00CF6E34" w:rsidP="000274FA">
      <w:pPr>
        <w:pStyle w:val="BodyText"/>
        <w:rPr>
          <w:lang w:val="fr-CA"/>
        </w:rPr>
      </w:pPr>
      <w:r w:rsidRPr="000274FA">
        <w:rPr>
          <w:lang w:val="fr-CA"/>
        </w:rPr>
        <w:t>Les examinateurs, le personnel scientifique, les gestionnaires de ressources, les coprésidentes du CERT et les autres participants à la réunion s</w:t>
      </w:r>
      <w:r w:rsidR="001B2BE1" w:rsidRPr="000274FA">
        <w:rPr>
          <w:lang w:val="fr-CA"/>
        </w:rPr>
        <w:t>’</w:t>
      </w:r>
      <w:r w:rsidRPr="000274FA">
        <w:rPr>
          <w:lang w:val="fr-CA"/>
        </w:rPr>
        <w:t xml:space="preserve">entendent pour dire que les auteurs ont rempli le troisième </w:t>
      </w:r>
      <w:r w:rsidR="009059E9">
        <w:rPr>
          <w:lang w:val="fr-CA"/>
        </w:rPr>
        <w:t>cadre de r</w:t>
      </w:r>
      <w:r w:rsidR="009059E9" w:rsidRPr="000274FA">
        <w:rPr>
          <w:lang w:val="fr-CA"/>
        </w:rPr>
        <w:t>é</w:t>
      </w:r>
      <w:r w:rsidR="009059E9">
        <w:rPr>
          <w:lang w:val="fr-CA"/>
        </w:rPr>
        <w:t>f</w:t>
      </w:r>
      <w:r w:rsidR="009059E9" w:rsidRPr="000274FA">
        <w:rPr>
          <w:lang w:val="fr-CA"/>
        </w:rPr>
        <w:t>é</w:t>
      </w:r>
      <w:r w:rsidR="009059E9">
        <w:rPr>
          <w:lang w:val="fr-CA"/>
        </w:rPr>
        <w:t>rence</w:t>
      </w:r>
      <w:r w:rsidR="00C56C44" w:rsidRPr="000274FA">
        <w:rPr>
          <w:lang w:val="fr-CA"/>
        </w:rPr>
        <w:t xml:space="preserve">. </w:t>
      </w:r>
    </w:p>
    <w:p w14:paraId="639EF8E8" w14:textId="7C1C7AAC" w:rsidR="00CF6E34" w:rsidRPr="000274FA" w:rsidRDefault="000274FA" w:rsidP="00F142E9">
      <w:pPr>
        <w:ind w:left="360"/>
        <w:rPr>
          <w:u w:val="single"/>
          <w:lang w:val="fr-CA"/>
        </w:rPr>
      </w:pPr>
      <w:r w:rsidRPr="000274FA">
        <w:rPr>
          <w:u w:val="single"/>
          <w:lang w:val="fr-CA"/>
        </w:rPr>
        <w:t>Cadre de référence</w:t>
      </w:r>
      <w:r w:rsidR="00CF6E34" w:rsidRPr="000274FA">
        <w:rPr>
          <w:u w:val="single"/>
          <w:lang w:val="fr-CA"/>
        </w:rPr>
        <w:t> 4</w:t>
      </w:r>
    </w:p>
    <w:p w14:paraId="64BFC46E" w14:textId="34B2B272" w:rsidR="00271A5C" w:rsidRDefault="00CF6E34" w:rsidP="00E82E3D">
      <w:pPr>
        <w:pStyle w:val="ListBullet"/>
        <w:numPr>
          <w:ilvl w:val="0"/>
          <w:numId w:val="0"/>
        </w:numPr>
        <w:spacing w:before="120"/>
        <w:rPr>
          <w:i/>
          <w:szCs w:val="22"/>
          <w:lang w:val="fr-CA"/>
        </w:rPr>
      </w:pPr>
      <w:r w:rsidRPr="000274FA">
        <w:rPr>
          <w:i/>
          <w:szCs w:val="22"/>
          <w:lang w:val="fr-CA"/>
        </w:rPr>
        <w:t>Conformément au rapport scientifique du CERT de 2018, mettre à jour les tendances de la mortalité relative F et de la mortalité totale (Z), et les étayer de commentaires.</w:t>
      </w:r>
      <w:r w:rsidR="00271A5C">
        <w:rPr>
          <w:i/>
          <w:szCs w:val="22"/>
          <w:lang w:val="fr-CA"/>
        </w:rPr>
        <w:br w:type="page"/>
      </w:r>
    </w:p>
    <w:p w14:paraId="2BDF9C3C" w14:textId="77777777" w:rsidR="00CF6E34" w:rsidRPr="000274FA" w:rsidRDefault="00A4159C" w:rsidP="00F142E9">
      <w:pPr>
        <w:ind w:left="360"/>
        <w:rPr>
          <w:i/>
          <w:lang w:val="fr-CA"/>
        </w:rPr>
      </w:pPr>
      <w:r w:rsidRPr="000274FA">
        <w:rPr>
          <w:i/>
          <w:lang w:val="fr-CA"/>
        </w:rPr>
        <w:lastRenderedPageBreak/>
        <w:t xml:space="preserve">Examinateurs </w:t>
      </w:r>
    </w:p>
    <w:p w14:paraId="3C796F55" w14:textId="6346A9BD" w:rsidR="000358FD" w:rsidRPr="00A0159E" w:rsidRDefault="00546B59" w:rsidP="000274FA">
      <w:pPr>
        <w:pStyle w:val="BodyText"/>
        <w:rPr>
          <w:rFonts w:cs="Arial"/>
          <w:szCs w:val="22"/>
        </w:rPr>
      </w:pPr>
      <w:r>
        <w:t>Les calculs de Z sont entravés par des zéros et des nombres très faibles et, par conséquent, il est difficile de tirer des conclusions en se fondant sur un nombre total aussi faible de poissons capturés dans chaque relevé</w:t>
      </w:r>
      <w:r w:rsidR="00C56C44">
        <w:t xml:space="preserve">. </w:t>
      </w:r>
      <w:r>
        <w:t>Toutefois, ces analyses auront de l</w:t>
      </w:r>
      <w:r w:rsidR="001B2BE1">
        <w:t>’</w:t>
      </w:r>
      <w:r>
        <w:t>importance et seront pertinentes si le stock se rétablit.</w:t>
      </w:r>
    </w:p>
    <w:p w14:paraId="19B0D8F0" w14:textId="0F17C539" w:rsidR="000358FD" w:rsidRPr="00A0159E" w:rsidRDefault="000358FD" w:rsidP="000274FA">
      <w:pPr>
        <w:pStyle w:val="BodyText"/>
        <w:rPr>
          <w:rFonts w:cs="Arial"/>
          <w:szCs w:val="22"/>
        </w:rPr>
      </w:pPr>
      <w:r>
        <w:t>Les diminutions du poids et de la longueur selon l</w:t>
      </w:r>
      <w:r w:rsidR="001B2BE1">
        <w:t>’</w:t>
      </w:r>
      <w:r>
        <w:t>âge des limandes à queue jaune plus âgées sont semblables à ce que l</w:t>
      </w:r>
      <w:r w:rsidR="001B2BE1">
        <w:t>’</w:t>
      </w:r>
      <w:r>
        <w:t>on observe pour de nombreux stocks</w:t>
      </w:r>
      <w:r w:rsidR="00C56C44">
        <w:t xml:space="preserve">. </w:t>
      </w:r>
      <w:r>
        <w:t>Ces baisses ont des répercussions sur la mortalité parce que les poissons plus petits constituent une source de nourriture plus disponible</w:t>
      </w:r>
      <w:r w:rsidR="00C56C44">
        <w:t xml:space="preserve">. </w:t>
      </w:r>
      <w:r>
        <w:t>On n</w:t>
      </w:r>
      <w:r w:rsidR="001B2BE1">
        <w:t>’</w:t>
      </w:r>
      <w:r>
        <w:t>en connaît pas la cause, mais elle devrait constituer une importante priorité de recherche pour tous les stocks.</w:t>
      </w:r>
    </w:p>
    <w:p w14:paraId="307F267C" w14:textId="7AC687FC" w:rsidR="000358FD" w:rsidRPr="00A0159E" w:rsidRDefault="000358FD" w:rsidP="00E82E3D">
      <w:pPr>
        <w:pStyle w:val="NoSpacing"/>
        <w:tabs>
          <w:tab w:val="left" w:pos="8640"/>
        </w:tabs>
        <w:spacing w:before="120" w:after="120"/>
        <w:ind w:left="360" w:right="360"/>
        <w:rPr>
          <w:rFonts w:ascii="Arial" w:hAnsi="Arial" w:cs="Arial"/>
        </w:rPr>
      </w:pPr>
      <w:r>
        <w:rPr>
          <w:rFonts w:ascii="Arial" w:hAnsi="Arial"/>
          <w:b/>
        </w:rPr>
        <w:t>Recommandation en matière de recherche </w:t>
      </w:r>
      <w:r w:rsidRPr="008E5670">
        <w:rPr>
          <w:rFonts w:ascii="Arial" w:hAnsi="Arial"/>
        </w:rPr>
        <w:t xml:space="preserve">: </w:t>
      </w:r>
      <w:r>
        <w:rPr>
          <w:rFonts w:ascii="Arial" w:hAnsi="Arial"/>
        </w:rPr>
        <w:t>Étudier les causes et les effets potentiels des diminutions de poids et de longueur selon l</w:t>
      </w:r>
      <w:r w:rsidR="001B2BE1">
        <w:rPr>
          <w:rFonts w:ascii="Arial" w:hAnsi="Arial"/>
        </w:rPr>
        <w:t>’</w:t>
      </w:r>
      <w:r>
        <w:rPr>
          <w:rFonts w:ascii="Arial" w:hAnsi="Arial"/>
        </w:rPr>
        <w:t>âge dans tous les stocks de poissons.</w:t>
      </w:r>
    </w:p>
    <w:p w14:paraId="18F43ED6" w14:textId="77777777" w:rsidR="000358FD" w:rsidRPr="00A0159E" w:rsidRDefault="000358FD" w:rsidP="00F142E9">
      <w:pPr>
        <w:ind w:left="360"/>
        <w:rPr>
          <w:i/>
        </w:rPr>
      </w:pPr>
      <w:r>
        <w:rPr>
          <w:i/>
        </w:rPr>
        <w:t>Personnel scientifique, gestionnaires de ressources désignés et coprésidentes du CERT</w:t>
      </w:r>
    </w:p>
    <w:p w14:paraId="6D1B5EC6" w14:textId="1476B632" w:rsidR="00A4159C" w:rsidRPr="00A0159E" w:rsidRDefault="007949A7" w:rsidP="000274FA">
      <w:pPr>
        <w:pStyle w:val="BodyText"/>
        <w:rPr>
          <w:rFonts w:cs="Arial"/>
        </w:rPr>
      </w:pPr>
      <w:r>
        <w:t>On a observé une augmentation de la valeur Z du relevé du MPO et des diminutions de la valeur Z des relevés du NMFS</w:t>
      </w:r>
      <w:r w:rsidR="00C56C44">
        <w:t xml:space="preserve">. </w:t>
      </w:r>
      <w:r>
        <w:t>On demande si on a une idée des raisons qui l</w:t>
      </w:r>
      <w:r w:rsidR="001B2BE1">
        <w:t>’</w:t>
      </w:r>
      <w:r>
        <w:t>expliquent</w:t>
      </w:r>
      <w:r w:rsidR="00C56C44">
        <w:t xml:space="preserve">. </w:t>
      </w:r>
      <w:r>
        <w:t>Les responsables mentionnent que le nombre de poissons capturés est faible et donc que la différence entre les relevés se situe dans le bruit qui entoure ces estimations</w:t>
      </w:r>
      <w:r w:rsidR="00C56C44">
        <w:t xml:space="preserve">. </w:t>
      </w:r>
      <w:r>
        <w:t xml:space="preserve">Il est important de ne pas </w:t>
      </w:r>
      <w:r w:rsidR="00326BA1">
        <w:t xml:space="preserve">accorder une trop grande importance à </w:t>
      </w:r>
      <w:r>
        <w:t>une valeur quelconque</w:t>
      </w:r>
      <w:r w:rsidR="00C56C44">
        <w:t xml:space="preserve">. </w:t>
      </w:r>
    </w:p>
    <w:p w14:paraId="4E0FB343" w14:textId="77777777" w:rsidR="007949A7" w:rsidRPr="00A0159E" w:rsidRDefault="007949A7" w:rsidP="00F142E9">
      <w:pPr>
        <w:ind w:left="360"/>
        <w:rPr>
          <w:i/>
        </w:rPr>
      </w:pPr>
      <w:r>
        <w:rPr>
          <w:i/>
        </w:rPr>
        <w:t>Autres participants à la réunion</w:t>
      </w:r>
    </w:p>
    <w:p w14:paraId="4B5CE961" w14:textId="29384C45" w:rsidR="00A4159C" w:rsidRPr="00A0159E" w:rsidRDefault="0047732C" w:rsidP="000274FA">
      <w:pPr>
        <w:pStyle w:val="BodyText"/>
        <w:rPr>
          <w:rFonts w:cs="Arial"/>
        </w:rPr>
      </w:pPr>
      <w:r>
        <w:t>À l</w:t>
      </w:r>
      <w:r w:rsidR="001B2BE1">
        <w:t>’</w:t>
      </w:r>
      <w:r>
        <w:t>exception du relevé du MPO, il ne semble pas que la valeur Z du relevé soit actuellement élevée</w:t>
      </w:r>
      <w:r w:rsidR="00C56C44">
        <w:t xml:space="preserve">. </w:t>
      </w:r>
      <w:r>
        <w:t>Les valeurs sont relativement proches de la moyenne à long terme, sauf pour les points finaux, qui sont basés sur des prises très faibles ou nulles selon l</w:t>
      </w:r>
      <w:r w:rsidR="001B2BE1">
        <w:t>’</w:t>
      </w:r>
      <w:r>
        <w:t>âge dans les relevés</w:t>
      </w:r>
      <w:r w:rsidR="00C56C44">
        <w:t xml:space="preserve">. </w:t>
      </w:r>
      <w:r>
        <w:t xml:space="preserve">Là encore, il est important de ne pas </w:t>
      </w:r>
      <w:r w:rsidR="00326BA1">
        <w:t xml:space="preserve">aller trop loin dans l’interprétation </w:t>
      </w:r>
      <w:r>
        <w:t>lorsque les chiffres sont aussi bas</w:t>
      </w:r>
      <w:r w:rsidR="00C56C44">
        <w:t xml:space="preserve">. </w:t>
      </w:r>
    </w:p>
    <w:p w14:paraId="4672187D" w14:textId="03C4DB06" w:rsidR="00570612" w:rsidRPr="009059E9" w:rsidRDefault="00570612" w:rsidP="000274FA">
      <w:pPr>
        <w:pStyle w:val="BodyText"/>
        <w:rPr>
          <w:lang w:val="fr-CA"/>
        </w:rPr>
      </w:pPr>
      <w:r w:rsidRPr="009059E9">
        <w:rPr>
          <w:lang w:val="fr-CA"/>
        </w:rPr>
        <w:t>Les examinateurs, le personnel scientifique, les gestionnaires de ressources, les coprésidentes du CERT et les autres participants à la réunion s</w:t>
      </w:r>
      <w:r w:rsidR="001B2BE1" w:rsidRPr="009059E9">
        <w:rPr>
          <w:lang w:val="fr-CA"/>
        </w:rPr>
        <w:t>’</w:t>
      </w:r>
      <w:r w:rsidRPr="009059E9">
        <w:rPr>
          <w:lang w:val="fr-CA"/>
        </w:rPr>
        <w:t xml:space="preserve">entendent pour dire que les auteurs ont rempli le quatrième </w:t>
      </w:r>
      <w:r w:rsidR="009059E9">
        <w:rPr>
          <w:lang w:val="fr-CA"/>
        </w:rPr>
        <w:t>cadre de r</w:t>
      </w:r>
      <w:r w:rsidR="009059E9" w:rsidRPr="000274FA">
        <w:rPr>
          <w:lang w:val="fr-CA"/>
        </w:rPr>
        <w:t>é</w:t>
      </w:r>
      <w:r w:rsidR="009059E9">
        <w:rPr>
          <w:lang w:val="fr-CA"/>
        </w:rPr>
        <w:t>f</w:t>
      </w:r>
      <w:r w:rsidR="009059E9" w:rsidRPr="000274FA">
        <w:rPr>
          <w:lang w:val="fr-CA"/>
        </w:rPr>
        <w:t>é</w:t>
      </w:r>
      <w:r w:rsidR="009059E9">
        <w:rPr>
          <w:lang w:val="fr-CA"/>
        </w:rPr>
        <w:t>rence</w:t>
      </w:r>
      <w:r w:rsidR="00C56C44" w:rsidRPr="009059E9">
        <w:rPr>
          <w:lang w:val="fr-CA"/>
        </w:rPr>
        <w:t xml:space="preserve">. </w:t>
      </w:r>
    </w:p>
    <w:p w14:paraId="22223C9E" w14:textId="345DBBB3" w:rsidR="00570612" w:rsidRPr="00A0159E" w:rsidRDefault="000274FA" w:rsidP="001B22B9">
      <w:pPr>
        <w:ind w:left="360"/>
        <w:rPr>
          <w:u w:val="single"/>
        </w:rPr>
      </w:pPr>
      <w:r w:rsidRPr="000274FA">
        <w:rPr>
          <w:u w:val="single"/>
          <w:lang w:val="fr-CA"/>
        </w:rPr>
        <w:t>Cadre de référence</w:t>
      </w:r>
      <w:r w:rsidR="00570612">
        <w:rPr>
          <w:u w:val="single"/>
        </w:rPr>
        <w:t> 5</w:t>
      </w:r>
    </w:p>
    <w:p w14:paraId="167C3EA3" w14:textId="7244746B" w:rsidR="00570612" w:rsidRPr="00A0159E" w:rsidRDefault="00570612" w:rsidP="00196931">
      <w:pPr>
        <w:pStyle w:val="Default"/>
        <w:spacing w:before="120" w:after="120"/>
        <w:rPr>
          <w:i/>
          <w:sz w:val="22"/>
          <w:szCs w:val="22"/>
        </w:rPr>
      </w:pPr>
      <w:r>
        <w:rPr>
          <w:i/>
          <w:sz w:val="22"/>
          <w:szCs w:val="22"/>
        </w:rPr>
        <w:t>Décrire la justification de l</w:t>
      </w:r>
      <w:r w:rsidR="001B2BE1">
        <w:rPr>
          <w:i/>
          <w:sz w:val="22"/>
          <w:szCs w:val="22"/>
        </w:rPr>
        <w:t>’</w:t>
      </w:r>
      <w:r>
        <w:rPr>
          <w:i/>
          <w:sz w:val="22"/>
          <w:szCs w:val="22"/>
        </w:rPr>
        <w:t>éventail des taux d</w:t>
      </w:r>
      <w:r w:rsidR="001B2BE1">
        <w:rPr>
          <w:i/>
          <w:sz w:val="22"/>
          <w:szCs w:val="22"/>
        </w:rPr>
        <w:t>’</w:t>
      </w:r>
      <w:r>
        <w:rPr>
          <w:i/>
          <w:sz w:val="22"/>
          <w:szCs w:val="22"/>
        </w:rPr>
        <w:t>exploitation fournis par le CERT à titre d</w:t>
      </w:r>
      <w:r w:rsidR="001B2BE1">
        <w:rPr>
          <w:i/>
          <w:sz w:val="22"/>
          <w:szCs w:val="22"/>
        </w:rPr>
        <w:t>’</w:t>
      </w:r>
      <w:r>
        <w:rPr>
          <w:i/>
          <w:sz w:val="22"/>
          <w:szCs w:val="22"/>
        </w:rPr>
        <w:t xml:space="preserve">avis sur les prises par rapport aux recommandations antérieures. </w:t>
      </w:r>
    </w:p>
    <w:p w14:paraId="377BA066" w14:textId="77777777" w:rsidR="00570612" w:rsidRPr="00A0159E" w:rsidRDefault="00570612" w:rsidP="00F142E9">
      <w:pPr>
        <w:ind w:left="360"/>
        <w:rPr>
          <w:i/>
        </w:rPr>
      </w:pPr>
      <w:r>
        <w:rPr>
          <w:i/>
        </w:rPr>
        <w:t xml:space="preserve">Examinateurs </w:t>
      </w:r>
    </w:p>
    <w:p w14:paraId="1CC530D7" w14:textId="3ED1E8D4" w:rsidR="00570612" w:rsidRPr="00A0159E" w:rsidRDefault="00570612" w:rsidP="000274FA">
      <w:pPr>
        <w:pStyle w:val="BodyText"/>
        <w:rPr>
          <w:rFonts w:cs="Arial"/>
        </w:rPr>
      </w:pPr>
      <w:r>
        <w:t>Les auteurs ont fourni un historique de la décision de recommander un quota égal ou inférieur au taux d</w:t>
      </w:r>
      <w:r w:rsidR="001B2BE1">
        <w:t>’</w:t>
      </w:r>
      <w:r>
        <w:t>exploitation de 6 % (≤</w:t>
      </w:r>
      <w:r w:rsidR="00326BA1">
        <w:t> </w:t>
      </w:r>
      <w:r>
        <w:t>199</w:t>
      </w:r>
      <w:r w:rsidR="00326BA1">
        <w:t> </w:t>
      </w:r>
      <w:r>
        <w:t>t</w:t>
      </w:r>
      <w:r w:rsidR="00326BA1">
        <w:t>m</w:t>
      </w:r>
      <w:r>
        <w:t>). Ils ont proposé d</w:t>
      </w:r>
      <w:r w:rsidR="001B2BE1">
        <w:t>’</w:t>
      </w:r>
      <w:r>
        <w:t>appliquer la même logique pour l</w:t>
      </w:r>
      <w:r w:rsidR="001B2BE1">
        <w:t>’</w:t>
      </w:r>
      <w:r>
        <w:t>avis sur les prises encore cette année</w:t>
      </w:r>
      <w:r w:rsidR="00C56C44">
        <w:t xml:space="preserve">. </w:t>
      </w:r>
      <w:r>
        <w:t xml:space="preserve">Les examinateurs </w:t>
      </w:r>
      <w:r w:rsidR="00326BA1">
        <w:t>acceptent</w:t>
      </w:r>
      <w:r>
        <w:t xml:space="preserve"> cette approche</w:t>
      </w:r>
      <w:r w:rsidR="00C56C44">
        <w:t xml:space="preserve">. </w:t>
      </w:r>
      <w:r>
        <w:t>Elle représente une augmentation dans l</w:t>
      </w:r>
      <w:r w:rsidR="001B2BE1">
        <w:t>’</w:t>
      </w:r>
      <w:r>
        <w:t xml:space="preserve">avis sur les prises </w:t>
      </w:r>
      <w:r w:rsidR="00904B13">
        <w:t>par rapport à</w:t>
      </w:r>
      <w:r>
        <w:t xml:space="preserve"> 2018</w:t>
      </w:r>
      <w:r w:rsidR="00C56C44">
        <w:t xml:space="preserve">. </w:t>
      </w:r>
      <w:r>
        <w:t>On observe de légères augmentations dans les relevés du printemps et de l</w:t>
      </w:r>
      <w:r w:rsidR="001B2BE1">
        <w:t>’</w:t>
      </w:r>
      <w:r>
        <w:t>automne du NMFS, et il est important de les protéger</w:t>
      </w:r>
      <w:r w:rsidR="00C56C44">
        <w:t xml:space="preserve">. </w:t>
      </w:r>
      <w:r>
        <w:t>Ce besoin de protéger le stock doit être pris en compte dans le rapport scientifique du CERT.</w:t>
      </w:r>
    </w:p>
    <w:p w14:paraId="53EF5C08" w14:textId="77777777" w:rsidR="00746D18" w:rsidRPr="00A0159E" w:rsidRDefault="00746D18" w:rsidP="00F142E9">
      <w:pPr>
        <w:ind w:left="360"/>
        <w:rPr>
          <w:i/>
        </w:rPr>
      </w:pPr>
      <w:r>
        <w:rPr>
          <w:i/>
        </w:rPr>
        <w:t>Personnel scientifique, gestionnaires de ressources désignés et coprésidentes du CERT</w:t>
      </w:r>
    </w:p>
    <w:p w14:paraId="20AA7407" w14:textId="7B0D5DF0" w:rsidR="00670ACF" w:rsidRDefault="00746D18" w:rsidP="000274FA">
      <w:pPr>
        <w:pStyle w:val="BodyText"/>
      </w:pPr>
      <w:r>
        <w:t>On s</w:t>
      </w:r>
      <w:r w:rsidR="001B2BE1">
        <w:t>’</w:t>
      </w:r>
      <w:r>
        <w:t>entend sur l</w:t>
      </w:r>
      <w:r w:rsidR="001B2BE1">
        <w:t>’</w:t>
      </w:r>
      <w:r>
        <w:t>approche consistant à recommander un quota égal ou inférieur au taux d</w:t>
      </w:r>
      <w:r w:rsidR="001B2BE1">
        <w:t>’</w:t>
      </w:r>
      <w:r>
        <w:t>exploitation de 6 % (≤</w:t>
      </w:r>
      <w:r w:rsidR="00326BA1">
        <w:t> </w:t>
      </w:r>
      <w:r>
        <w:t>199</w:t>
      </w:r>
      <w:r w:rsidR="00326BA1">
        <w:t> tm</w:t>
      </w:r>
      <w:r>
        <w:t>).</w:t>
      </w:r>
    </w:p>
    <w:p w14:paraId="4AD9CA48" w14:textId="77777777" w:rsidR="00670ACF" w:rsidRDefault="00670ACF">
      <w:pPr>
        <w:spacing w:before="0" w:after="0"/>
        <w:rPr>
          <w:rFonts w:eastAsiaTheme="minorHAnsi" w:cstheme="minorBidi"/>
          <w:szCs w:val="22"/>
        </w:rPr>
      </w:pPr>
      <w:r>
        <w:br w:type="page"/>
      </w:r>
    </w:p>
    <w:p w14:paraId="4631F135" w14:textId="77777777" w:rsidR="00FF0ED2" w:rsidRPr="00A0159E" w:rsidRDefault="00FF0ED2" w:rsidP="00F142E9">
      <w:pPr>
        <w:ind w:left="360"/>
        <w:rPr>
          <w:i/>
        </w:rPr>
      </w:pPr>
      <w:r>
        <w:rPr>
          <w:i/>
        </w:rPr>
        <w:lastRenderedPageBreak/>
        <w:t>Autres participants à la réunion</w:t>
      </w:r>
    </w:p>
    <w:p w14:paraId="04FF4EBB" w14:textId="607DC4A5" w:rsidR="00570612" w:rsidRPr="00A0159E" w:rsidRDefault="00FF0ED2" w:rsidP="000274FA">
      <w:pPr>
        <w:pStyle w:val="BodyText"/>
        <w:rPr>
          <w:rFonts w:cs="Arial"/>
        </w:rPr>
      </w:pPr>
      <w:r>
        <w:t>On signale l</w:t>
      </w:r>
      <w:r w:rsidR="001B2BE1">
        <w:t>’</w:t>
      </w:r>
      <w:r>
        <w:t>augmentation observée dans deux des trois relevés et on demande quelles raisons justifieraient une augmentation de l</w:t>
      </w:r>
      <w:r w:rsidR="001B2BE1">
        <w:t>’</w:t>
      </w:r>
      <w:r>
        <w:t>avis sur les quotas. Les raisons comprennent l</w:t>
      </w:r>
      <w:r w:rsidR="001B2BE1">
        <w:t>’</w:t>
      </w:r>
      <w:r>
        <w:t>augmentation de la biomasse du relevé, l</w:t>
      </w:r>
      <w:r w:rsidR="001B2BE1">
        <w:t>’</w:t>
      </w:r>
      <w:r>
        <w:t>expansion de la structure par âge et l</w:t>
      </w:r>
      <w:r w:rsidR="001B2BE1">
        <w:t>’</w:t>
      </w:r>
      <w:r>
        <w:t>augmentation de la répartition spatiale du stock. Vu que les augmentations de la biomasse et de la répartition spatiale entraîneront automatiquement un avis sur les quotas plus élevé</w:t>
      </w:r>
      <w:r w:rsidR="001C5656">
        <w:t>s</w:t>
      </w:r>
      <w:r>
        <w:t xml:space="preserve"> selon la méthode utilisée dans l</w:t>
      </w:r>
      <w:r w:rsidR="001B2BE1">
        <w:t>’</w:t>
      </w:r>
      <w:r>
        <w:t>approche empirique, même au taux d</w:t>
      </w:r>
      <w:r w:rsidR="001B2BE1">
        <w:t>’</w:t>
      </w:r>
      <w:r>
        <w:t>exploitation de 6 %, c</w:t>
      </w:r>
      <w:r w:rsidR="001B2BE1">
        <w:t>’</w:t>
      </w:r>
      <w:r>
        <w:t>est vraiment la preuve de l</w:t>
      </w:r>
      <w:r w:rsidR="001B2BE1">
        <w:t>’</w:t>
      </w:r>
      <w:r>
        <w:t>expansion de la structure par âge qui justifierait un taux d</w:t>
      </w:r>
      <w:r w:rsidR="001B2BE1">
        <w:t>’</w:t>
      </w:r>
      <w:r>
        <w:t>exploitation plus élevé</w:t>
      </w:r>
      <w:r w:rsidR="00C56C44">
        <w:t xml:space="preserve">. </w:t>
      </w:r>
      <w:r>
        <w:t>Un nombre plus élevé de juvéniles, par exemple, ne suffirait pas pour justifier l</w:t>
      </w:r>
      <w:r w:rsidR="001B2BE1">
        <w:t>’</w:t>
      </w:r>
      <w:r>
        <w:t>utilisation d</w:t>
      </w:r>
      <w:r w:rsidR="001B2BE1">
        <w:t>’</w:t>
      </w:r>
      <w:r>
        <w:t>un taux d</w:t>
      </w:r>
      <w:r w:rsidR="001B2BE1">
        <w:t>’</w:t>
      </w:r>
      <w:r>
        <w:t>exploitation plus élevé s</w:t>
      </w:r>
      <w:r w:rsidR="001B2BE1">
        <w:t>’</w:t>
      </w:r>
      <w:r>
        <w:t>ils ne devaient pas survivre jusqu</w:t>
      </w:r>
      <w:r w:rsidR="001B2BE1">
        <w:t>’</w:t>
      </w:r>
      <w:r>
        <w:t>à un âge plus avancé</w:t>
      </w:r>
      <w:r w:rsidR="00C56C44">
        <w:t xml:space="preserve">. </w:t>
      </w:r>
      <w:r>
        <w:t>Un grand nombre de juvéniles pourrait en fait justifier un taux d</w:t>
      </w:r>
      <w:r w:rsidR="001B2BE1">
        <w:t>’</w:t>
      </w:r>
      <w:r>
        <w:t>exploitation plus faible afin de les protéger.</w:t>
      </w:r>
    </w:p>
    <w:p w14:paraId="517C128E" w14:textId="08492F3B" w:rsidR="00570612" w:rsidRPr="00A0159E" w:rsidRDefault="000B406D" w:rsidP="000274FA">
      <w:pPr>
        <w:pStyle w:val="BodyText"/>
        <w:rPr>
          <w:rFonts w:cs="Arial"/>
        </w:rPr>
      </w:pPr>
      <w:r>
        <w:t>Selon l</w:t>
      </w:r>
      <w:r w:rsidR="001B2BE1">
        <w:t>’</w:t>
      </w:r>
      <w:r>
        <w:t>analyse comparative de 2014, l</w:t>
      </w:r>
      <w:r w:rsidR="001B2BE1">
        <w:t>’</w:t>
      </w:r>
      <w:r>
        <w:t>éventail des taux d</w:t>
      </w:r>
      <w:r w:rsidR="001B2BE1">
        <w:t>’</w:t>
      </w:r>
      <w:r>
        <w:t>exploitation utilisés pour fournir l</w:t>
      </w:r>
      <w:r w:rsidR="001B2BE1">
        <w:t>’</w:t>
      </w:r>
      <w:r>
        <w:t>avis était de 2 à 16 %</w:t>
      </w:r>
      <w:r w:rsidR="00C56C44">
        <w:t xml:space="preserve">. </w:t>
      </w:r>
      <w:r>
        <w:t>La question a été réexaminée en 2017 après des analyses</w:t>
      </w:r>
      <w:r w:rsidR="00ED2723" w:rsidRPr="00ED2723">
        <w:t xml:space="preserve"> du potentiel de capture (q)</w:t>
      </w:r>
      <w:r w:rsidR="00ED2723">
        <w:t xml:space="preserve"> ainsi que</w:t>
      </w:r>
      <w:r>
        <w:t xml:space="preserve"> des </w:t>
      </w:r>
      <w:r w:rsidRPr="004B6821">
        <w:t xml:space="preserve">conversions </w:t>
      </w:r>
      <w:r w:rsidR="00ED2723" w:rsidRPr="008E5670">
        <w:t>touchant les écartements des ailes et des portes</w:t>
      </w:r>
      <w:r w:rsidR="00C56C44">
        <w:t xml:space="preserve">. </w:t>
      </w:r>
      <w:r>
        <w:t>Avant que la valeur q du relevé soit modifiée, le calcul du taux d</w:t>
      </w:r>
      <w:r w:rsidR="001B2BE1">
        <w:t>’</w:t>
      </w:r>
      <w:r>
        <w:t>exploitation était plus élevé parce qu</w:t>
      </w:r>
      <w:r w:rsidR="001B2BE1">
        <w:t>’</w:t>
      </w:r>
      <w:r>
        <w:t>au même quota, il y avait une biomasse plus élevée</w:t>
      </w:r>
      <w:r w:rsidR="00C56C44">
        <w:t xml:space="preserve">. </w:t>
      </w:r>
      <w:r>
        <w:t>Le changement de la valeur q utilisée a eu pour effet de modifier la perception du stock, en rajustant à la baisse les estimations de la biomasse du relevé et, par conséquent, en réduisant les taux d</w:t>
      </w:r>
      <w:r w:rsidR="001B2BE1">
        <w:t>’</w:t>
      </w:r>
      <w:r>
        <w:t>exploitation calculés utilisés pour établir l</w:t>
      </w:r>
      <w:r w:rsidR="001B2BE1">
        <w:t>’</w:t>
      </w:r>
      <w:r>
        <w:t>avis approprié sur l</w:t>
      </w:r>
      <w:r w:rsidR="001B2BE1">
        <w:t>’</w:t>
      </w:r>
      <w:r>
        <w:t>exploitation</w:t>
      </w:r>
      <w:r w:rsidR="00C56C44">
        <w:t xml:space="preserve">. </w:t>
      </w:r>
      <w:r>
        <w:t>La valeur de 6 % utilisée pour établir l</w:t>
      </w:r>
      <w:r w:rsidR="001B2BE1">
        <w:t>’</w:t>
      </w:r>
      <w:r>
        <w:t>avis est le taux d</w:t>
      </w:r>
      <w:r w:rsidR="001B2BE1">
        <w:t>’</w:t>
      </w:r>
      <w:r>
        <w:t>exploitation moyen pour la période de 2010 à 2016, alors que la biomasse moyenne du stock diminuait d</w:t>
      </w:r>
      <w:r w:rsidR="001B2BE1">
        <w:t>’</w:t>
      </w:r>
      <w:r>
        <w:t>environ 95 %, et elle ne comprend pas les années</w:t>
      </w:r>
      <w:r w:rsidR="00D80605">
        <w:t> </w:t>
      </w:r>
      <w:r>
        <w:t>2017 et 2018, pour lesquelles les quotas ont été fixés à un niveau supérieur à l</w:t>
      </w:r>
      <w:r w:rsidR="001B2BE1">
        <w:t>’</w:t>
      </w:r>
      <w:r>
        <w:t>avis du CERT</w:t>
      </w:r>
      <w:r w:rsidR="00C56C44">
        <w:t xml:space="preserve">. </w:t>
      </w:r>
      <w:r>
        <w:t>Si ces années étaient comprises, le taux d</w:t>
      </w:r>
      <w:r w:rsidR="001B2BE1">
        <w:t>’</w:t>
      </w:r>
      <w:r>
        <w:t>exploitation moyen serait de 8 %. On laisse entendre qu</w:t>
      </w:r>
      <w:r w:rsidR="001B2BE1">
        <w:t>’</w:t>
      </w:r>
      <w:r>
        <w:t>il n</w:t>
      </w:r>
      <w:r w:rsidR="001B2BE1">
        <w:t>’</w:t>
      </w:r>
      <w:r>
        <w:t>est pas logique d</w:t>
      </w:r>
      <w:r w:rsidR="001B2BE1">
        <w:t>’</w:t>
      </w:r>
      <w:r>
        <w:t>inclure dans l</w:t>
      </w:r>
      <w:r w:rsidR="001B2BE1">
        <w:t>’</w:t>
      </w:r>
      <w:r>
        <w:t>analyse les années pour lesquelles le COGST a recommandé des quotas plus prudents que ceux recommandés par le CERT, mais pas les années pour lesquelles il a recommandé des quotas supérieurs à ceux recommandés par le CERT</w:t>
      </w:r>
      <w:r w:rsidR="00C56C44">
        <w:t xml:space="preserve">. </w:t>
      </w:r>
      <w:r>
        <w:t>On mentionne toutefois que l</w:t>
      </w:r>
      <w:r w:rsidR="001B2BE1">
        <w:t>’</w:t>
      </w:r>
      <w:r>
        <w:t xml:space="preserve">avis sur les prises vise à protéger ce qui reste et que le fait </w:t>
      </w:r>
      <w:r w:rsidR="00C74FAB">
        <w:t>d</w:t>
      </w:r>
      <w:r w:rsidR="001B2BE1">
        <w:t>’</w:t>
      </w:r>
      <w:r w:rsidR="00C74FAB">
        <w:t>établir</w:t>
      </w:r>
      <w:r>
        <w:t xml:space="preserve"> un avis à un niveau inférieur s</w:t>
      </w:r>
      <w:r w:rsidR="001B2BE1">
        <w:t>’</w:t>
      </w:r>
      <w:r>
        <w:t>inscrit dans cette philosophie de protection accrue</w:t>
      </w:r>
      <w:r w:rsidR="00C56C44">
        <w:t xml:space="preserve">. </w:t>
      </w:r>
      <w:r>
        <w:t>Ces dernières années, le quota fondé sur le taux d</w:t>
      </w:r>
      <w:r w:rsidR="001B2BE1">
        <w:t>’</w:t>
      </w:r>
      <w:r>
        <w:t>exploitation de 6 % est encore supérieur aux prises réelles</w:t>
      </w:r>
      <w:r w:rsidR="00C56C44">
        <w:t xml:space="preserve">. </w:t>
      </w:r>
      <w:r>
        <w:t>L</w:t>
      </w:r>
      <w:r w:rsidR="001B2BE1">
        <w:t>’</w:t>
      </w:r>
      <w:r>
        <w:t>avis actuel est fondé sur l</w:t>
      </w:r>
      <w:r w:rsidR="001B2BE1">
        <w:t>’</w:t>
      </w:r>
      <w:r>
        <w:t>hypothèse selon laquelle la relation entre le lieu visé par le quota et les prises réalisées se maintient</w:t>
      </w:r>
      <w:r w:rsidR="00C56C44">
        <w:t xml:space="preserve">. </w:t>
      </w:r>
      <w:r>
        <w:t>Si le quota devait être entièrement pris, il faudrait revoir le taux d</w:t>
      </w:r>
      <w:r w:rsidR="001B2BE1">
        <w:t>’</w:t>
      </w:r>
      <w:r>
        <w:t>exploitation utilisé pour fournir un avis</w:t>
      </w:r>
      <w:r w:rsidR="00C56C44">
        <w:t xml:space="preserve">. </w:t>
      </w:r>
      <w:r>
        <w:t>De nombreux facteurs en dehors de la biologie, qui sont d</w:t>
      </w:r>
      <w:r w:rsidR="001B2BE1">
        <w:t>’</w:t>
      </w:r>
      <w:r>
        <w:t>origine humaine ou le fruit de la gestion, influent sur les prises</w:t>
      </w:r>
      <w:r w:rsidR="00C56C44">
        <w:t xml:space="preserve">. </w:t>
      </w:r>
      <w:r>
        <w:t>On fait remarquer qu</w:t>
      </w:r>
      <w:r w:rsidR="001B2BE1">
        <w:t>’</w:t>
      </w:r>
      <w:r>
        <w:t>un faible quota pour la limande à queue jaune a une répercussion sur les autres espèces capturées.</w:t>
      </w:r>
    </w:p>
    <w:p w14:paraId="1FE0BB63" w14:textId="13A68693" w:rsidR="00966F3E" w:rsidRPr="00A0159E" w:rsidRDefault="00637C35" w:rsidP="000274FA">
      <w:pPr>
        <w:pStyle w:val="BodyText"/>
        <w:rPr>
          <w:rFonts w:cs="Arial"/>
        </w:rPr>
      </w:pPr>
      <w:r>
        <w:t>On laisse entendre que, encore cette année, il convient d</w:t>
      </w:r>
      <w:r w:rsidR="001B2BE1">
        <w:t>’</w:t>
      </w:r>
      <w:r>
        <w:t>indiquer dans le rapport scientifique du CERT que la pêche ne semble pas être un facteur déterminant important de l</w:t>
      </w:r>
      <w:r w:rsidR="001B2BE1">
        <w:t>’</w:t>
      </w:r>
      <w:r>
        <w:t>état du stock. Les prises déclarées ne semblent pas être le facteur déterminant de la population, mais on observe des signes de l</w:t>
      </w:r>
      <w:r w:rsidR="001B2BE1">
        <w:t>’</w:t>
      </w:r>
      <w:r>
        <w:t>effet dépensatoire et c</w:t>
      </w:r>
      <w:r w:rsidR="001B2BE1">
        <w:t>’</w:t>
      </w:r>
      <w:r>
        <w:t>est pourquoi le stock ne se rétablit pas malgré l</w:t>
      </w:r>
      <w:r w:rsidR="001B2BE1">
        <w:t>’</w:t>
      </w:r>
      <w:r>
        <w:t>avis de prises peu élevées</w:t>
      </w:r>
      <w:r w:rsidR="00C56C44">
        <w:t xml:space="preserve">. </w:t>
      </w:r>
      <w:r>
        <w:t xml:space="preserve">En attendant que la population augmente, les prises doivent être maintenues à un bas niveau. </w:t>
      </w:r>
    </w:p>
    <w:p w14:paraId="0B818ABA" w14:textId="22E78187" w:rsidR="00966F3E" w:rsidRPr="009059E9" w:rsidRDefault="00966F3E" w:rsidP="000274FA">
      <w:pPr>
        <w:pStyle w:val="BodyText"/>
        <w:rPr>
          <w:rFonts w:cs="Arial"/>
          <w:lang w:val="fr-CA"/>
        </w:rPr>
      </w:pPr>
      <w:r w:rsidRPr="009059E9">
        <w:rPr>
          <w:lang w:val="fr-CA"/>
        </w:rPr>
        <w:t>Les examinateurs, le personnel scientifique, les gestionnaires de ressources, les coprésidentes du CERT et les autres participants à la réunion s</w:t>
      </w:r>
      <w:r w:rsidR="001B2BE1" w:rsidRPr="009059E9">
        <w:rPr>
          <w:lang w:val="fr-CA"/>
        </w:rPr>
        <w:t>’</w:t>
      </w:r>
      <w:r w:rsidRPr="009059E9">
        <w:rPr>
          <w:lang w:val="fr-CA"/>
        </w:rPr>
        <w:t xml:space="preserve">entendent pour dire que les auteurs ont rempli le cinquième </w:t>
      </w:r>
      <w:r w:rsidR="009059E9">
        <w:rPr>
          <w:lang w:val="fr-CA"/>
        </w:rPr>
        <w:t>cadre de r</w:t>
      </w:r>
      <w:r w:rsidR="009059E9" w:rsidRPr="000274FA">
        <w:rPr>
          <w:lang w:val="fr-CA"/>
        </w:rPr>
        <w:t>é</w:t>
      </w:r>
      <w:r w:rsidR="009059E9">
        <w:rPr>
          <w:lang w:val="fr-CA"/>
        </w:rPr>
        <w:t>f</w:t>
      </w:r>
      <w:r w:rsidR="009059E9" w:rsidRPr="000274FA">
        <w:rPr>
          <w:lang w:val="fr-CA"/>
        </w:rPr>
        <w:t>é</w:t>
      </w:r>
      <w:r w:rsidR="009059E9">
        <w:rPr>
          <w:lang w:val="fr-CA"/>
        </w:rPr>
        <w:t>rence</w:t>
      </w:r>
      <w:r w:rsidR="00C56C44" w:rsidRPr="009059E9">
        <w:rPr>
          <w:lang w:val="fr-CA"/>
        </w:rPr>
        <w:t xml:space="preserve">. </w:t>
      </w:r>
    </w:p>
    <w:p w14:paraId="03B3B92C" w14:textId="29DB9329" w:rsidR="001B22B9" w:rsidRPr="009059E9" w:rsidRDefault="00966F3E" w:rsidP="000274FA">
      <w:pPr>
        <w:pStyle w:val="BodyText"/>
        <w:rPr>
          <w:rFonts w:cs="Arial"/>
          <w:lang w:val="fr-CA"/>
        </w:rPr>
      </w:pPr>
      <w:r w:rsidRPr="009059E9">
        <w:rPr>
          <w:lang w:val="fr-CA"/>
        </w:rPr>
        <w:t xml:space="preserve">Le président déclare que le groupe convient que les auteurs ont rempli tous les </w:t>
      </w:r>
      <w:r w:rsidR="009059E9">
        <w:rPr>
          <w:lang w:val="fr-CA"/>
        </w:rPr>
        <w:t>cadres de r</w:t>
      </w:r>
      <w:r w:rsidR="009059E9" w:rsidRPr="000274FA">
        <w:rPr>
          <w:lang w:val="fr-CA"/>
        </w:rPr>
        <w:t>é</w:t>
      </w:r>
      <w:r w:rsidR="009059E9">
        <w:rPr>
          <w:lang w:val="fr-CA"/>
        </w:rPr>
        <w:t>f</w:t>
      </w:r>
      <w:r w:rsidR="009059E9" w:rsidRPr="000274FA">
        <w:rPr>
          <w:lang w:val="fr-CA"/>
        </w:rPr>
        <w:t>é</w:t>
      </w:r>
      <w:r w:rsidR="009059E9">
        <w:rPr>
          <w:lang w:val="fr-CA"/>
        </w:rPr>
        <w:t>rence</w:t>
      </w:r>
      <w:r w:rsidRPr="009059E9">
        <w:rPr>
          <w:lang w:val="fr-CA"/>
        </w:rPr>
        <w:t xml:space="preserve"> et il appuie les conclusions des auteurs. </w:t>
      </w:r>
    </w:p>
    <w:p w14:paraId="6BAC4F48" w14:textId="203163DC" w:rsidR="001B22B9" w:rsidRPr="00A0159E" w:rsidRDefault="00806BB4" w:rsidP="00E607EA">
      <w:pPr>
        <w:pStyle w:val="Heading3"/>
      </w:pPr>
      <w:bookmarkStart w:id="4" w:name="_Toc44059139"/>
      <w:r>
        <w:lastRenderedPageBreak/>
        <w:t>E</w:t>
      </w:r>
      <w:r w:rsidR="001B22B9" w:rsidRPr="00CB4D29">
        <w:t>stimations tirées des relevés par dragage du pétoncle à l</w:t>
      </w:r>
      <w:r w:rsidR="001B2BE1" w:rsidRPr="00CB4D29">
        <w:t>’</w:t>
      </w:r>
      <w:r w:rsidR="001B22B9" w:rsidRPr="00CB4D29">
        <w:t>échelle de l</w:t>
      </w:r>
      <w:r w:rsidR="001B2BE1" w:rsidRPr="00CB4D29">
        <w:t>’</w:t>
      </w:r>
      <w:r w:rsidR="001B22B9" w:rsidRPr="00CB4D29">
        <w:t>industrie effectués par le VIMS</w:t>
      </w:r>
      <w:bookmarkEnd w:id="4"/>
    </w:p>
    <w:p w14:paraId="27F136DE" w14:textId="3E41BB4E" w:rsidR="00966F3E" w:rsidRPr="000274FA" w:rsidRDefault="00966F3E" w:rsidP="007F6CE6">
      <w:pPr>
        <w:pStyle w:val="Default"/>
        <w:tabs>
          <w:tab w:val="left" w:pos="3240"/>
        </w:tabs>
        <w:ind w:left="3600" w:hanging="3600"/>
        <w:rPr>
          <w:lang w:val="fr-CA"/>
        </w:rPr>
      </w:pPr>
      <w:r w:rsidRPr="00271A5C">
        <w:rPr>
          <w:sz w:val="22"/>
          <w:szCs w:val="22"/>
          <w:lang w:val="fr-CA"/>
        </w:rPr>
        <w:t>Document de travail</w:t>
      </w:r>
      <w:r w:rsidR="00D80605" w:rsidRPr="00271A5C">
        <w:rPr>
          <w:sz w:val="22"/>
          <w:szCs w:val="22"/>
          <w:lang w:val="fr-CA"/>
        </w:rPr>
        <w:t> </w:t>
      </w:r>
      <w:r w:rsidRPr="00271A5C">
        <w:rPr>
          <w:sz w:val="22"/>
          <w:szCs w:val="22"/>
          <w:lang w:val="fr-CA"/>
        </w:rPr>
        <w:t>2019/</w:t>
      </w:r>
      <w:r w:rsidR="000274FA" w:rsidRPr="00271A5C">
        <w:rPr>
          <w:sz w:val="22"/>
          <w:szCs w:val="22"/>
          <w:lang w:val="fr-CA"/>
        </w:rPr>
        <w:t>06</w:t>
      </w:r>
      <w:r w:rsidRPr="00271A5C">
        <w:rPr>
          <w:sz w:val="22"/>
          <w:szCs w:val="22"/>
          <w:lang w:val="fr-CA"/>
        </w:rPr>
        <w:t> :</w:t>
      </w:r>
      <w:r w:rsidRPr="000274FA">
        <w:rPr>
          <w:lang w:val="fr-CA"/>
        </w:rPr>
        <w:t xml:space="preserve"> </w:t>
      </w:r>
      <w:r w:rsidRPr="000274FA">
        <w:rPr>
          <w:lang w:val="fr-CA"/>
        </w:rPr>
        <w:tab/>
      </w:r>
      <w:r w:rsidR="00111133" w:rsidRPr="000274FA">
        <w:rPr>
          <w:bCs/>
          <w:sz w:val="22"/>
          <w:szCs w:val="22"/>
          <w:lang w:val="fr-CA"/>
        </w:rPr>
        <w:t>Georges Bank Yellowtail Flounder Estimates from VIMS Industry-Based Scallop Dredge Surveys of Closed Area II and Surrounds (</w:t>
      </w:r>
      <w:r w:rsidRPr="000274FA">
        <w:rPr>
          <w:bCs/>
          <w:sz w:val="22"/>
          <w:szCs w:val="22"/>
          <w:lang w:val="fr-CA"/>
        </w:rPr>
        <w:t xml:space="preserve">Estimations pour la limande à queue jaune du </w:t>
      </w:r>
      <w:r w:rsidR="00E8153D" w:rsidRPr="000274FA">
        <w:rPr>
          <w:bCs/>
          <w:sz w:val="22"/>
          <w:szCs w:val="22"/>
          <w:lang w:val="fr-CA"/>
        </w:rPr>
        <w:t>banc Georges</w:t>
      </w:r>
      <w:r w:rsidRPr="000274FA">
        <w:rPr>
          <w:bCs/>
          <w:sz w:val="22"/>
          <w:szCs w:val="22"/>
          <w:lang w:val="fr-CA"/>
        </w:rPr>
        <w:t>, tirées des relevés par dragage du pétoncle à l</w:t>
      </w:r>
      <w:r w:rsidR="001B2BE1" w:rsidRPr="000274FA">
        <w:rPr>
          <w:bCs/>
          <w:sz w:val="22"/>
          <w:szCs w:val="22"/>
          <w:lang w:val="fr-CA"/>
        </w:rPr>
        <w:t>’</w:t>
      </w:r>
      <w:r w:rsidRPr="000274FA">
        <w:rPr>
          <w:bCs/>
          <w:sz w:val="22"/>
          <w:szCs w:val="22"/>
          <w:lang w:val="fr-CA"/>
        </w:rPr>
        <w:t>échelle de l</w:t>
      </w:r>
      <w:r w:rsidR="001B2BE1" w:rsidRPr="000274FA">
        <w:rPr>
          <w:bCs/>
          <w:sz w:val="22"/>
          <w:szCs w:val="22"/>
          <w:lang w:val="fr-CA"/>
        </w:rPr>
        <w:t>’</w:t>
      </w:r>
      <w:r w:rsidRPr="000274FA">
        <w:rPr>
          <w:bCs/>
          <w:sz w:val="22"/>
          <w:szCs w:val="22"/>
          <w:lang w:val="fr-CA"/>
        </w:rPr>
        <w:t>industrie effectués par le VIMS dans la zone fermée</w:t>
      </w:r>
      <w:r w:rsidR="00B44EEC" w:rsidRPr="000274FA">
        <w:rPr>
          <w:bCs/>
          <w:sz w:val="22"/>
          <w:szCs w:val="22"/>
          <w:lang w:val="fr-CA"/>
        </w:rPr>
        <w:t> </w:t>
      </w:r>
      <w:r w:rsidRPr="000274FA">
        <w:rPr>
          <w:bCs/>
          <w:sz w:val="22"/>
          <w:szCs w:val="22"/>
          <w:lang w:val="fr-CA"/>
        </w:rPr>
        <w:t>II et les abords</w:t>
      </w:r>
      <w:r w:rsidR="00111133" w:rsidRPr="000274FA">
        <w:rPr>
          <w:bCs/>
          <w:sz w:val="22"/>
          <w:szCs w:val="22"/>
          <w:lang w:val="fr-CA"/>
        </w:rPr>
        <w:t>)</w:t>
      </w:r>
      <w:r w:rsidRPr="000274FA">
        <w:rPr>
          <w:bCs/>
          <w:sz w:val="22"/>
          <w:szCs w:val="22"/>
          <w:lang w:val="fr-CA"/>
        </w:rPr>
        <w:t xml:space="preserve"> </w:t>
      </w:r>
    </w:p>
    <w:p w14:paraId="6BD2A0D6" w14:textId="059C16FD" w:rsidR="00966F3E" w:rsidRPr="00A0159E" w:rsidRDefault="003B74EE" w:rsidP="001B2BE1">
      <w:pPr>
        <w:tabs>
          <w:tab w:val="left" w:pos="3600"/>
        </w:tabs>
        <w:spacing w:before="0" w:after="0"/>
      </w:pPr>
      <w:r>
        <w:t xml:space="preserve">Responsables scientifiques </w:t>
      </w:r>
      <w:r w:rsidR="001B2BE1">
        <w:br/>
      </w:r>
      <w:r>
        <w:t>(document de travail) :</w:t>
      </w:r>
      <w:r>
        <w:tab/>
        <w:t>S.A.</w:t>
      </w:r>
      <w:r w:rsidR="00E607EA">
        <w:t> </w:t>
      </w:r>
      <w:r>
        <w:t>Roman et D.B.</w:t>
      </w:r>
      <w:r w:rsidR="00E607EA">
        <w:t> </w:t>
      </w:r>
      <w:r>
        <w:t xml:space="preserve">Rudders </w:t>
      </w:r>
    </w:p>
    <w:p w14:paraId="0A7128CF" w14:textId="502A9DEF" w:rsidR="00966F3E" w:rsidRPr="00A0159E" w:rsidRDefault="00966F3E" w:rsidP="003B74EE">
      <w:pPr>
        <w:tabs>
          <w:tab w:val="left" w:pos="3240"/>
        </w:tabs>
        <w:spacing w:before="0" w:after="0"/>
      </w:pPr>
      <w:r>
        <w:t>Présentateur</w:t>
      </w:r>
      <w:r w:rsidR="001C5656">
        <w:t> </w:t>
      </w:r>
      <w:r>
        <w:t xml:space="preserve">: </w:t>
      </w:r>
      <w:r>
        <w:tab/>
      </w:r>
      <w:r w:rsidR="007F6CE6">
        <w:tab/>
      </w:r>
      <w:r>
        <w:t>S.A.</w:t>
      </w:r>
      <w:r w:rsidR="00E607EA">
        <w:t> </w:t>
      </w:r>
      <w:r>
        <w:t>Roman</w:t>
      </w:r>
    </w:p>
    <w:p w14:paraId="32373271" w14:textId="3F37B4E3" w:rsidR="00966F3E" w:rsidRPr="00A0159E" w:rsidRDefault="00966F3E" w:rsidP="003B74EE">
      <w:pPr>
        <w:tabs>
          <w:tab w:val="left" w:pos="3240"/>
        </w:tabs>
        <w:spacing w:before="0" w:after="0"/>
      </w:pPr>
      <w:r>
        <w:t xml:space="preserve">Rapporteurs : </w:t>
      </w:r>
      <w:r>
        <w:tab/>
      </w:r>
      <w:r w:rsidR="007F6CE6">
        <w:tab/>
      </w:r>
      <w:r>
        <w:t>Q.</w:t>
      </w:r>
      <w:r w:rsidR="00E607EA">
        <w:t> </w:t>
      </w:r>
      <w:r>
        <w:t>McCurdy et K.</w:t>
      </w:r>
      <w:r w:rsidR="00E607EA">
        <w:t> </w:t>
      </w:r>
      <w:r>
        <w:t>Clark</w:t>
      </w:r>
    </w:p>
    <w:p w14:paraId="57C6767B" w14:textId="77777777" w:rsidR="00966F3E" w:rsidRPr="00A0159E" w:rsidRDefault="00966F3E" w:rsidP="000274FA">
      <w:pPr>
        <w:pStyle w:val="Heading4"/>
      </w:pPr>
      <w:r>
        <w:t>Points saillants de la présentation</w:t>
      </w:r>
    </w:p>
    <w:p w14:paraId="73BC2073" w14:textId="45F7C73D" w:rsidR="00966F3E" w:rsidRPr="00A0159E" w:rsidRDefault="00594B91" w:rsidP="000274FA">
      <w:pPr>
        <w:pStyle w:val="BodyText"/>
        <w:rPr>
          <w:rFonts w:cs="Arial"/>
        </w:rPr>
      </w:pPr>
      <w:r>
        <w:t>Le Virginia Institute of Marine Science (VIMS) a effectué des relevés spatiaux à la drague à petite échelle dans la zone fermée</w:t>
      </w:r>
      <w:r w:rsidR="00D80605">
        <w:t> </w:t>
      </w:r>
      <w:r>
        <w:t>II (ZFII) en 2005, 2007, 2008, 2011, 2012, 2013, 2016, 2017, 2018 et 2019 afin d</w:t>
      </w:r>
      <w:r w:rsidR="001B2BE1">
        <w:t>’</w:t>
      </w:r>
      <w:r>
        <w:t>examiner l</w:t>
      </w:r>
      <w:r w:rsidR="001B2BE1">
        <w:t>’</w:t>
      </w:r>
      <w:r>
        <w:t>abondance et la répartition des pétoncles. L</w:t>
      </w:r>
      <w:r w:rsidR="001B2BE1">
        <w:t>’</w:t>
      </w:r>
      <w:r>
        <w:t>étendue spatiale des relevés a varié d</w:t>
      </w:r>
      <w:r w:rsidR="001B2BE1">
        <w:t>’</w:t>
      </w:r>
      <w:r>
        <w:t>une année à l</w:t>
      </w:r>
      <w:r w:rsidR="001B2BE1">
        <w:t>’</w:t>
      </w:r>
      <w:r>
        <w:t>autre. De 2005 à 2011, des relevés ont été effectués dans la zone traditionnelle d</w:t>
      </w:r>
      <w:r w:rsidR="001B2BE1">
        <w:t>’</w:t>
      </w:r>
      <w:r>
        <w:t xml:space="preserve">accès au pétoncle de la ZFII. En 2012, des relevés ont été effectués dans une partie de la </w:t>
      </w:r>
      <w:r w:rsidR="00111133">
        <w:t>ZF</w:t>
      </w:r>
      <w:r>
        <w:t xml:space="preserve">II de pêche au poisson de fond et </w:t>
      </w:r>
      <w:r w:rsidR="00111133">
        <w:t xml:space="preserve">aux </w:t>
      </w:r>
      <w:r w:rsidR="00A47DDA">
        <w:t>alentours</w:t>
      </w:r>
      <w:r w:rsidR="00111133">
        <w:t xml:space="preserve">, à </w:t>
      </w:r>
      <w:r>
        <w:t xml:space="preserve">la bordure nord du </w:t>
      </w:r>
      <w:r w:rsidR="00E8153D">
        <w:t>banc Georges</w:t>
      </w:r>
      <w:r>
        <w:t>. En 2013, des relevés ont de nouveau été effectués dans une zone de l</w:t>
      </w:r>
      <w:r w:rsidR="001B2BE1">
        <w:t>’</w:t>
      </w:r>
      <w:r>
        <w:t xml:space="preserve">habitat essentiel du poisson et </w:t>
      </w:r>
      <w:r w:rsidR="00A47DDA">
        <w:t>aux alentours</w:t>
      </w:r>
      <w:r>
        <w:t xml:space="preserve">, </w:t>
      </w:r>
      <w:r w:rsidR="00111133">
        <w:t xml:space="preserve">à </w:t>
      </w:r>
      <w:r>
        <w:t xml:space="preserve">la bordure nord du </w:t>
      </w:r>
      <w:r w:rsidR="00E8153D">
        <w:t>banc Georges</w:t>
      </w:r>
      <w:r>
        <w:t>. Pour la période allant de 2016 à 2019, des relevés ont eu lieu dans la zone traditionnelle d</w:t>
      </w:r>
      <w:r w:rsidR="001B2BE1">
        <w:t>’</w:t>
      </w:r>
      <w:r>
        <w:t xml:space="preserve">accès aux pétoncles de la ZFII et </w:t>
      </w:r>
      <w:r w:rsidR="00A47DDA">
        <w:t xml:space="preserve">aux alentours, à </w:t>
      </w:r>
      <w:r>
        <w:t xml:space="preserve">la bordure sud du </w:t>
      </w:r>
      <w:r w:rsidR="00E8153D">
        <w:t>banc Georges</w:t>
      </w:r>
      <w:r>
        <w:t xml:space="preserve">. En 2018 et 2019, le secteur de relevé a été élargi pour couvrir une zone supplémentaire le long de la bordure sud du </w:t>
      </w:r>
      <w:r w:rsidR="00E8153D">
        <w:t>banc Georges</w:t>
      </w:r>
      <w:r>
        <w:t>. Les prises de pétoncles et de poissons ont été dénombrées et des mesures de la longueur ont été prises. Les prises du relevé ont été examinées afin de déterminer si des tendances se manifestaient dans l</w:t>
      </w:r>
      <w:r w:rsidR="001B2BE1">
        <w:t>’</w:t>
      </w:r>
      <w:r>
        <w:t>abondance de la limande à queue jaune dans la zone visée par le relevé. Les résultats ont révélé une baisse de l</w:t>
      </w:r>
      <w:r w:rsidR="001B2BE1">
        <w:t>’</w:t>
      </w:r>
      <w:r>
        <w:t>abondance de la limande à queue jaune au cours de la période, ainsi qu</w:t>
      </w:r>
      <w:r w:rsidR="001B2BE1">
        <w:t>’</w:t>
      </w:r>
      <w:r>
        <w:t>une troncation dans la répartition observée selon la taille.</w:t>
      </w:r>
    </w:p>
    <w:p w14:paraId="1335DED4" w14:textId="77777777" w:rsidR="00A640DE" w:rsidRPr="00A0159E" w:rsidRDefault="00A640DE" w:rsidP="000274FA">
      <w:pPr>
        <w:pStyle w:val="Heading4"/>
      </w:pPr>
      <w:r>
        <w:t>Discussion</w:t>
      </w:r>
    </w:p>
    <w:p w14:paraId="14B23905" w14:textId="4DA3379E" w:rsidR="00A640DE" w:rsidRPr="00A0159E" w:rsidRDefault="00A640DE" w:rsidP="000274FA">
      <w:pPr>
        <w:pStyle w:val="BodyText"/>
        <w:rPr>
          <w:rFonts w:cs="Arial"/>
        </w:rPr>
      </w:pPr>
      <w:r>
        <w:t>Le présentateur mentionne que les domaines de relevé ont changé</w:t>
      </w:r>
      <w:r w:rsidR="006F6DBA">
        <w:t xml:space="preserve"> au fil du temps</w:t>
      </w:r>
      <w:r>
        <w:t>, de même que la conception et le nombre de stations. Au départ, le relevé était fondé sur un plan quadrillé systématique, mais celui-ci a été modifié en 2016 en un plan aléatoire stratifié</w:t>
      </w:r>
      <w:r w:rsidR="00C56C44">
        <w:t xml:space="preserve">. </w:t>
      </w:r>
      <w:r>
        <w:t>Malgré ces difficultés, on fait remarquer que ce relevé montre des tendances à la baisse de la biomasse et une contraction de la répartition selon la longueur, à l</w:t>
      </w:r>
      <w:r w:rsidR="001B2BE1">
        <w:t>’</w:t>
      </w:r>
      <w:r>
        <w:t>instar des relevés du MPO et du NMFS</w:t>
      </w:r>
      <w:r w:rsidR="00C56C44">
        <w:t xml:space="preserve">. </w:t>
      </w:r>
      <w:r>
        <w:t>Il permet donc de corroborer le déclin à plus petite échelle pour des zones distinctes</w:t>
      </w:r>
      <w:r w:rsidR="00C56C44">
        <w:t xml:space="preserve">. </w:t>
      </w:r>
      <w:r>
        <w:t>On mentionne qu</w:t>
      </w:r>
      <w:r w:rsidR="001B2BE1">
        <w:t>’</w:t>
      </w:r>
      <w:r>
        <w:t>en 2019, on a constaté un plus grand nombre de petits poissons, mais que l</w:t>
      </w:r>
      <w:r w:rsidR="001B2BE1">
        <w:t>’</w:t>
      </w:r>
      <w:r>
        <w:t>ampleur était bien inférieure au constat fait dans le passé pour ces tailles.</w:t>
      </w:r>
    </w:p>
    <w:p w14:paraId="14422BAB" w14:textId="77777777" w:rsidR="00A640DE" w:rsidRPr="00A0159E" w:rsidRDefault="00A640DE" w:rsidP="001B22B9">
      <w:pPr>
        <w:ind w:left="360"/>
        <w:rPr>
          <w:i/>
        </w:rPr>
      </w:pPr>
      <w:r>
        <w:rPr>
          <w:i/>
        </w:rPr>
        <w:t>Examinateurs</w:t>
      </w:r>
    </w:p>
    <w:p w14:paraId="4991F119" w14:textId="193CF990" w:rsidR="00A640DE" w:rsidRPr="00A0159E" w:rsidRDefault="00A640DE" w:rsidP="000274FA">
      <w:pPr>
        <w:pStyle w:val="BodyText"/>
        <w:rPr>
          <w:rFonts w:cs="Arial"/>
        </w:rPr>
      </w:pPr>
      <w:r>
        <w:t>On indique que ce relevé serait plus utile s</w:t>
      </w:r>
      <w:r w:rsidR="001B2BE1">
        <w:t>’</w:t>
      </w:r>
      <w:r>
        <w:t>il était plus uniforme, mais on admet que comme il est financé par un processus concurrentiel d</w:t>
      </w:r>
      <w:r w:rsidR="007A07F0">
        <w:t>’octroi de</w:t>
      </w:r>
      <w:r>
        <w:t xml:space="preserve"> subventions, il dépend des priorités </w:t>
      </w:r>
      <w:r w:rsidR="007A07F0">
        <w:t>du programme</w:t>
      </w:r>
      <w:r>
        <w:t>. La demande de financement pour l</w:t>
      </w:r>
      <w:r w:rsidR="001B2BE1">
        <w:t>’</w:t>
      </w:r>
      <w:r>
        <w:t>année prochaine sera soumise en octobre et les résultats seront annoncés en février ou mars.</w:t>
      </w:r>
    </w:p>
    <w:p w14:paraId="7EDB2BD6" w14:textId="15A77440" w:rsidR="007112D9" w:rsidRPr="00A0159E" w:rsidRDefault="007112D9" w:rsidP="000274FA">
      <w:pPr>
        <w:pStyle w:val="BodyText"/>
        <w:rPr>
          <w:rFonts w:cs="Arial"/>
        </w:rPr>
      </w:pPr>
      <w:r>
        <w:t>Ce relevé présente une forte densité de stations et il a montré les mêmes tendances que les relevés au chalut des navires de recherche</w:t>
      </w:r>
      <w:r w:rsidR="00C56C44">
        <w:t xml:space="preserve">. </w:t>
      </w:r>
      <w:r>
        <w:t>Si l</w:t>
      </w:r>
      <w:r w:rsidR="001B2BE1">
        <w:t>’</w:t>
      </w:r>
      <w:r>
        <w:t>on souhaitait examiner la limande à queue jaune à plus petite</w:t>
      </w:r>
      <w:r w:rsidR="007A07F0">
        <w:t xml:space="preserve"> échelle</w:t>
      </w:r>
      <w:r>
        <w:t>, l</w:t>
      </w:r>
      <w:r w:rsidR="001B2BE1">
        <w:t>’</w:t>
      </w:r>
      <w:r>
        <w:t>accent serait mis sur l</w:t>
      </w:r>
      <w:r w:rsidR="001B2BE1">
        <w:t>’</w:t>
      </w:r>
      <w:r>
        <w:t xml:space="preserve">habitat essentiel, comme la </w:t>
      </w:r>
      <w:r w:rsidR="007A07F0">
        <w:t>ZF</w:t>
      </w:r>
      <w:r>
        <w:t>II, et sur des densités d</w:t>
      </w:r>
      <w:r w:rsidR="001B2BE1">
        <w:t>’</w:t>
      </w:r>
      <w:r>
        <w:t>échantillonnage plus élevées</w:t>
      </w:r>
      <w:r w:rsidR="00C56C44">
        <w:t xml:space="preserve">. </w:t>
      </w:r>
      <w:r>
        <w:t>On ajoute qu</w:t>
      </w:r>
      <w:r w:rsidR="001B2BE1">
        <w:t>’</w:t>
      </w:r>
      <w:r>
        <w:t xml:space="preserve">en 2013, un relevé au chalut </w:t>
      </w:r>
      <w:r w:rsidR="007A07F0">
        <w:t xml:space="preserve">spécialisé </w:t>
      </w:r>
      <w:r>
        <w:t xml:space="preserve">a </w:t>
      </w:r>
      <w:r>
        <w:lastRenderedPageBreak/>
        <w:t>été effectué selon des densités d</w:t>
      </w:r>
      <w:r w:rsidR="001B2BE1">
        <w:t>’</w:t>
      </w:r>
      <w:r>
        <w:t>échantillonnage plus élevées, et a également donné des résultats similaires à ceux des relevés du printemps et de l</w:t>
      </w:r>
      <w:r w:rsidR="001B2BE1">
        <w:t>’</w:t>
      </w:r>
      <w:r>
        <w:t>automne du MPO et du NMFS.</w:t>
      </w:r>
    </w:p>
    <w:p w14:paraId="392DB631" w14:textId="77777777" w:rsidR="007112D9" w:rsidRPr="00A0159E" w:rsidRDefault="007112D9" w:rsidP="001B22B9">
      <w:pPr>
        <w:ind w:left="360"/>
        <w:rPr>
          <w:i/>
        </w:rPr>
      </w:pPr>
      <w:r>
        <w:rPr>
          <w:i/>
        </w:rPr>
        <w:t>Personnel scientifique, gestionnaires de ressources désignés et coprésidentes du CERT</w:t>
      </w:r>
    </w:p>
    <w:p w14:paraId="29B33C9C" w14:textId="045E926A" w:rsidR="007112D9" w:rsidRPr="000274FA" w:rsidRDefault="007112D9" w:rsidP="000274FA">
      <w:pPr>
        <w:pStyle w:val="BodyText"/>
        <w:rPr>
          <w:rFonts w:cs="Arial"/>
          <w:color w:val="000000" w:themeColor="text1"/>
        </w:rPr>
      </w:pPr>
      <w:r w:rsidRPr="000274FA">
        <w:rPr>
          <w:color w:val="000000" w:themeColor="text1"/>
        </w:rPr>
        <w:t xml:space="preserve">Une discussion a lieu sur le choix des </w:t>
      </w:r>
      <w:r w:rsidR="007A07F0" w:rsidRPr="000274FA">
        <w:rPr>
          <w:color w:val="000000" w:themeColor="text1"/>
        </w:rPr>
        <w:t xml:space="preserve">potentiels de capture </w:t>
      </w:r>
      <w:r w:rsidRPr="000274FA">
        <w:rPr>
          <w:color w:val="000000" w:themeColor="text1"/>
        </w:rPr>
        <w:t>du relevé utilisés dans le document de travail</w:t>
      </w:r>
      <w:r w:rsidR="00C56C44" w:rsidRPr="000274FA">
        <w:rPr>
          <w:color w:val="000000" w:themeColor="text1"/>
        </w:rPr>
        <w:t xml:space="preserve">. </w:t>
      </w:r>
      <w:r w:rsidRPr="000274FA">
        <w:rPr>
          <w:color w:val="000000" w:themeColor="text1"/>
        </w:rPr>
        <w:t>Bien qu</w:t>
      </w:r>
      <w:r w:rsidR="001B2BE1" w:rsidRPr="000274FA">
        <w:rPr>
          <w:color w:val="000000" w:themeColor="text1"/>
        </w:rPr>
        <w:t>’</w:t>
      </w:r>
      <w:r w:rsidRPr="000274FA">
        <w:rPr>
          <w:color w:val="000000" w:themeColor="text1"/>
        </w:rPr>
        <w:t>un éventail fondé sur la documentation ait été utilisé, le présentateur indique que l</w:t>
      </w:r>
      <w:r w:rsidR="001B2BE1" w:rsidRPr="000274FA">
        <w:rPr>
          <w:color w:val="000000" w:themeColor="text1"/>
        </w:rPr>
        <w:t>’</w:t>
      </w:r>
      <w:r w:rsidRPr="000274FA">
        <w:rPr>
          <w:color w:val="000000" w:themeColor="text1"/>
        </w:rPr>
        <w:t>utilisation d</w:t>
      </w:r>
      <w:r w:rsidR="001B2BE1" w:rsidRPr="000274FA">
        <w:rPr>
          <w:color w:val="000000" w:themeColor="text1"/>
        </w:rPr>
        <w:t>’</w:t>
      </w:r>
      <w:r w:rsidRPr="000274FA">
        <w:rPr>
          <w:color w:val="000000" w:themeColor="text1"/>
        </w:rPr>
        <w:t>une valeur de 0,83 pour la drague du relevé et de 0,25 pour la drague commerciale donnerait probablement les meilleures estimations de la biomasse. Les estimations de la biomasse qui en résultent sont bien inférieures à la biomasse moyenne du relevé estimée selon l</w:t>
      </w:r>
      <w:r w:rsidR="001B2BE1" w:rsidRPr="000274FA">
        <w:rPr>
          <w:color w:val="000000" w:themeColor="text1"/>
        </w:rPr>
        <w:t>’</w:t>
      </w:r>
      <w:r w:rsidRPr="000274FA">
        <w:rPr>
          <w:color w:val="000000" w:themeColor="text1"/>
        </w:rPr>
        <w:t>approche empirique</w:t>
      </w:r>
      <w:r w:rsidR="00E607EA" w:rsidRPr="000274FA">
        <w:rPr>
          <w:color w:val="000000" w:themeColor="text1"/>
        </w:rPr>
        <w:t xml:space="preserve"> (environ un dixième de celle-ci)</w:t>
      </w:r>
      <w:r w:rsidRPr="000274FA">
        <w:rPr>
          <w:color w:val="000000" w:themeColor="text1"/>
        </w:rPr>
        <w:t>.</w:t>
      </w:r>
    </w:p>
    <w:p w14:paraId="5C28F919" w14:textId="77777777" w:rsidR="007112D9" w:rsidRPr="00A0159E" w:rsidRDefault="007112D9" w:rsidP="001B22B9">
      <w:pPr>
        <w:ind w:left="360"/>
        <w:rPr>
          <w:i/>
        </w:rPr>
      </w:pPr>
      <w:r>
        <w:rPr>
          <w:i/>
        </w:rPr>
        <w:t>Autres participants à la réunion</w:t>
      </w:r>
    </w:p>
    <w:p w14:paraId="2AE9186A" w14:textId="25641C16" w:rsidR="007112D9" w:rsidRPr="00A0159E" w:rsidRDefault="007112D9" w:rsidP="000274FA">
      <w:pPr>
        <w:pStyle w:val="BodyText"/>
        <w:rPr>
          <w:rFonts w:cs="Arial"/>
        </w:rPr>
      </w:pPr>
      <w:r>
        <w:t>Dans un exposé qu</w:t>
      </w:r>
      <w:r w:rsidR="001B2BE1">
        <w:t>’</w:t>
      </w:r>
      <w:r>
        <w:t xml:space="preserve">elle a présenté à la réunion de 2018 du CERT, la Coonamessett Farm Foundation parlait du parasite </w:t>
      </w:r>
      <w:r>
        <w:rPr>
          <w:i/>
        </w:rPr>
        <w:t>Icthyophonus</w:t>
      </w:r>
      <w:r>
        <w:t xml:space="preserve"> sp. comme étant une éventuelle source de mortalité accrue</w:t>
      </w:r>
      <w:r w:rsidR="00C56C44">
        <w:t xml:space="preserve">. </w:t>
      </w:r>
      <w:r>
        <w:t>Actuellement, le VIMS ne recueille pas de renseignements sur ce parasite dans le cadre de son relevé, mais un échantillonnage pourrait être prévu si ce renseignement était considéré comme utile</w:t>
      </w:r>
      <w:r w:rsidR="00C56C44">
        <w:t xml:space="preserve">. </w:t>
      </w:r>
      <w:r>
        <w:t xml:space="preserve">Le personnel scientifique fait remarquer que ce parasite est maintenant observé dans la région de Cape Cod et du golfe du Maine, mais pas sur le </w:t>
      </w:r>
      <w:r w:rsidR="00E8153D">
        <w:t>banc Georges</w:t>
      </w:r>
      <w:r>
        <w:t>, d</w:t>
      </w:r>
      <w:r w:rsidR="001B2BE1">
        <w:t>’</w:t>
      </w:r>
      <w:r>
        <w:t>après un échantillonnage aux fins de recherche coopérative.</w:t>
      </w:r>
    </w:p>
    <w:p w14:paraId="4B5A564D" w14:textId="6C9F2584" w:rsidR="00DA4BD1" w:rsidRPr="00A0159E" w:rsidRDefault="00DA4BD1" w:rsidP="000274FA">
      <w:pPr>
        <w:pStyle w:val="BodyText"/>
        <w:rPr>
          <w:rFonts w:cs="Arial"/>
        </w:rPr>
      </w:pPr>
      <w:r>
        <w:t>Le président demande si l</w:t>
      </w:r>
      <w:r w:rsidR="001B2BE1">
        <w:t>’</w:t>
      </w:r>
      <w:r>
        <w:t>information présentée dans ce document de travail en a amené certains à changer d</w:t>
      </w:r>
      <w:r w:rsidR="001B2BE1">
        <w:t>’</w:t>
      </w:r>
      <w:r>
        <w:t>opinion sur l</w:t>
      </w:r>
      <w:r w:rsidR="001B2BE1">
        <w:t>’</w:t>
      </w:r>
      <w:r>
        <w:t>avis relatif aux prises</w:t>
      </w:r>
      <w:r w:rsidR="00C56C44">
        <w:t xml:space="preserve">. </w:t>
      </w:r>
      <w:r>
        <w:t>Ce n</w:t>
      </w:r>
      <w:r w:rsidR="001B2BE1">
        <w:t>’</w:t>
      </w:r>
      <w:r>
        <w:t xml:space="preserve">est pas le cas, mais on indique que des travaux de ce genre contribuent à notre compréhension de la dynamique de la limande à queue jaune à petite </w:t>
      </w:r>
      <w:r w:rsidRPr="005233AA">
        <w:t>échelle.</w:t>
      </w:r>
    </w:p>
    <w:p w14:paraId="63AD9FDD" w14:textId="0C9643AC" w:rsidR="00F30042" w:rsidRPr="00A0159E" w:rsidRDefault="00F30042" w:rsidP="00291412">
      <w:pPr>
        <w:pStyle w:val="Heading2"/>
      </w:pPr>
      <w:bookmarkStart w:id="5" w:name="_Toc44059140"/>
      <w:r>
        <w:t>Aiglefin de l</w:t>
      </w:r>
      <w:r w:rsidR="001B2BE1">
        <w:t>’</w:t>
      </w:r>
      <w:r>
        <w:t xml:space="preserve">est du </w:t>
      </w:r>
      <w:r w:rsidR="00E8153D">
        <w:t>banc Georges</w:t>
      </w:r>
      <w:bookmarkEnd w:id="5"/>
    </w:p>
    <w:p w14:paraId="16DABD9A" w14:textId="04A56522" w:rsidR="007112D9" w:rsidRPr="0059388B" w:rsidRDefault="00806BB4" w:rsidP="00E607EA">
      <w:pPr>
        <w:pStyle w:val="Heading3"/>
        <w:rPr>
          <w:lang w:val="fr-FR"/>
        </w:rPr>
      </w:pPr>
      <w:bookmarkStart w:id="6" w:name="_Toc44059141"/>
      <w:r w:rsidRPr="0059388B">
        <w:rPr>
          <w:lang w:val="fr-FR"/>
        </w:rPr>
        <w:t>É</w:t>
      </w:r>
      <w:r w:rsidR="00F30042" w:rsidRPr="0059388B">
        <w:rPr>
          <w:lang w:val="fr-FR"/>
        </w:rPr>
        <w:t>valuation de l</w:t>
      </w:r>
      <w:r w:rsidR="001B2BE1" w:rsidRPr="0059388B">
        <w:rPr>
          <w:lang w:val="fr-FR"/>
        </w:rPr>
        <w:t>’</w:t>
      </w:r>
      <w:r w:rsidR="00F30042" w:rsidRPr="0059388B">
        <w:rPr>
          <w:lang w:val="fr-FR"/>
        </w:rPr>
        <w:t>aiglefin de l</w:t>
      </w:r>
      <w:r w:rsidR="001B2BE1" w:rsidRPr="0059388B">
        <w:rPr>
          <w:lang w:val="fr-FR"/>
        </w:rPr>
        <w:t>’</w:t>
      </w:r>
      <w:r w:rsidR="00F30042" w:rsidRPr="0059388B">
        <w:rPr>
          <w:lang w:val="fr-FR"/>
        </w:rPr>
        <w:t xml:space="preserve">est du </w:t>
      </w:r>
      <w:r w:rsidR="00E8153D" w:rsidRPr="0059388B">
        <w:rPr>
          <w:lang w:val="fr-FR"/>
        </w:rPr>
        <w:t>banc Georges</w:t>
      </w:r>
      <w:r w:rsidR="00F30042" w:rsidRPr="0059388B">
        <w:rPr>
          <w:lang w:val="fr-FR"/>
        </w:rPr>
        <w:t xml:space="preserve"> pour 2019</w:t>
      </w:r>
      <w:bookmarkEnd w:id="6"/>
    </w:p>
    <w:p w14:paraId="60A86807" w14:textId="177350D0" w:rsidR="00075780" w:rsidRPr="0059388B" w:rsidRDefault="00DA4BD1" w:rsidP="00E607EA">
      <w:pPr>
        <w:tabs>
          <w:tab w:val="left" w:pos="3240"/>
        </w:tabs>
        <w:spacing w:before="0" w:after="0"/>
        <w:ind w:left="3261" w:hanging="3261"/>
        <w:rPr>
          <w:color w:val="000000" w:themeColor="text1"/>
          <w:szCs w:val="22"/>
          <w:lang w:val="fr-FR"/>
        </w:rPr>
      </w:pPr>
      <w:r w:rsidRPr="0059388B">
        <w:rPr>
          <w:color w:val="000000" w:themeColor="text1"/>
          <w:lang w:val="fr-FR"/>
        </w:rPr>
        <w:t>Document de travail</w:t>
      </w:r>
      <w:r w:rsidR="00D80605" w:rsidRPr="0059388B">
        <w:rPr>
          <w:color w:val="000000" w:themeColor="text1"/>
          <w:lang w:val="fr-FR"/>
        </w:rPr>
        <w:t> </w:t>
      </w:r>
      <w:r w:rsidRPr="00C27065">
        <w:rPr>
          <w:color w:val="000000" w:themeColor="text1"/>
          <w:lang w:val="fr-FR"/>
        </w:rPr>
        <w:t>2019/</w:t>
      </w:r>
      <w:r w:rsidR="00C27065" w:rsidRPr="00C27065">
        <w:rPr>
          <w:color w:val="000000" w:themeColor="text1"/>
          <w:lang w:val="fr-FR"/>
        </w:rPr>
        <w:t>01</w:t>
      </w:r>
      <w:r w:rsidRPr="0059388B">
        <w:rPr>
          <w:color w:val="000000" w:themeColor="text1"/>
          <w:lang w:val="fr-FR"/>
        </w:rPr>
        <w:t xml:space="preserve"> : </w:t>
      </w:r>
      <w:r w:rsidRPr="0059388B">
        <w:rPr>
          <w:color w:val="000000" w:themeColor="text1"/>
          <w:lang w:val="fr-FR"/>
        </w:rPr>
        <w:tab/>
        <w:t>Assessment of Haddock on Eastern Georges Bank for 2019</w:t>
      </w:r>
      <w:r w:rsidR="00E607EA" w:rsidRPr="0059388B">
        <w:rPr>
          <w:color w:val="000000" w:themeColor="text1"/>
          <w:lang w:val="fr-FR"/>
        </w:rPr>
        <w:t xml:space="preserve"> (Évaluation de l’aiglefin de l’est du banc Georges pour 2019)</w:t>
      </w:r>
    </w:p>
    <w:p w14:paraId="37ABBF64" w14:textId="4E8F0946" w:rsidR="00075780" w:rsidRPr="00A0159E" w:rsidRDefault="00075780" w:rsidP="001B2BE1">
      <w:pPr>
        <w:pStyle w:val="Default"/>
        <w:tabs>
          <w:tab w:val="left" w:pos="3240"/>
        </w:tabs>
        <w:rPr>
          <w:color w:val="000000" w:themeColor="text1"/>
          <w:sz w:val="22"/>
          <w:szCs w:val="22"/>
        </w:rPr>
      </w:pPr>
      <w:r w:rsidRPr="007E6C94">
        <w:rPr>
          <w:color w:val="000000" w:themeColor="text1"/>
          <w:sz w:val="22"/>
          <w:szCs w:val="22"/>
        </w:rPr>
        <w:t>Responsables scientifiques</w:t>
      </w:r>
      <w:r>
        <w:rPr>
          <w:color w:val="000000" w:themeColor="text1"/>
          <w:sz w:val="22"/>
          <w:szCs w:val="22"/>
        </w:rPr>
        <w:t xml:space="preserve"> </w:t>
      </w:r>
      <w:r w:rsidR="001B2BE1">
        <w:rPr>
          <w:color w:val="000000" w:themeColor="text1"/>
          <w:sz w:val="22"/>
          <w:szCs w:val="22"/>
        </w:rPr>
        <w:br/>
      </w:r>
      <w:r>
        <w:rPr>
          <w:color w:val="000000" w:themeColor="text1"/>
          <w:sz w:val="22"/>
          <w:szCs w:val="22"/>
        </w:rPr>
        <w:t>(document de travail) :</w:t>
      </w:r>
      <w:r>
        <w:rPr>
          <w:color w:val="000000" w:themeColor="text1"/>
          <w:sz w:val="22"/>
          <w:szCs w:val="22"/>
        </w:rPr>
        <w:tab/>
        <w:t>M. Finley, E.N.</w:t>
      </w:r>
      <w:r w:rsidR="00E607EA">
        <w:rPr>
          <w:color w:val="000000" w:themeColor="text1"/>
          <w:sz w:val="22"/>
          <w:szCs w:val="22"/>
        </w:rPr>
        <w:t> </w:t>
      </w:r>
      <w:r>
        <w:rPr>
          <w:color w:val="000000" w:themeColor="text1"/>
          <w:sz w:val="22"/>
          <w:szCs w:val="22"/>
        </w:rPr>
        <w:t>Brooks, Q.</w:t>
      </w:r>
      <w:r w:rsidR="00E607EA">
        <w:rPr>
          <w:color w:val="000000" w:themeColor="text1"/>
          <w:sz w:val="22"/>
          <w:szCs w:val="22"/>
        </w:rPr>
        <w:t> </w:t>
      </w:r>
      <w:r>
        <w:rPr>
          <w:color w:val="000000" w:themeColor="text1"/>
          <w:sz w:val="22"/>
          <w:szCs w:val="22"/>
        </w:rPr>
        <w:t>McCurdy, M.A.</w:t>
      </w:r>
      <w:r w:rsidR="00E607EA">
        <w:rPr>
          <w:color w:val="000000" w:themeColor="text1"/>
          <w:sz w:val="22"/>
          <w:szCs w:val="22"/>
        </w:rPr>
        <w:t> </w:t>
      </w:r>
      <w:r>
        <w:rPr>
          <w:color w:val="000000" w:themeColor="text1"/>
          <w:sz w:val="22"/>
          <w:szCs w:val="22"/>
        </w:rPr>
        <w:t>Barrett et Y.</w:t>
      </w:r>
      <w:r w:rsidR="00E607EA">
        <w:rPr>
          <w:color w:val="000000" w:themeColor="text1"/>
          <w:sz w:val="22"/>
          <w:szCs w:val="22"/>
        </w:rPr>
        <w:t> </w:t>
      </w:r>
      <w:r>
        <w:rPr>
          <w:color w:val="000000" w:themeColor="text1"/>
          <w:sz w:val="22"/>
          <w:szCs w:val="22"/>
        </w:rPr>
        <w:t>Wang</w:t>
      </w:r>
    </w:p>
    <w:p w14:paraId="52DA39EA" w14:textId="60A181E2" w:rsidR="00075780" w:rsidRPr="00A0159E" w:rsidRDefault="00075780" w:rsidP="00F30042">
      <w:pPr>
        <w:tabs>
          <w:tab w:val="left" w:pos="3240"/>
        </w:tabs>
        <w:spacing w:before="0" w:after="0"/>
        <w:rPr>
          <w:color w:val="000000" w:themeColor="text1"/>
        </w:rPr>
      </w:pPr>
      <w:r>
        <w:rPr>
          <w:color w:val="000000" w:themeColor="text1"/>
        </w:rPr>
        <w:t>Présentateur</w:t>
      </w:r>
      <w:r w:rsidR="001C5656">
        <w:rPr>
          <w:color w:val="000000" w:themeColor="text1"/>
        </w:rPr>
        <w:t> </w:t>
      </w:r>
      <w:r>
        <w:rPr>
          <w:color w:val="000000" w:themeColor="text1"/>
        </w:rPr>
        <w:t xml:space="preserve">: </w:t>
      </w:r>
      <w:r>
        <w:rPr>
          <w:color w:val="000000" w:themeColor="text1"/>
        </w:rPr>
        <w:tab/>
        <w:t>M. Finley</w:t>
      </w:r>
    </w:p>
    <w:p w14:paraId="18ECB701" w14:textId="6982C852" w:rsidR="00075780" w:rsidRPr="00A0159E" w:rsidRDefault="00075780" w:rsidP="00F30042">
      <w:pPr>
        <w:tabs>
          <w:tab w:val="left" w:pos="3240"/>
        </w:tabs>
        <w:spacing w:before="0" w:after="0"/>
        <w:rPr>
          <w:color w:val="000000" w:themeColor="text1"/>
        </w:rPr>
      </w:pPr>
      <w:r>
        <w:rPr>
          <w:color w:val="000000" w:themeColor="text1"/>
        </w:rPr>
        <w:t xml:space="preserve">Rapporteurs : </w:t>
      </w:r>
      <w:r>
        <w:rPr>
          <w:color w:val="000000" w:themeColor="text1"/>
        </w:rPr>
        <w:tab/>
        <w:t>Q.</w:t>
      </w:r>
      <w:r w:rsidR="00E607EA">
        <w:rPr>
          <w:color w:val="000000" w:themeColor="text1"/>
        </w:rPr>
        <w:t> </w:t>
      </w:r>
      <w:r>
        <w:rPr>
          <w:color w:val="000000" w:themeColor="text1"/>
        </w:rPr>
        <w:t>McCurdy et K.</w:t>
      </w:r>
      <w:r w:rsidR="00E607EA">
        <w:rPr>
          <w:color w:val="000000" w:themeColor="text1"/>
        </w:rPr>
        <w:t> </w:t>
      </w:r>
      <w:r>
        <w:rPr>
          <w:color w:val="000000" w:themeColor="text1"/>
        </w:rPr>
        <w:t>Clark</w:t>
      </w:r>
    </w:p>
    <w:p w14:paraId="4C35518B" w14:textId="77777777" w:rsidR="00075780" w:rsidRPr="00A0159E" w:rsidRDefault="00075780" w:rsidP="00C27065">
      <w:pPr>
        <w:pStyle w:val="Heading4"/>
      </w:pPr>
      <w:r>
        <w:t>Points saillants de la présentation</w:t>
      </w:r>
    </w:p>
    <w:p w14:paraId="34861378" w14:textId="420D42BA" w:rsidR="00406C67" w:rsidRPr="00A0159E" w:rsidRDefault="00DC3800" w:rsidP="00C27065">
      <w:pPr>
        <w:pStyle w:val="BodyText"/>
        <w:rPr>
          <w:szCs w:val="22"/>
        </w:rPr>
      </w:pPr>
      <w:r>
        <w:t>Le total des prises d</w:t>
      </w:r>
      <w:r w:rsidR="001B2BE1">
        <w:t>’</w:t>
      </w:r>
      <w:r>
        <w:t>aiglefin de l</w:t>
      </w:r>
      <w:r w:rsidR="001B2BE1">
        <w:t>’</w:t>
      </w:r>
      <w:r>
        <w:t xml:space="preserve">est du </w:t>
      </w:r>
      <w:r w:rsidR="00E8153D">
        <w:t>banc Georges</w:t>
      </w:r>
      <w:r>
        <w:t xml:space="preserve"> s</w:t>
      </w:r>
      <w:r w:rsidR="001B2BE1">
        <w:t>’</w:t>
      </w:r>
      <w:r>
        <w:t>est élevé à 12 495 t</w:t>
      </w:r>
      <w:r w:rsidR="00E607EA">
        <w:t>m</w:t>
      </w:r>
      <w:r>
        <w:t xml:space="preserve"> en 2018, sur un quota global de 40 000 t</w:t>
      </w:r>
      <w:r w:rsidR="00E607EA">
        <w:t>m</w:t>
      </w:r>
      <w:r>
        <w:t xml:space="preserve"> pour le Canada et les É</w:t>
      </w:r>
      <w:r w:rsidR="00B40BB6">
        <w:t>tats-</w:t>
      </w:r>
      <w:r>
        <w:t>U</w:t>
      </w:r>
      <w:r w:rsidR="00B40BB6">
        <w:t>nis</w:t>
      </w:r>
      <w:r>
        <w:t>. Les prises canadiennes sont passées de 13 377 t</w:t>
      </w:r>
      <w:r w:rsidR="00E607EA">
        <w:t>m</w:t>
      </w:r>
      <w:r>
        <w:t xml:space="preserve"> en 2017 à 12 216 t</w:t>
      </w:r>
      <w:r w:rsidR="00E607EA">
        <w:t>m</w:t>
      </w:r>
      <w:r>
        <w:t xml:space="preserve"> en 2018, tandis que les prises américaines sont passées de 214 t</w:t>
      </w:r>
      <w:r w:rsidR="00E607EA">
        <w:t>m</w:t>
      </w:r>
      <w:r>
        <w:t xml:space="preserve"> en 2017 à 253 t</w:t>
      </w:r>
      <w:r w:rsidR="00E607EA">
        <w:t>m</w:t>
      </w:r>
      <w:r>
        <w:t xml:space="preserve"> en 2018. On évalue les rejets d</w:t>
      </w:r>
      <w:r w:rsidR="001B2BE1">
        <w:t>’</w:t>
      </w:r>
      <w:r>
        <w:t xml:space="preserve">aiglefins dans la pêche du pétoncle </w:t>
      </w:r>
      <w:r w:rsidR="00E607EA">
        <w:t xml:space="preserve">au Canada </w:t>
      </w:r>
      <w:r>
        <w:t>et</w:t>
      </w:r>
      <w:r w:rsidR="00E607EA">
        <w:t xml:space="preserve"> dans</w:t>
      </w:r>
      <w:r>
        <w:t xml:space="preserve"> la pêche du poisson de fond </w:t>
      </w:r>
      <w:r w:rsidR="00E607EA">
        <w:t xml:space="preserve">aux </w:t>
      </w:r>
      <w:r>
        <w:t>États-Unis à 5 t</w:t>
      </w:r>
      <w:r w:rsidR="00E607EA">
        <w:t>m</w:t>
      </w:r>
      <w:r>
        <w:t xml:space="preserve"> et 21 t</w:t>
      </w:r>
      <w:r w:rsidR="00E607EA">
        <w:t>m</w:t>
      </w:r>
      <w:r>
        <w:t xml:space="preserve"> respectivement. </w:t>
      </w:r>
    </w:p>
    <w:p w14:paraId="16A5B17F" w14:textId="0A3A8C66" w:rsidR="00406C67" w:rsidRPr="00A0159E" w:rsidRDefault="00406C67" w:rsidP="00C27065">
      <w:pPr>
        <w:pStyle w:val="BodyText"/>
        <w:rPr>
          <w:szCs w:val="22"/>
        </w:rPr>
      </w:pPr>
      <w:r>
        <w:t>Parmi les signes encourageants de productivité, mentionnons l</w:t>
      </w:r>
      <w:r w:rsidR="001B2BE1">
        <w:t>’</w:t>
      </w:r>
      <w:r>
        <w:t>élargissement de la structure par âge, la vaste répartition spatiale, la biomasse élevée, trois classes d</w:t>
      </w:r>
      <w:r w:rsidR="001B2BE1">
        <w:t>’</w:t>
      </w:r>
      <w:r>
        <w:t>âge exceptionnelles et trois fortes classes d</w:t>
      </w:r>
      <w:r w:rsidR="001B2BE1">
        <w:t>’</w:t>
      </w:r>
      <w:r>
        <w:t xml:space="preserve">âge depuis 2000. Du côté négatif, </w:t>
      </w:r>
      <w:r w:rsidR="00E607EA">
        <w:t xml:space="preserve">la condition </w:t>
      </w:r>
      <w:r>
        <w:t>s</w:t>
      </w:r>
      <w:r w:rsidR="001B2BE1">
        <w:t>’</w:t>
      </w:r>
      <w:r>
        <w:t>est considérablement détérioré</w:t>
      </w:r>
      <w:r w:rsidR="00E607EA">
        <w:t>e</w:t>
      </w:r>
      <w:r>
        <w:t xml:space="preserve"> (une certaine amélioration est constatée en 2019) et la taille selon l</w:t>
      </w:r>
      <w:r w:rsidR="001B2BE1">
        <w:t>’</w:t>
      </w:r>
      <w:r>
        <w:t>âge a diminué.</w:t>
      </w:r>
    </w:p>
    <w:p w14:paraId="6D9712E0" w14:textId="2A53BA47" w:rsidR="00406C67" w:rsidRPr="00A0159E" w:rsidRDefault="00406C67" w:rsidP="00C27065">
      <w:pPr>
        <w:pStyle w:val="BodyText"/>
        <w:rPr>
          <w:szCs w:val="22"/>
        </w:rPr>
      </w:pPr>
      <w:r>
        <w:t>D</w:t>
      </w:r>
      <w:r w:rsidR="001B2BE1">
        <w:t>’</w:t>
      </w:r>
      <w:r>
        <w:t>après le modèle d</w:t>
      </w:r>
      <w:r w:rsidR="001B2BE1">
        <w:t>’</w:t>
      </w:r>
      <w:r>
        <w:t xml:space="preserve">analyse de population virtuelle (APV) </w:t>
      </w:r>
      <w:r w:rsidR="003D0BEC">
        <w:t xml:space="preserve">déjà </w:t>
      </w:r>
      <w:r>
        <w:t>accepté, la biomasse de la population adulte (âges</w:t>
      </w:r>
      <w:r w:rsidR="003D0BEC">
        <w:t> </w:t>
      </w:r>
      <w:r>
        <w:t>3+) en début d</w:t>
      </w:r>
      <w:r w:rsidR="001B2BE1">
        <w:t>’</w:t>
      </w:r>
      <w:r>
        <w:t>année</w:t>
      </w:r>
      <w:r w:rsidR="00D80605">
        <w:t> </w:t>
      </w:r>
      <w:r>
        <w:t>2019 est estimée à 167 476</w:t>
      </w:r>
      <w:r w:rsidR="003F1B5F">
        <w:t> </w:t>
      </w:r>
      <w:r>
        <w:t>t</w:t>
      </w:r>
      <w:r w:rsidR="003D0BEC">
        <w:t>m</w:t>
      </w:r>
      <w:r w:rsidR="00C56C44">
        <w:t xml:space="preserve">. </w:t>
      </w:r>
      <w:r>
        <w:t>Une estimation préliminaire pour les classes d</w:t>
      </w:r>
      <w:r w:rsidR="001B2BE1">
        <w:t>’</w:t>
      </w:r>
      <w:r>
        <w:t>âge</w:t>
      </w:r>
      <w:r w:rsidR="00D80605">
        <w:t> </w:t>
      </w:r>
      <w:r>
        <w:t>2017 et 2018 est de 11 000 millions et de 13 000 poissons à l</w:t>
      </w:r>
      <w:r w:rsidR="001B2BE1">
        <w:t>’</w:t>
      </w:r>
      <w:r>
        <w:t>âge</w:t>
      </w:r>
      <w:r w:rsidR="003D0BEC">
        <w:t> </w:t>
      </w:r>
      <w:r>
        <w:t>1, respectivement. On estime actuellement la classe d</w:t>
      </w:r>
      <w:r w:rsidR="001B2BE1">
        <w:t>’</w:t>
      </w:r>
      <w:r>
        <w:t>âge</w:t>
      </w:r>
      <w:r w:rsidR="003D0BEC">
        <w:t> </w:t>
      </w:r>
      <w:r>
        <w:t xml:space="preserve">1 de 2013 à 589 millions de </w:t>
      </w:r>
      <w:r>
        <w:lastRenderedPageBreak/>
        <w:t>poissons, ce qui en fait la cohorte la plus abondante des séries chronologiques (1931-1955 et 1969-2019). Les classes d</w:t>
      </w:r>
      <w:r w:rsidR="001B2BE1">
        <w:t>’</w:t>
      </w:r>
      <w:r>
        <w:t>âge exceptionnelles 2003 et 2010, estimées à 196 millions et 96 millions de poissons d</w:t>
      </w:r>
      <w:r w:rsidR="001B2BE1">
        <w:t>’</w:t>
      </w:r>
      <w:r>
        <w:t>âge 1, respectivement, sont les deuxième et troisième plus importantes. Sauf pour les fortes classes d</w:t>
      </w:r>
      <w:r w:rsidR="001B2BE1">
        <w:t>’</w:t>
      </w:r>
      <w:r>
        <w:t>âge de 2000, 2011 et 2016 et les classes d</w:t>
      </w:r>
      <w:r w:rsidR="001B2BE1">
        <w:t>’</w:t>
      </w:r>
      <w:r>
        <w:t>âge exceptionnelles de 2003, 2010 et 2013, le recrutement a fluctué entre 1,6 et 26,1 millions d</w:t>
      </w:r>
      <w:r w:rsidR="001B2BE1">
        <w:t>’</w:t>
      </w:r>
      <w:r>
        <w:t xml:space="preserve">individus depuis 1990. Les résultats de cette APV montrent que la mortalité par pêche </w:t>
      </w:r>
      <w:r w:rsidR="0029644D" w:rsidRPr="0029644D">
        <w:t xml:space="preserve">(F) </w:t>
      </w:r>
      <w:r>
        <w:t>des poissons entièrement recrutés est passée à des niveaux supérieurs au point de référence de la mortalité par pêche (</w:t>
      </w:r>
      <w:r w:rsidR="0029644D">
        <w:t>F</w:t>
      </w:r>
      <w:r w:rsidR="0029644D">
        <w:rPr>
          <w:szCs w:val="22"/>
          <w:vertAlign w:val="subscript"/>
        </w:rPr>
        <w:t>réf</w:t>
      </w:r>
      <w:r w:rsidR="0029644D">
        <w:rPr>
          <w:szCs w:val="22"/>
          <w:vertAlign w:val="superscript"/>
        </w:rPr>
        <w:t> </w:t>
      </w:r>
      <w:r>
        <w:t>=</w:t>
      </w:r>
      <w:r w:rsidR="0029644D">
        <w:t> </w:t>
      </w:r>
      <w:r>
        <w:t>0,26) de 2010 à 2017. En 2018, la mortalité par pêche (F) était évaluée à 0,05</w:t>
      </w:r>
      <w:r w:rsidR="00C56C44">
        <w:t xml:space="preserve">. </w:t>
      </w:r>
      <w:r>
        <w:t>Les projections fondées sur ce modèle indiquent qu</w:t>
      </w:r>
      <w:r w:rsidR="001B2BE1">
        <w:t>’</w:t>
      </w:r>
      <w:r>
        <w:t>avec des prises de 2019 égales au quota de 30</w:t>
      </w:r>
      <w:r w:rsidR="0029644D">
        <w:t> </w:t>
      </w:r>
      <w:r>
        <w:t>000</w:t>
      </w:r>
      <w:r w:rsidR="0029644D">
        <w:t> </w:t>
      </w:r>
      <w:r>
        <w:t>t</w:t>
      </w:r>
      <w:r w:rsidR="0029644D">
        <w:t>m</w:t>
      </w:r>
      <w:r>
        <w:t xml:space="preserve"> et une valeur F=0,26 en 2020, une prise totale de 33</w:t>
      </w:r>
      <w:r w:rsidR="0029644D">
        <w:t> </w:t>
      </w:r>
      <w:r>
        <w:t>000</w:t>
      </w:r>
      <w:r w:rsidR="0029644D">
        <w:t> </w:t>
      </w:r>
      <w:r>
        <w:t>t</w:t>
      </w:r>
      <w:r w:rsidR="0029644D">
        <w:t>m</w:t>
      </w:r>
      <w:r>
        <w:t xml:space="preserve"> en 2020 entraînerait un risque neutre (50 %) de dépassement de F</w:t>
      </w:r>
      <w:r>
        <w:rPr>
          <w:szCs w:val="22"/>
          <w:vertAlign w:val="subscript"/>
        </w:rPr>
        <w:t>réf.</w:t>
      </w:r>
      <w:r>
        <w:t xml:space="preserve"> </w:t>
      </w:r>
    </w:p>
    <w:p w14:paraId="57BC0EFD" w14:textId="6C85C57C" w:rsidR="00406C67" w:rsidRPr="00A0159E" w:rsidRDefault="00406C67" w:rsidP="00C27065">
      <w:pPr>
        <w:pStyle w:val="BodyText"/>
        <w:rPr>
          <w:szCs w:val="22"/>
        </w:rPr>
      </w:pPr>
      <w:r>
        <w:t>Des analyses rétrospectives ont indiqué que le modèle de référence a fortement tendance à sous</w:t>
      </w:r>
      <w:r w:rsidR="0029644D">
        <w:noBreakHyphen/>
      </w:r>
      <w:r>
        <w:t>estimer F et à surestimer la biomasse et le recrutement à l</w:t>
      </w:r>
      <w:r w:rsidR="001B2BE1">
        <w:t>’</w:t>
      </w:r>
      <w:r>
        <w:t>âge 1 lorsque des années de données supplémentaires sont ajoutées. Pour tenir compte du biais rétrospectif, une prévision de sensibilité utilisant une correction rho des populations de 2019 (âges 0-9+) pour les projections déterministes et les évaluations des risques a été effectuée jusqu</w:t>
      </w:r>
      <w:r w:rsidR="001B2BE1">
        <w:t>’</w:t>
      </w:r>
      <w:r>
        <w:t>au début de l</w:t>
      </w:r>
      <w:r w:rsidR="001B2BE1">
        <w:t>’</w:t>
      </w:r>
      <w:r>
        <w:t>année 2022. En supposant que les prises en 2019 soient égales au quota total de 30 000 t</w:t>
      </w:r>
      <w:r w:rsidR="00B40BB6">
        <w:t>m</w:t>
      </w:r>
      <w:r>
        <w:t xml:space="preserve"> et que F soit égale à 0,26 (F</w:t>
      </w:r>
      <w:r>
        <w:rPr>
          <w:szCs w:val="22"/>
          <w:vertAlign w:val="subscript"/>
        </w:rPr>
        <w:t>réf</w:t>
      </w:r>
      <w:r>
        <w:t>) en 2020 et 2021, des prises combinées du Canada et des États-Unis s</w:t>
      </w:r>
      <w:r w:rsidR="001B2BE1">
        <w:t>’</w:t>
      </w:r>
      <w:r>
        <w:t>élevant à 8 500 t</w:t>
      </w:r>
      <w:r w:rsidR="00B40BB6">
        <w:t>m</w:t>
      </w:r>
      <w:r>
        <w:t xml:space="preserve"> en 2020 se traduiraient par un risque neutre (50 %) que le taux de mortalité par pêche dépasse F</w:t>
      </w:r>
      <w:r>
        <w:rPr>
          <w:szCs w:val="22"/>
          <w:vertAlign w:val="subscript"/>
        </w:rPr>
        <w:t>réf</w:t>
      </w:r>
      <w:r>
        <w:t xml:space="preserve"> = 0,26 en 2020. Un total des prises combinées du Canada et des États-Unis de 7 000 t</w:t>
      </w:r>
      <w:r w:rsidR="00B40BB6">
        <w:t>m</w:t>
      </w:r>
      <w:r>
        <w:t xml:space="preserve"> en 2021 se traduit par un risque neutre (50 %) que le taux de mortalité par pêche dépasse F</w:t>
      </w:r>
      <w:r>
        <w:rPr>
          <w:szCs w:val="22"/>
          <w:vertAlign w:val="subscript"/>
        </w:rPr>
        <w:t>réf.</w:t>
      </w:r>
      <w:r>
        <w:t xml:space="preserve"> = 0,26 pendant cette année. </w:t>
      </w:r>
    </w:p>
    <w:p w14:paraId="6497E43D" w14:textId="65AA2AA5" w:rsidR="001B283F" w:rsidRPr="00A0159E" w:rsidRDefault="00F01753" w:rsidP="00C27065">
      <w:pPr>
        <w:pStyle w:val="BodyText"/>
        <w:rPr>
          <w:szCs w:val="22"/>
        </w:rPr>
      </w:pPr>
      <w:r>
        <w:t>L</w:t>
      </w:r>
      <w:r w:rsidR="001B2BE1">
        <w:t>’</w:t>
      </w:r>
      <w:r>
        <w:t xml:space="preserve">incidence de différentes hypothèses sur le recrutement partiel (RP) </w:t>
      </w:r>
      <w:r w:rsidR="00B40BB6">
        <w:t xml:space="preserve">dans </w:t>
      </w:r>
      <w:r>
        <w:t>la tranche d</w:t>
      </w:r>
      <w:r w:rsidR="001B2BE1">
        <w:t>’</w:t>
      </w:r>
      <w:r>
        <w:t>âge qui comprend la classe d</w:t>
      </w:r>
      <w:r w:rsidR="001B2BE1">
        <w:t>’</w:t>
      </w:r>
      <w:r>
        <w:t>âge exceptionnelle</w:t>
      </w:r>
      <w:r w:rsidR="00D80605">
        <w:t> </w:t>
      </w:r>
      <w:r>
        <w:t>2013 a été étudiée</w:t>
      </w:r>
      <w:r w:rsidR="00C56C44">
        <w:t xml:space="preserve">. </w:t>
      </w:r>
      <w:r>
        <w:t>Les projections ont été réalisées au moyen d</w:t>
      </w:r>
      <w:r w:rsidR="001B2BE1">
        <w:t>’</w:t>
      </w:r>
      <w:r>
        <w:t>un RP à sommet plat (F=F</w:t>
      </w:r>
      <w:r>
        <w:rPr>
          <w:vertAlign w:val="subscript"/>
        </w:rPr>
        <w:t>réf</w:t>
      </w:r>
      <w:r>
        <w:t xml:space="preserve"> pour les âges</w:t>
      </w:r>
      <w:r w:rsidR="00D80605">
        <w:t> </w:t>
      </w:r>
      <w:r>
        <w:t xml:space="preserve">5 à 8 en 2020 et 2021), le RP étant fixé à la moyenne sur </w:t>
      </w:r>
      <w:r w:rsidR="00B40BB6">
        <w:t>10 </w:t>
      </w:r>
      <w:r>
        <w:t>ans à chaque âge de 5 à 8</w:t>
      </w:r>
      <w:r w:rsidR="00C56C44">
        <w:t xml:space="preserve">. </w:t>
      </w:r>
      <w:r>
        <w:t>La projection de prises pour 2020 (âge</w:t>
      </w:r>
      <w:r w:rsidR="00B40BB6">
        <w:t> </w:t>
      </w:r>
      <w:r>
        <w:t>1+) au moyen du RP à sommet plat était légèrement supérieure à la formulation de référence, tandis que la projection utilisant la moyenne sur 10 ans était légèrement inférieure</w:t>
      </w:r>
      <w:r w:rsidR="00C56C44">
        <w:t xml:space="preserve">. </w:t>
      </w:r>
      <w:r>
        <w:t>Les projections des prises pour l</w:t>
      </w:r>
      <w:r w:rsidR="001B2BE1">
        <w:t>’</w:t>
      </w:r>
      <w:r>
        <w:t>âge</w:t>
      </w:r>
      <w:r w:rsidR="00B40BB6">
        <w:t> </w:t>
      </w:r>
      <w:r>
        <w:t>1+ différaient davantage au cours de la deuxième année selon les deux processus exploratoires, donnant des projections de prises plus élevées que la formulation de référence en 2021.</w:t>
      </w:r>
    </w:p>
    <w:p w14:paraId="321BDA51" w14:textId="442FC276" w:rsidR="00A01E5A" w:rsidRPr="00A0159E" w:rsidRDefault="001B283F" w:rsidP="00C27065">
      <w:pPr>
        <w:pStyle w:val="BodyText"/>
      </w:pPr>
      <w:r>
        <w:t>Vu les difficultés actuelles liées aux diagnostics rétrospectifs et de modèle, l</w:t>
      </w:r>
      <w:r w:rsidR="001B2BE1">
        <w:t>’</w:t>
      </w:r>
      <w:r>
        <w:t>information est présentée à partir de l</w:t>
      </w:r>
      <w:r w:rsidR="001B2BE1">
        <w:t>’</w:t>
      </w:r>
      <w:r>
        <w:t>APV de 2012, la dernière itération du modèle sans profil rétrospectif. La classe d</w:t>
      </w:r>
      <w:r w:rsidR="001B2BE1">
        <w:t>’</w:t>
      </w:r>
      <w:r>
        <w:t>âge</w:t>
      </w:r>
      <w:r w:rsidR="00D80605">
        <w:t> </w:t>
      </w:r>
      <w:r>
        <w:t>2003 était d</w:t>
      </w:r>
      <w:r w:rsidR="001B2BE1">
        <w:t>’</w:t>
      </w:r>
      <w:r>
        <w:t>une taille exceptionnelle et, en 2012, était d</w:t>
      </w:r>
      <w:r w:rsidR="001B2BE1">
        <w:t>’</w:t>
      </w:r>
      <w:r>
        <w:t>un âge similaire à celui de la classe d</w:t>
      </w:r>
      <w:r w:rsidR="001B2BE1">
        <w:t>’</w:t>
      </w:r>
      <w:r>
        <w:t>âge</w:t>
      </w:r>
      <w:r w:rsidR="00D80605">
        <w:t> </w:t>
      </w:r>
      <w:r>
        <w:t>2013 en 2019. L</w:t>
      </w:r>
      <w:r w:rsidR="001B2BE1">
        <w:t>’</w:t>
      </w:r>
      <w:r>
        <w:t>APV a permis d</w:t>
      </w:r>
      <w:r w:rsidR="001B2BE1">
        <w:t>’</w:t>
      </w:r>
      <w:r>
        <w:t>estimer la biomasse d</w:t>
      </w:r>
      <w:r w:rsidR="001B2BE1">
        <w:t>’</w:t>
      </w:r>
      <w:r>
        <w:t>âge</w:t>
      </w:r>
      <w:r w:rsidR="00B40BB6">
        <w:t> </w:t>
      </w:r>
      <w:r>
        <w:t>3+, la valeur F aux âges</w:t>
      </w:r>
      <w:r w:rsidR="00B40BB6">
        <w:t> </w:t>
      </w:r>
      <w:r>
        <w:t>5 à 8, et les estimations de F correspondant aux prises retirées de la biomasse moyenne du relevé ont été comparées à la biomasse actuelle du relevé afin de fournir une mesure de l</w:t>
      </w:r>
      <w:r w:rsidR="001B2BE1">
        <w:t>’</w:t>
      </w:r>
      <w:r>
        <w:t>ampleur et une orientation potentielle pour la formulation d</w:t>
      </w:r>
      <w:r w:rsidR="001B2BE1">
        <w:t>’</w:t>
      </w:r>
      <w:r>
        <w:t>un avis approprié sur les prises.</w:t>
      </w:r>
    </w:p>
    <w:p w14:paraId="71932D50" w14:textId="77777777" w:rsidR="00075780" w:rsidRPr="00A0159E" w:rsidRDefault="00075780" w:rsidP="00C27065">
      <w:pPr>
        <w:pStyle w:val="Heading4"/>
      </w:pPr>
      <w:r>
        <w:t>Discussion</w:t>
      </w:r>
    </w:p>
    <w:p w14:paraId="363E58BD" w14:textId="502267C0" w:rsidR="00A01E5A" w:rsidRPr="009059E9" w:rsidRDefault="00A01E5A" w:rsidP="00C27065">
      <w:pPr>
        <w:pStyle w:val="BodyText"/>
        <w:rPr>
          <w:lang w:val="fr-CA"/>
        </w:rPr>
      </w:pPr>
      <w:r w:rsidRPr="009059E9">
        <w:rPr>
          <w:lang w:val="fr-CA"/>
        </w:rPr>
        <w:t xml:space="preserve">Vu le format de la présentation, le président décide de tenir la discussion par sujet plutôt que par </w:t>
      </w:r>
      <w:r w:rsidR="009059E9">
        <w:rPr>
          <w:lang w:val="fr-CA"/>
        </w:rPr>
        <w:t>cadre de r</w:t>
      </w:r>
      <w:r w:rsidR="009059E9" w:rsidRPr="000274FA">
        <w:rPr>
          <w:lang w:val="fr-CA"/>
        </w:rPr>
        <w:t>é</w:t>
      </w:r>
      <w:r w:rsidR="009059E9">
        <w:rPr>
          <w:lang w:val="fr-CA"/>
        </w:rPr>
        <w:t>f</w:t>
      </w:r>
      <w:r w:rsidR="009059E9" w:rsidRPr="000274FA">
        <w:rPr>
          <w:lang w:val="fr-CA"/>
        </w:rPr>
        <w:t>é</w:t>
      </w:r>
      <w:r w:rsidR="009059E9">
        <w:rPr>
          <w:lang w:val="fr-CA"/>
        </w:rPr>
        <w:t>rence</w:t>
      </w:r>
      <w:r w:rsidRPr="009059E9">
        <w:rPr>
          <w:lang w:val="fr-CA"/>
        </w:rPr>
        <w:t>.</w:t>
      </w:r>
    </w:p>
    <w:p w14:paraId="62BFCCDF" w14:textId="77777777" w:rsidR="00915A3C" w:rsidRPr="009059E9" w:rsidRDefault="00915A3C">
      <w:pPr>
        <w:spacing w:before="0" w:after="0"/>
        <w:rPr>
          <w:color w:val="000000" w:themeColor="text1"/>
          <w:u w:val="single"/>
          <w:lang w:val="fr-CA"/>
        </w:rPr>
      </w:pPr>
      <w:r w:rsidRPr="009059E9">
        <w:rPr>
          <w:color w:val="000000" w:themeColor="text1"/>
          <w:u w:val="single"/>
          <w:lang w:val="fr-CA"/>
        </w:rPr>
        <w:br w:type="page"/>
      </w:r>
    </w:p>
    <w:p w14:paraId="10DF1C1C" w14:textId="4BBB1274" w:rsidR="00A01E5A" w:rsidRPr="00A0159E" w:rsidRDefault="006B1BA8" w:rsidP="00D8265E">
      <w:pPr>
        <w:ind w:left="360"/>
        <w:rPr>
          <w:color w:val="000000" w:themeColor="text1"/>
          <w:u w:val="single"/>
        </w:rPr>
      </w:pPr>
      <w:r>
        <w:rPr>
          <w:color w:val="000000" w:themeColor="text1"/>
          <w:u w:val="single"/>
        </w:rPr>
        <w:lastRenderedPageBreak/>
        <w:t xml:space="preserve">Données </w:t>
      </w:r>
    </w:p>
    <w:p w14:paraId="5A4622A8" w14:textId="77777777" w:rsidR="00DA4BD1" w:rsidRPr="00A0159E" w:rsidRDefault="0048580C" w:rsidP="00D8265E">
      <w:pPr>
        <w:ind w:left="360"/>
        <w:rPr>
          <w:i/>
        </w:rPr>
      </w:pPr>
      <w:r>
        <w:rPr>
          <w:i/>
        </w:rPr>
        <w:t>Examinateurs</w:t>
      </w:r>
    </w:p>
    <w:p w14:paraId="4FAC619E" w14:textId="3DF0A4B6" w:rsidR="001B6B2E" w:rsidRPr="00A0159E" w:rsidRDefault="00D8265E" w:rsidP="00C27065">
      <w:pPr>
        <w:pStyle w:val="BodyText"/>
      </w:pPr>
      <w:r>
        <w:t>L</w:t>
      </w:r>
      <w:r w:rsidR="001B2BE1">
        <w:t>’</w:t>
      </w:r>
      <w:r>
        <w:t>exactitude de l</w:t>
      </w:r>
      <w:r w:rsidR="001B2BE1">
        <w:t>’</w:t>
      </w:r>
      <w:r>
        <w:t>information sur les prises est l</w:t>
      </w:r>
      <w:r w:rsidR="001B2BE1">
        <w:t>’</w:t>
      </w:r>
      <w:r>
        <w:t>une des hypothèses du modèle d</w:t>
      </w:r>
      <w:r w:rsidR="001B2BE1">
        <w:t>’</w:t>
      </w:r>
      <w:r>
        <w:t>APV</w:t>
      </w:r>
      <w:r w:rsidR="00C56C44">
        <w:t xml:space="preserve">. </w:t>
      </w:r>
      <w:r>
        <w:t>C</w:t>
      </w:r>
      <w:r w:rsidR="001B2BE1">
        <w:t>’</w:t>
      </w:r>
      <w:r>
        <w:t>est problématique quand on sait, d</w:t>
      </w:r>
      <w:r w:rsidR="001B2BE1">
        <w:t>’</w:t>
      </w:r>
      <w:r>
        <w:t xml:space="preserve">après une affaire judiciaire aux États-Unis, que les données sur les débarquements posent problème. </w:t>
      </w:r>
      <w:r w:rsidR="00280F48">
        <w:t xml:space="preserve">Cependant, </w:t>
      </w:r>
      <w:r>
        <w:t>il n</w:t>
      </w:r>
      <w:r w:rsidR="001B2BE1">
        <w:t>’</w:t>
      </w:r>
      <w:r>
        <w:t>existe aucune information qui puisse être utilisée pour évaluer l</w:t>
      </w:r>
      <w:r w:rsidR="001B2BE1">
        <w:t>’</w:t>
      </w:r>
      <w:r>
        <w:t>incertitude possible qui entoure les prises</w:t>
      </w:r>
      <w:r w:rsidR="00C56C44">
        <w:t xml:space="preserve">. </w:t>
      </w:r>
      <w:r>
        <w:t>C</w:t>
      </w:r>
      <w:r w:rsidR="001B2BE1">
        <w:t>’</w:t>
      </w:r>
      <w:r>
        <w:t>est un grand problème pour ce type de modèle</w:t>
      </w:r>
      <w:r w:rsidR="00C56C44">
        <w:t xml:space="preserve">. </w:t>
      </w:r>
      <w:r>
        <w:t>On fait remarquer que l</w:t>
      </w:r>
      <w:r w:rsidR="001B2BE1">
        <w:t>’</w:t>
      </w:r>
      <w:r>
        <w:t>aiglefin est l</w:t>
      </w:r>
      <w:r w:rsidR="001B2BE1">
        <w:t>’</w:t>
      </w:r>
      <w:r>
        <w:t>un des stocks pour lesquels l</w:t>
      </w:r>
      <w:r w:rsidR="001B2BE1">
        <w:t>’</w:t>
      </w:r>
      <w:r>
        <w:t>incitation à rejeter est faible, mais il se pourrait que dans le passé</w:t>
      </w:r>
      <w:r w:rsidR="00280F48">
        <w:t>,</w:t>
      </w:r>
      <w:r>
        <w:t xml:space="preserve"> d</w:t>
      </w:r>
      <w:r w:rsidR="001B2BE1">
        <w:t>’</w:t>
      </w:r>
      <w:r>
        <w:t>autres espèces (p. ex. la morue) aient été déclarées à tort comme étant de l</w:t>
      </w:r>
      <w:r w:rsidR="001B2BE1">
        <w:t>’</w:t>
      </w:r>
      <w:r>
        <w:t>aiglefin</w:t>
      </w:r>
      <w:r w:rsidR="00C56C44">
        <w:t xml:space="preserve">. </w:t>
      </w:r>
      <w:r>
        <w:t>Il en résulterait des prises moins élevées plutôt que plus élevées.</w:t>
      </w:r>
    </w:p>
    <w:p w14:paraId="2329DB64" w14:textId="0DE40A4F" w:rsidR="001B6B2E" w:rsidRPr="00A0159E" w:rsidRDefault="001B6B2E" w:rsidP="00C27065">
      <w:pPr>
        <w:pStyle w:val="BodyText"/>
      </w:pPr>
      <w:r>
        <w:t>La plupart des débarquements de cette zone de gestion proviennent de la pêche canadienne, et la présence d</w:t>
      </w:r>
      <w:r w:rsidR="001B2BE1">
        <w:t>’</w:t>
      </w:r>
      <w:r>
        <w:t>observateurs est élevée</w:t>
      </w:r>
      <w:r w:rsidR="00C56C44">
        <w:t xml:space="preserve">. </w:t>
      </w:r>
      <w:r>
        <w:t>Il est recommandé qu</w:t>
      </w:r>
      <w:r w:rsidR="001B2BE1">
        <w:t>’</w:t>
      </w:r>
      <w:r>
        <w:t>un examen plus approfondi des sorties observées par rapport aux sorties non observées soit effectué lors de la prochaine évaluation de référence.</w:t>
      </w:r>
    </w:p>
    <w:p w14:paraId="17D261E0" w14:textId="53EBB11C" w:rsidR="00260758" w:rsidRPr="00A0159E" w:rsidRDefault="00260758" w:rsidP="00D8265E">
      <w:pPr>
        <w:ind w:left="360" w:right="360"/>
      </w:pPr>
      <w:r>
        <w:rPr>
          <w:b/>
        </w:rPr>
        <w:t>Recommandation en matière de recherche </w:t>
      </w:r>
      <w:r w:rsidRPr="008E5670">
        <w:t xml:space="preserve">: </w:t>
      </w:r>
      <w:r>
        <w:t xml:space="preserve">Pour la prochaine évaluation de référence, comparer les sorties observées et les sorties non observées pour déterminer les différences </w:t>
      </w:r>
      <w:r w:rsidR="00280F48">
        <w:t>éventuelles</w:t>
      </w:r>
      <w:r>
        <w:t xml:space="preserve">. </w:t>
      </w:r>
    </w:p>
    <w:p w14:paraId="7D0179FB" w14:textId="3157D5E4" w:rsidR="00260758" w:rsidRPr="00A0159E" w:rsidRDefault="00260758" w:rsidP="00C27065">
      <w:pPr>
        <w:pStyle w:val="BodyText"/>
      </w:pPr>
      <w:r>
        <w:t>Le modèle d</w:t>
      </w:r>
      <w:r w:rsidR="001B2BE1">
        <w:t>’</w:t>
      </w:r>
      <w:r>
        <w:t>APV actuel suppose une mortalité naturelle (M) de 0,2</w:t>
      </w:r>
      <w:r w:rsidR="00C56C44">
        <w:t xml:space="preserve">. </w:t>
      </w:r>
      <w:r>
        <w:t>On laisse entendre qu</w:t>
      </w:r>
      <w:r w:rsidR="001B2BE1">
        <w:t>’</w:t>
      </w:r>
      <w:r>
        <w:t>il pourrait être utile d</w:t>
      </w:r>
      <w:r w:rsidR="001B2BE1">
        <w:t>’</w:t>
      </w:r>
      <w:r>
        <w:t>étudier ce que pourrait être la valeur M étant donné les caractéristiques actuelles du cycle de vie</w:t>
      </w:r>
      <w:r w:rsidR="00C56C44">
        <w:t xml:space="preserve">. </w:t>
      </w:r>
      <w:r>
        <w:t xml:space="preserve">La méthode de Hoenig ou </w:t>
      </w:r>
      <w:r w:rsidR="00280F48">
        <w:t xml:space="preserve">une méthode </w:t>
      </w:r>
      <w:r>
        <w:t>du même genre pourrait être utilisée</w:t>
      </w:r>
      <w:r w:rsidR="00C56C44">
        <w:t xml:space="preserve">. </w:t>
      </w:r>
      <w:r>
        <w:t>Du point de vue des États-Unis, la valeur M=0,2 provenait au départ d</w:t>
      </w:r>
      <w:r w:rsidR="001B2BE1">
        <w:t>’</w:t>
      </w:r>
      <w:r>
        <w:t xml:space="preserve">analyses effectuées dans le cadre </w:t>
      </w:r>
      <w:r w:rsidR="00280F48">
        <w:t>du</w:t>
      </w:r>
      <w:r>
        <w:t xml:space="preserve"> processus national de réunions </w:t>
      </w:r>
      <w:r w:rsidR="00280F48">
        <w:t>visant l’</w:t>
      </w:r>
      <w:r>
        <w:t xml:space="preserve">examen </w:t>
      </w:r>
      <w:r w:rsidR="00280F48">
        <w:t xml:space="preserve">de </w:t>
      </w:r>
      <w:r>
        <w:t>l</w:t>
      </w:r>
      <w:r w:rsidR="001B2BE1">
        <w:t>’</w:t>
      </w:r>
      <w:r>
        <w:t>évaluation du poisson de fond</w:t>
      </w:r>
      <w:r w:rsidR="00C56C44">
        <w:t xml:space="preserve">. </w:t>
      </w:r>
      <w:r>
        <w:t>Les premières analyses étaient fondées sur des renseignements provenant de relevés effectués dans les années</w:t>
      </w:r>
      <w:r w:rsidR="00D80605">
        <w:t> </w:t>
      </w:r>
      <w:r>
        <w:t>1960. Il était établi à l</w:t>
      </w:r>
      <w:r w:rsidR="001B2BE1">
        <w:t>’</w:t>
      </w:r>
      <w:r>
        <w:t>époque que tous les âges avaient le même taux de survie, ce qui justifiait la valeur M=0,2</w:t>
      </w:r>
      <w:r w:rsidR="00C56C44">
        <w:t xml:space="preserve">. </w:t>
      </w:r>
      <w:r>
        <w:t xml:space="preserve">Il est possible que les choses aient changé. </w:t>
      </w:r>
    </w:p>
    <w:p w14:paraId="3CB18772" w14:textId="77777777" w:rsidR="00DA4BD1" w:rsidRPr="00A0159E" w:rsidRDefault="00DA4BD1" w:rsidP="00D8265E">
      <w:pPr>
        <w:ind w:left="360"/>
        <w:rPr>
          <w:i/>
        </w:rPr>
      </w:pPr>
      <w:r>
        <w:rPr>
          <w:i/>
        </w:rPr>
        <w:t>Personnel scientifique, gestionnaires de ressources désignés et coprésidentes du CERT</w:t>
      </w:r>
    </w:p>
    <w:p w14:paraId="01A60499" w14:textId="3B129321" w:rsidR="001806A3" w:rsidRPr="00A0159E" w:rsidRDefault="001806A3" w:rsidP="00C27065">
      <w:pPr>
        <w:pStyle w:val="BodyText"/>
        <w:rPr>
          <w:rFonts w:cs="Arial"/>
        </w:rPr>
      </w:pPr>
      <w:r>
        <w:t>On mentionne que la biomasse moyenne du relevé indiquée dans la présentation ne figure pas dans le document de travail</w:t>
      </w:r>
      <w:r w:rsidR="00C56C44">
        <w:t xml:space="preserve">. </w:t>
      </w:r>
      <w:r>
        <w:t>On demande que cette information soit consignée dans le document de référence</w:t>
      </w:r>
      <w:r w:rsidR="00C56C44">
        <w:t xml:space="preserve">. </w:t>
      </w:r>
      <w:r>
        <w:t>On mentionne également que cette version de la biomasse moyenne du relevé n</w:t>
      </w:r>
      <w:r w:rsidR="001B2BE1">
        <w:t>’</w:t>
      </w:r>
      <w:r>
        <w:t xml:space="preserve">a pas été ajustée en fonction </w:t>
      </w:r>
      <w:r w:rsidR="00F93B6A">
        <w:t>du potentiel de capture</w:t>
      </w:r>
      <w:r>
        <w:t xml:space="preserve"> (q) du relevé dérivé du modèle d</w:t>
      </w:r>
      <w:r w:rsidR="001B2BE1">
        <w:t>’</w:t>
      </w:r>
      <w:r>
        <w:t>APV et qu</w:t>
      </w:r>
      <w:r w:rsidR="001B2BE1">
        <w:t>’</w:t>
      </w:r>
      <w:r>
        <w:t>elle diffère donc de ce qui figure dans le rapport provisoire sur l</w:t>
      </w:r>
      <w:r w:rsidR="001B2BE1">
        <w:t>’</w:t>
      </w:r>
      <w:r>
        <w:t xml:space="preserve">aiglefin de 2018. </w:t>
      </w:r>
    </w:p>
    <w:p w14:paraId="590B0F70" w14:textId="52A335F9" w:rsidR="00DA4BD1" w:rsidRPr="00A0159E" w:rsidRDefault="001806A3" w:rsidP="00C27065">
      <w:pPr>
        <w:pStyle w:val="BodyText"/>
        <w:rPr>
          <w:rFonts w:cs="Arial"/>
        </w:rPr>
      </w:pPr>
      <w:r>
        <w:t>On demande pourquoi il n</w:t>
      </w:r>
      <w:r w:rsidR="001B2BE1">
        <w:t>’</w:t>
      </w:r>
      <w:r>
        <w:t>y a pas d</w:t>
      </w:r>
      <w:r w:rsidR="001B2BE1">
        <w:t>’</w:t>
      </w:r>
      <w:r>
        <w:t>échantillons prélevés au chalut pélagique dans les prises américaines selon la taille et selon l</w:t>
      </w:r>
      <w:r w:rsidR="001B2BE1">
        <w:t>’</w:t>
      </w:r>
      <w:r>
        <w:t>âge</w:t>
      </w:r>
      <w:r w:rsidR="00C56C44">
        <w:t xml:space="preserve">. </w:t>
      </w:r>
      <w:r>
        <w:t>On précise qu</w:t>
      </w:r>
      <w:r w:rsidR="001B2BE1">
        <w:t>’</w:t>
      </w:r>
      <w:r>
        <w:t>il n</w:t>
      </w:r>
      <w:r w:rsidR="001B2BE1">
        <w:t>’</w:t>
      </w:r>
      <w:r>
        <w:t>y a pas eu de pêche au chalut pélagique du côté américain de l</w:t>
      </w:r>
      <w:r w:rsidR="001B2BE1">
        <w:t>’</w:t>
      </w:r>
      <w:r>
        <w:t xml:space="preserve">est du </w:t>
      </w:r>
      <w:r w:rsidR="00E8153D">
        <w:t>banc Georges</w:t>
      </w:r>
      <w:r>
        <w:t xml:space="preserve"> en 2018</w:t>
      </w:r>
      <w:r w:rsidR="00C56C44">
        <w:t xml:space="preserve">. </w:t>
      </w:r>
    </w:p>
    <w:p w14:paraId="185C1BD3" w14:textId="77777777" w:rsidR="00CC138F" w:rsidRPr="00A0159E" w:rsidRDefault="008A56B0" w:rsidP="00D8265E">
      <w:pPr>
        <w:ind w:left="360"/>
        <w:rPr>
          <w:i/>
        </w:rPr>
      </w:pPr>
      <w:r>
        <w:rPr>
          <w:i/>
        </w:rPr>
        <w:t>Tous les participants à la réunion</w:t>
      </w:r>
    </w:p>
    <w:p w14:paraId="20A42E51" w14:textId="76788D97" w:rsidR="008A56B0" w:rsidRPr="00A0159E" w:rsidRDefault="001806A3" w:rsidP="00C27065">
      <w:pPr>
        <w:pStyle w:val="BodyText"/>
      </w:pPr>
      <w:r>
        <w:t>On demande à l</w:t>
      </w:r>
      <w:r w:rsidR="001B2BE1">
        <w:t>’</w:t>
      </w:r>
      <w:r>
        <w:t>équipe d</w:t>
      </w:r>
      <w:r w:rsidR="001B2BE1">
        <w:t>’</w:t>
      </w:r>
      <w:r>
        <w:t>évaluation de déterminer des indices de la biomasse non ajustés selon la valeur q pour le deuxième jour de la présente réunion</w:t>
      </w:r>
      <w:r w:rsidR="00C56C44">
        <w:t xml:space="preserve">. </w:t>
      </w:r>
    </w:p>
    <w:p w14:paraId="5591A9E6" w14:textId="78A4AD56" w:rsidR="001806A3" w:rsidRPr="00A0159E" w:rsidRDefault="00AA71F4" w:rsidP="00C27065">
      <w:pPr>
        <w:pStyle w:val="BodyText"/>
      </w:pPr>
      <w:r>
        <w:t>Comme le font remarquer les responsables de l</w:t>
      </w:r>
      <w:r w:rsidR="001B2BE1">
        <w:t>’</w:t>
      </w:r>
      <w:r>
        <w:t>évaluation dans leur présentation, il semble y avoir un lissage des âges des classes d</w:t>
      </w:r>
      <w:r w:rsidR="001B2BE1">
        <w:t>’</w:t>
      </w:r>
      <w:r>
        <w:t>âge</w:t>
      </w:r>
      <w:r w:rsidR="00D80605">
        <w:t> </w:t>
      </w:r>
      <w:r>
        <w:t>2012, 2013 et 2014 dans les prises selon l</w:t>
      </w:r>
      <w:r w:rsidR="001B2BE1">
        <w:t>’</w:t>
      </w:r>
      <w:r>
        <w:t>âge</w:t>
      </w:r>
      <w:r w:rsidR="00C56C44">
        <w:t xml:space="preserve">. </w:t>
      </w:r>
      <w:r>
        <w:t>On propose de revoir l</w:t>
      </w:r>
      <w:r w:rsidR="001B2BE1">
        <w:t>’</w:t>
      </w:r>
      <w:r>
        <w:t>intensité de l</w:t>
      </w:r>
      <w:r w:rsidR="001B2BE1">
        <w:t>’</w:t>
      </w:r>
      <w:r>
        <w:t>échantillonnage afin de s</w:t>
      </w:r>
      <w:r w:rsidR="001B2BE1">
        <w:t>’</w:t>
      </w:r>
      <w:r>
        <w:t>assurer que tous les âges sont échantillonnés de façon appropriée</w:t>
      </w:r>
      <w:r w:rsidR="002310A0">
        <w:t xml:space="preserve"> </w:t>
      </w:r>
      <w:r>
        <w:t>pour les prises selon l</w:t>
      </w:r>
      <w:r w:rsidR="001B2BE1">
        <w:t>’</w:t>
      </w:r>
      <w:r>
        <w:t>âge</w:t>
      </w:r>
      <w:r w:rsidR="002310A0">
        <w:t xml:space="preserve">, tant </w:t>
      </w:r>
      <w:r>
        <w:t>pour la pêche que pour le relevé</w:t>
      </w:r>
      <w:r w:rsidR="00C56C44">
        <w:t xml:space="preserve">. </w:t>
      </w:r>
      <w:r>
        <w:t>Actuellement, les échantillons du relevé du MPO sont utilisés pour améliorer la clé âge</w:t>
      </w:r>
      <w:r w:rsidR="002310A0">
        <w:noBreakHyphen/>
      </w:r>
      <w:r>
        <w:t>longueur au cours du premier trimestre, car il n</w:t>
      </w:r>
      <w:r w:rsidR="001B2BE1">
        <w:t>’</w:t>
      </w:r>
      <w:r>
        <w:t>y a pas suffisamment d</w:t>
      </w:r>
      <w:r w:rsidR="001B2BE1">
        <w:t>’</w:t>
      </w:r>
      <w:r>
        <w:t>échantillons provenant de la pêche. Malgré les préoccupations concernant le lissage des âges, la classe d</w:t>
      </w:r>
      <w:r w:rsidR="001B2BE1">
        <w:t>’</w:t>
      </w:r>
      <w:r>
        <w:t>âge</w:t>
      </w:r>
      <w:r w:rsidR="00D80605">
        <w:t> </w:t>
      </w:r>
      <w:r>
        <w:t>2013 a été clairement observée et l</w:t>
      </w:r>
      <w:r w:rsidR="001B2BE1">
        <w:t>’</w:t>
      </w:r>
      <w:r>
        <w:t>on est convaincu qu</w:t>
      </w:r>
      <w:r w:rsidR="001B2BE1">
        <w:t>’</w:t>
      </w:r>
      <w:r>
        <w:t>elle reste exceptionnelle.</w:t>
      </w:r>
    </w:p>
    <w:p w14:paraId="502FB98A" w14:textId="15B8E92E" w:rsidR="003A438D" w:rsidRPr="009059E9" w:rsidRDefault="003A438D" w:rsidP="00C27065">
      <w:pPr>
        <w:pStyle w:val="BodyText"/>
        <w:rPr>
          <w:rFonts w:cs="Arial"/>
          <w:lang w:val="fr-CA"/>
        </w:rPr>
      </w:pPr>
      <w:r w:rsidRPr="009059E9">
        <w:rPr>
          <w:lang w:val="fr-CA"/>
        </w:rPr>
        <w:lastRenderedPageBreak/>
        <w:t>Les examinateurs, le personnel scientifique, les gestionnaires de ressources, les coprésidentes du CERT et les autres participants à la réunion s</w:t>
      </w:r>
      <w:r w:rsidR="001B2BE1" w:rsidRPr="009059E9">
        <w:rPr>
          <w:lang w:val="fr-CA"/>
        </w:rPr>
        <w:t>’</w:t>
      </w:r>
      <w:r w:rsidRPr="009059E9">
        <w:rPr>
          <w:lang w:val="fr-CA"/>
        </w:rPr>
        <w:t>entendent pour dire que les auteurs ont décrit convenablement les données, comme l</w:t>
      </w:r>
      <w:r w:rsidR="001B2BE1" w:rsidRPr="009059E9">
        <w:rPr>
          <w:lang w:val="fr-CA"/>
        </w:rPr>
        <w:t>’</w:t>
      </w:r>
      <w:r w:rsidRPr="009059E9">
        <w:rPr>
          <w:lang w:val="fr-CA"/>
        </w:rPr>
        <w:t xml:space="preserve">exigeait le premier </w:t>
      </w:r>
      <w:r w:rsidR="009059E9">
        <w:rPr>
          <w:lang w:val="fr-CA"/>
        </w:rPr>
        <w:t>cadre de r</w:t>
      </w:r>
      <w:r w:rsidR="009059E9" w:rsidRPr="000274FA">
        <w:rPr>
          <w:lang w:val="fr-CA"/>
        </w:rPr>
        <w:t>é</w:t>
      </w:r>
      <w:r w:rsidR="009059E9">
        <w:rPr>
          <w:lang w:val="fr-CA"/>
        </w:rPr>
        <w:t>f</w:t>
      </w:r>
      <w:r w:rsidR="009059E9" w:rsidRPr="000274FA">
        <w:rPr>
          <w:lang w:val="fr-CA"/>
        </w:rPr>
        <w:t>é</w:t>
      </w:r>
      <w:r w:rsidR="009059E9">
        <w:rPr>
          <w:lang w:val="fr-CA"/>
        </w:rPr>
        <w:t>rence</w:t>
      </w:r>
      <w:r w:rsidR="00C56C44" w:rsidRPr="009059E9">
        <w:rPr>
          <w:lang w:val="fr-CA"/>
        </w:rPr>
        <w:t xml:space="preserve">. </w:t>
      </w:r>
    </w:p>
    <w:p w14:paraId="51EDCCEE" w14:textId="77777777" w:rsidR="003A438D" w:rsidRPr="00A0159E" w:rsidRDefault="003A438D" w:rsidP="00220501">
      <w:pPr>
        <w:ind w:left="360"/>
        <w:rPr>
          <w:color w:val="000000" w:themeColor="text1"/>
          <w:u w:val="single"/>
        </w:rPr>
      </w:pPr>
      <w:r>
        <w:rPr>
          <w:color w:val="000000" w:themeColor="text1"/>
          <w:u w:val="single"/>
        </w:rPr>
        <w:t>Résultats et diagnostics du modèle</w:t>
      </w:r>
    </w:p>
    <w:p w14:paraId="2ADBB296" w14:textId="77777777" w:rsidR="003A438D" w:rsidRPr="00A0159E" w:rsidRDefault="003A438D" w:rsidP="00220501">
      <w:pPr>
        <w:ind w:left="360"/>
        <w:rPr>
          <w:i/>
        </w:rPr>
      </w:pPr>
      <w:r>
        <w:rPr>
          <w:i/>
        </w:rPr>
        <w:t>Examinateurs</w:t>
      </w:r>
    </w:p>
    <w:p w14:paraId="495EDC17" w14:textId="1835EBE1" w:rsidR="00EE1385" w:rsidRPr="00A0159E" w:rsidRDefault="00EE1385" w:rsidP="00C27065">
      <w:pPr>
        <w:pStyle w:val="BodyText"/>
      </w:pPr>
      <w:r>
        <w:t>Les examinateurs signalent les diagnostics inquiétants et l</w:t>
      </w:r>
      <w:r w:rsidR="001B2BE1">
        <w:t>’</w:t>
      </w:r>
      <w:r>
        <w:t>aggravation du profil rétrospectif du modèle. On laisse entendre qu</w:t>
      </w:r>
      <w:r w:rsidR="001B2BE1">
        <w:t>’</w:t>
      </w:r>
      <w:r>
        <w:t>il serait préférable d</w:t>
      </w:r>
      <w:r w:rsidR="001B2BE1">
        <w:t>’</w:t>
      </w:r>
      <w:r>
        <w:t>abandonner le modèle d</w:t>
      </w:r>
      <w:r w:rsidR="001B2BE1">
        <w:t>’</w:t>
      </w:r>
      <w:r>
        <w:t>APV, éventuellement pour adopter un cadre statistique, tout en indiquant que cela ne règle aucun problème pour ce qui est des données</w:t>
      </w:r>
      <w:r w:rsidR="00C56C44">
        <w:t xml:space="preserve">. </w:t>
      </w:r>
      <w:r>
        <w:t>Actuellement, le modèle ne permet pas de bien suivre les relevés et il ne fournit pas de renseignements utiles. Les deux examinateurs font remarquer qu</w:t>
      </w:r>
      <w:r w:rsidR="001B2BE1">
        <w:t>’</w:t>
      </w:r>
      <w:r>
        <w:t>il est ambitieux de penser à établir une meilleure approche et à l</w:t>
      </w:r>
      <w:r w:rsidR="001B2BE1">
        <w:t>’</w:t>
      </w:r>
      <w:r>
        <w:t>appliquer d</w:t>
      </w:r>
      <w:r w:rsidR="001B2BE1">
        <w:t>’</w:t>
      </w:r>
      <w:r>
        <w:t>ici une éventuelle évaluation des points de référence en 2021.</w:t>
      </w:r>
    </w:p>
    <w:p w14:paraId="572E2FA7" w14:textId="059FA689" w:rsidR="00170827" w:rsidRPr="00A0159E" w:rsidRDefault="00220501" w:rsidP="00C27065">
      <w:pPr>
        <w:pStyle w:val="BodyText"/>
      </w:pPr>
      <w:r>
        <w:t>Si les résultats de l</w:t>
      </w:r>
      <w:r w:rsidR="001B2BE1">
        <w:t>’</w:t>
      </w:r>
      <w:r>
        <w:t>APV actuelle ne sont pas considérés comme fiables, alors les projections ne sont pas utiles.</w:t>
      </w:r>
    </w:p>
    <w:p w14:paraId="21E6F695" w14:textId="406DFC0D" w:rsidR="00170827" w:rsidRPr="00A0159E" w:rsidRDefault="00170827" w:rsidP="00C27065">
      <w:pPr>
        <w:pStyle w:val="BodyText"/>
      </w:pPr>
      <w:r>
        <w:t>Certaines années, la valeur q du relevé du MPO est supérieure à 1. On demande s</w:t>
      </w:r>
      <w:r w:rsidR="001B2BE1">
        <w:t>’</w:t>
      </w:r>
      <w:r>
        <w:t>il y a des raisons de penser que l</w:t>
      </w:r>
      <w:r w:rsidR="001B2BE1">
        <w:t>’</w:t>
      </w:r>
      <w:r>
        <w:t>aiglefin « saute dans la trajectoire du chalut »</w:t>
      </w:r>
      <w:r w:rsidR="00C56C44">
        <w:t xml:space="preserve">. </w:t>
      </w:r>
      <w:r>
        <w:t>Il n</w:t>
      </w:r>
      <w:r w:rsidR="001B2BE1">
        <w:t>’</w:t>
      </w:r>
      <w:r>
        <w:t>y a aucune raison de s</w:t>
      </w:r>
      <w:r w:rsidR="001B2BE1">
        <w:t>’</w:t>
      </w:r>
      <w:r>
        <w:t xml:space="preserve">y attendre, mais il existe un écart type important, de sorte que la fourchette autour de la valeur q comprend des valeurs inférieures à 1. </w:t>
      </w:r>
    </w:p>
    <w:p w14:paraId="348E6E99" w14:textId="6D0F368E" w:rsidR="00170827" w:rsidRPr="00A0159E" w:rsidRDefault="00170827" w:rsidP="00C27065">
      <w:pPr>
        <w:pStyle w:val="BodyText"/>
      </w:pPr>
      <w:r>
        <w:t>On demande si le modèle a été exécuté avec les indices propres aux relevés plutôt qu</w:t>
      </w:r>
      <w:r w:rsidR="001B2BE1">
        <w:t>’</w:t>
      </w:r>
      <w:r>
        <w:t>avec ceux des trois relevés globalement, pour voir si le profil rétrospectif est plus important avec un relevé plutôt qu</w:t>
      </w:r>
      <w:r w:rsidR="001B2BE1">
        <w:t>’</w:t>
      </w:r>
      <w:r>
        <w:t>un autre</w:t>
      </w:r>
      <w:r w:rsidR="00C56C44">
        <w:t xml:space="preserve">. </w:t>
      </w:r>
      <w:r>
        <w:t>Ce fut le cas pour l</w:t>
      </w:r>
      <w:r w:rsidR="001B2BE1">
        <w:t>’</w:t>
      </w:r>
      <w:r>
        <w:t xml:space="preserve">ensemble du </w:t>
      </w:r>
      <w:r w:rsidR="00E8153D">
        <w:t>banc Georges</w:t>
      </w:r>
      <w:r>
        <w:t>, mais il n</w:t>
      </w:r>
      <w:r w:rsidR="001B2BE1">
        <w:t>’</w:t>
      </w:r>
      <w:r>
        <w:t>en est ressorti aucun relevé ayant un effet déterminant</w:t>
      </w:r>
      <w:r w:rsidR="00C56C44">
        <w:t xml:space="preserve">. </w:t>
      </w:r>
      <w:r>
        <w:t>On a fait la même chose pour la morue de l</w:t>
      </w:r>
      <w:r w:rsidR="001B2BE1">
        <w:t>’</w:t>
      </w:r>
      <w:r>
        <w:t xml:space="preserve">est du </w:t>
      </w:r>
      <w:r w:rsidR="00E8153D">
        <w:t>banc Georges</w:t>
      </w:r>
      <w:r>
        <w:t xml:space="preserve"> et, là encore, aucun relevé pire que les autres n</w:t>
      </w:r>
      <w:r w:rsidR="001B2BE1">
        <w:t>’</w:t>
      </w:r>
      <w:r>
        <w:t>a été cerné.</w:t>
      </w:r>
    </w:p>
    <w:p w14:paraId="5735AD76" w14:textId="11B2FF8A" w:rsidR="00E008B4" w:rsidRPr="00A0159E" w:rsidRDefault="00E008B4" w:rsidP="00C27065">
      <w:pPr>
        <w:pStyle w:val="BodyText"/>
      </w:pPr>
      <w:r>
        <w:t>Les examinateurs demandent s</w:t>
      </w:r>
      <w:r w:rsidR="001B2BE1">
        <w:t>’</w:t>
      </w:r>
      <w:r>
        <w:t>il y a un lien entre la température et l</w:t>
      </w:r>
      <w:r w:rsidR="001B2BE1">
        <w:t>’</w:t>
      </w:r>
      <w:r>
        <w:t>emplacement de l</w:t>
      </w:r>
      <w:r w:rsidR="001B2BE1">
        <w:t>’</w:t>
      </w:r>
      <w:r>
        <w:t>aiglefin qui pourrait causer des différences sur le plan de la répartition</w:t>
      </w:r>
      <w:r w:rsidR="00C56C44">
        <w:t xml:space="preserve">. </w:t>
      </w:r>
      <w:r>
        <w:t>Selon un représentant de l</w:t>
      </w:r>
      <w:r w:rsidR="001B2BE1">
        <w:t>’</w:t>
      </w:r>
      <w:r>
        <w:t>industrie, les pêcheurs observent ce lien et l</w:t>
      </w:r>
      <w:r w:rsidR="001B2BE1">
        <w:t>’</w:t>
      </w:r>
      <w:r>
        <w:t>utilisent pour choisir les lieux de pêche.</w:t>
      </w:r>
    </w:p>
    <w:p w14:paraId="414C6574" w14:textId="377D6616" w:rsidR="00E008B4" w:rsidRPr="00A0159E" w:rsidRDefault="00E008B4" w:rsidP="00220501">
      <w:pPr>
        <w:ind w:left="360" w:right="360"/>
      </w:pPr>
      <w:r>
        <w:rPr>
          <w:b/>
        </w:rPr>
        <w:t>Recommandation en matière de recherche</w:t>
      </w:r>
      <w:r>
        <w:t> : Étudier le lien entre la température et la répartition spatiale de l</w:t>
      </w:r>
      <w:r w:rsidR="001B2BE1">
        <w:t>’</w:t>
      </w:r>
      <w:r>
        <w:t>aiglefin.</w:t>
      </w:r>
    </w:p>
    <w:p w14:paraId="2ADCE7F6" w14:textId="77777777" w:rsidR="00E008B4" w:rsidRPr="00A0159E" w:rsidRDefault="00E008B4" w:rsidP="00D8265E">
      <w:pPr>
        <w:ind w:left="360"/>
        <w:rPr>
          <w:i/>
        </w:rPr>
      </w:pPr>
      <w:r>
        <w:rPr>
          <w:i/>
        </w:rPr>
        <w:t>Personnel scientifique, gestionnaires de ressources désignés et coprésidentes du CERT</w:t>
      </w:r>
    </w:p>
    <w:p w14:paraId="77BB9384" w14:textId="51272E33" w:rsidR="00E008B4" w:rsidRPr="00A0159E" w:rsidRDefault="00E008B4" w:rsidP="00C27065">
      <w:pPr>
        <w:pStyle w:val="BodyText"/>
      </w:pPr>
      <w:r>
        <w:t>L</w:t>
      </w:r>
      <w:r w:rsidR="001B2BE1">
        <w:t>’</w:t>
      </w:r>
      <w:r>
        <w:t>exécution du modèle de 2019 a montré une biomasse d</w:t>
      </w:r>
      <w:r w:rsidR="001B2BE1">
        <w:t>’</w:t>
      </w:r>
      <w:r>
        <w:t>âge</w:t>
      </w:r>
      <w:r w:rsidR="00D80605">
        <w:t> </w:t>
      </w:r>
      <w:r>
        <w:t>3+ de l</w:t>
      </w:r>
      <w:r w:rsidR="001B2BE1">
        <w:t>’</w:t>
      </w:r>
      <w:r>
        <w:t>ordre de 150</w:t>
      </w:r>
      <w:r w:rsidR="002310A0">
        <w:t> </w:t>
      </w:r>
      <w:r>
        <w:t>000</w:t>
      </w:r>
      <w:r w:rsidR="002310A0">
        <w:t> </w:t>
      </w:r>
      <w:r>
        <w:t>t</w:t>
      </w:r>
      <w:r w:rsidR="00090772">
        <w:t>m</w:t>
      </w:r>
      <w:r>
        <w:t xml:space="preserve"> au cours des quatre dernières années</w:t>
      </w:r>
      <w:r w:rsidR="002310A0">
        <w:t>,</w:t>
      </w:r>
      <w:r>
        <w:t xml:space="preserve"> et pourtant</w:t>
      </w:r>
      <w:r w:rsidR="002310A0">
        <w:t>,</w:t>
      </w:r>
      <w:r>
        <w:t xml:space="preserve"> le taux de mortalité par pêche des spécimens pleinement recrutés (F) était de 0,5, les prises ne représentant que 10 % de la biomasse. On mentionne que la valeur F pour les âges</w:t>
      </w:r>
      <w:r w:rsidR="002310A0">
        <w:t> </w:t>
      </w:r>
      <w:r>
        <w:t>5 à 8</w:t>
      </w:r>
      <w:r w:rsidR="002310A0">
        <w:t xml:space="preserve"> </w:t>
      </w:r>
      <w:r>
        <w:t>est tirée du modèle et pondérée en fonction de la population pour chaque groupe d</w:t>
      </w:r>
      <w:r w:rsidR="001B2BE1">
        <w:t>’</w:t>
      </w:r>
      <w:r>
        <w:t>âge</w:t>
      </w:r>
      <w:r w:rsidR="00C56C44">
        <w:t xml:space="preserve">. </w:t>
      </w:r>
      <w:r>
        <w:t>Elle est élevée parce que la prise selon l</w:t>
      </w:r>
      <w:r w:rsidR="001B2BE1">
        <w:t>’</w:t>
      </w:r>
      <w:r>
        <w:t>âge montre des prises élevées de très petites classes d</w:t>
      </w:r>
      <w:r w:rsidR="001B2BE1">
        <w:t>’</w:t>
      </w:r>
      <w:r>
        <w:t>âge à la suite du lissage de la classe d</w:t>
      </w:r>
      <w:r w:rsidR="001B2BE1">
        <w:t>’</w:t>
      </w:r>
      <w:r>
        <w:t>âge</w:t>
      </w:r>
      <w:r w:rsidR="00D80605">
        <w:t> </w:t>
      </w:r>
      <w:r>
        <w:t>2013.</w:t>
      </w:r>
    </w:p>
    <w:p w14:paraId="72173645" w14:textId="4329E323" w:rsidR="00C24C27" w:rsidRPr="00A0159E" w:rsidRDefault="00E008B4" w:rsidP="00C27065">
      <w:pPr>
        <w:pStyle w:val="BodyText"/>
        <w:rPr>
          <w:rFonts w:cs="Arial"/>
        </w:rPr>
      </w:pPr>
      <w:r w:rsidRPr="005233AA">
        <w:t>Le président</w:t>
      </w:r>
      <w:r>
        <w:t xml:space="preserve"> résume la discussion tenue jusque-là</w:t>
      </w:r>
      <w:r w:rsidR="00C56C44">
        <w:t xml:space="preserve">. </w:t>
      </w:r>
      <w:r>
        <w:t>Il fait remarquer que les résultats du modèle devraient permettre le rétablissement de la population avec le temps et aboutir à un avis sur les prises, mais que d</w:t>
      </w:r>
      <w:r w:rsidR="001B2BE1">
        <w:t>’</w:t>
      </w:r>
      <w:r>
        <w:t>importants problèmes concernant l</w:t>
      </w:r>
      <w:r w:rsidR="001B2BE1">
        <w:t>’</w:t>
      </w:r>
      <w:r>
        <w:t>APV ont été repérés</w:t>
      </w:r>
      <w:r w:rsidR="00C56C44">
        <w:t xml:space="preserve">. </w:t>
      </w:r>
      <w:r>
        <w:t>Il demande aux examinateurs, puis au personnel scientifique, aux gestionnaires de ressources désignés et aux coprésidentes du CERT si le modèle est toujours utile à des fins de gestion</w:t>
      </w:r>
      <w:r w:rsidR="00C56C44">
        <w:t xml:space="preserve">. </w:t>
      </w:r>
      <w:r>
        <w:t>Tous s</w:t>
      </w:r>
      <w:r w:rsidR="001B2BE1">
        <w:t>’</w:t>
      </w:r>
      <w:r>
        <w:t>accordent pour dire que le modèle doit être rejeté, mais l</w:t>
      </w:r>
      <w:r w:rsidR="001B2BE1">
        <w:t>’</w:t>
      </w:r>
      <w:r>
        <w:t>absence d</w:t>
      </w:r>
      <w:r w:rsidR="001B2BE1">
        <w:t>’</w:t>
      </w:r>
      <w:r>
        <w:t>une autre approche claire suscite des préoccupations.</w:t>
      </w:r>
    </w:p>
    <w:p w14:paraId="7F89F710" w14:textId="26402619" w:rsidR="00D7481A" w:rsidRPr="00A0159E" w:rsidRDefault="00C24C27" w:rsidP="00C27065">
      <w:pPr>
        <w:pStyle w:val="BodyText"/>
        <w:rPr>
          <w:rFonts w:cs="Arial"/>
        </w:rPr>
      </w:pPr>
      <w:r>
        <w:t>On laisse entendre que le CERT peut faire des commentaires sur l</w:t>
      </w:r>
      <w:r w:rsidR="001B2BE1">
        <w:t>’</w:t>
      </w:r>
      <w:r>
        <w:t>état actuel du stock comparativement à la période de 2009 à 2012 exposée par l</w:t>
      </w:r>
      <w:r w:rsidR="001B2BE1">
        <w:t>’</w:t>
      </w:r>
      <w:r>
        <w:t>équipe d</w:t>
      </w:r>
      <w:r w:rsidR="001B2BE1">
        <w:t>’</w:t>
      </w:r>
      <w:r>
        <w:t xml:space="preserve">évaluation. Les indices de la biomasse du relevé non corrigés en fonction de la valeur q donnent une idée de la situation </w:t>
      </w:r>
      <w:r>
        <w:lastRenderedPageBreak/>
        <w:t>du stock par rapport au passé. Un avis sur les prises pourrait être fourni sous la forme d</w:t>
      </w:r>
      <w:r w:rsidR="001B2BE1">
        <w:t>’</w:t>
      </w:r>
      <w:r>
        <w:t>un ajustement du quota actuel; il pourrait être étayé par les données, et non par quoi que ce soit produit par le modèle</w:t>
      </w:r>
      <w:r w:rsidR="00C56C44">
        <w:t xml:space="preserve">. </w:t>
      </w:r>
    </w:p>
    <w:p w14:paraId="6AD826B5" w14:textId="0DA753BA" w:rsidR="00D7481A" w:rsidRPr="00A0159E" w:rsidRDefault="00D7481A" w:rsidP="00C27065">
      <w:pPr>
        <w:pStyle w:val="BodyText"/>
        <w:rPr>
          <w:rFonts w:cs="Arial"/>
        </w:rPr>
      </w:pPr>
      <w:r>
        <w:t xml:space="preserve">Les relevés fournissent des indices sur les nombres et la biomasse qui peuvent servir à montrer où se situe le stock actuellement par rapport </w:t>
      </w:r>
      <w:r w:rsidR="00A96AC1">
        <w:t>aux</w:t>
      </w:r>
      <w:r>
        <w:t xml:space="preserve"> dernières années</w:t>
      </w:r>
      <w:r w:rsidR="00C56C44">
        <w:t xml:space="preserve">. </w:t>
      </w:r>
      <w:r>
        <w:t>Les indices sans le modèle permettent de déterminer le recrutement</w:t>
      </w:r>
      <w:r w:rsidR="00C56C44">
        <w:t xml:space="preserve">. </w:t>
      </w:r>
      <w:r>
        <w:t>Lorsqu</w:t>
      </w:r>
      <w:r w:rsidR="001B2BE1">
        <w:t>’</w:t>
      </w:r>
      <w:r>
        <w:t>il s</w:t>
      </w:r>
      <w:r w:rsidR="001B2BE1">
        <w:t>’</w:t>
      </w:r>
      <w:r>
        <w:t>agit d</w:t>
      </w:r>
      <w:r w:rsidR="001B2BE1">
        <w:t>’</w:t>
      </w:r>
      <w:r>
        <w:t>une classe d</w:t>
      </w:r>
      <w:r w:rsidR="001B2BE1">
        <w:t>’</w:t>
      </w:r>
      <w:r>
        <w:t>âge vraiment grande, elle ressort clairement des données du relevé. La classe d</w:t>
      </w:r>
      <w:r w:rsidR="001B2BE1">
        <w:t>’</w:t>
      </w:r>
      <w:r>
        <w:t>âge</w:t>
      </w:r>
      <w:r w:rsidR="00D80605">
        <w:t> </w:t>
      </w:r>
      <w:r>
        <w:t>2013 est grande, mais elle est déjà d</w:t>
      </w:r>
      <w:r w:rsidR="001B2BE1">
        <w:t>’</w:t>
      </w:r>
      <w:r>
        <w:t>âge 6 et</w:t>
      </w:r>
      <w:r w:rsidR="00A96AC1">
        <w:t>,</w:t>
      </w:r>
      <w:r>
        <w:t xml:space="preserve"> pour le moment</w:t>
      </w:r>
      <w:r w:rsidR="00A96AC1">
        <w:t>,</w:t>
      </w:r>
      <w:r>
        <w:t xml:space="preserve"> il n</w:t>
      </w:r>
      <w:r w:rsidR="001B2BE1">
        <w:t>’</w:t>
      </w:r>
      <w:r>
        <w:t>y a pas d</w:t>
      </w:r>
      <w:r w:rsidR="001B2BE1">
        <w:t>’</w:t>
      </w:r>
      <w:r>
        <w:t>autre classe d</w:t>
      </w:r>
      <w:r w:rsidR="001B2BE1">
        <w:t>’</w:t>
      </w:r>
      <w:r>
        <w:t>âge exceptionnelle, ce qui signifie que l</w:t>
      </w:r>
      <w:r w:rsidR="001B2BE1">
        <w:t>’</w:t>
      </w:r>
      <w:r>
        <w:t>abondance dans les indices du relevé diminuera</w:t>
      </w:r>
      <w:r w:rsidR="00C56C44">
        <w:t xml:space="preserve">. </w:t>
      </w:r>
      <w:r>
        <w:t>Les indices de relevé agrégés peuvent servir à orienter l</w:t>
      </w:r>
      <w:r w:rsidR="001B2BE1">
        <w:t>’</w:t>
      </w:r>
      <w:r>
        <w:t>ajustement du quota actuel.</w:t>
      </w:r>
    </w:p>
    <w:p w14:paraId="0151DE60" w14:textId="18677FEB" w:rsidR="00D7481A" w:rsidRPr="00A0159E" w:rsidRDefault="008A213A" w:rsidP="00C27065">
      <w:pPr>
        <w:pStyle w:val="BodyText"/>
        <w:rPr>
          <w:rFonts w:cs="Arial"/>
        </w:rPr>
      </w:pPr>
      <w:r>
        <w:t>Le calcul de la valeur F relative se fait sans modèle si la valeur q des relevés n</w:t>
      </w:r>
      <w:r w:rsidR="001B2BE1">
        <w:t>’</w:t>
      </w:r>
      <w:r>
        <w:t>est pas ajustée</w:t>
      </w:r>
      <w:r w:rsidR="00C56C44">
        <w:t xml:space="preserve">. </w:t>
      </w:r>
      <w:r>
        <w:t>Les examinateurs laissent entendre que ce serait un indicateur utile à inclure. Ils proposent également d</w:t>
      </w:r>
      <w:r w:rsidR="001B2BE1">
        <w:t>’</w:t>
      </w:r>
      <w:r>
        <w:t>inclure un tableau montrant les caractéristiques positives et négatives du stock, qui serait semblable à celui du rapport provisoire sur l</w:t>
      </w:r>
      <w:r w:rsidR="001B2BE1">
        <w:t>’</w:t>
      </w:r>
      <w:r>
        <w:t>aiglefin.</w:t>
      </w:r>
    </w:p>
    <w:p w14:paraId="3CCCBCA7" w14:textId="6743ABCF" w:rsidR="00C319C9" w:rsidRPr="00A0159E" w:rsidRDefault="00220501" w:rsidP="00C27065">
      <w:pPr>
        <w:pStyle w:val="BodyText"/>
        <w:rPr>
          <w:rFonts w:cs="Arial"/>
        </w:rPr>
      </w:pPr>
      <w:r>
        <w:t>Le président résume de nouveau la discussion et demande au groupe de fournir une liste des travaux supplémentaires à faire à remettre aux responsables de l</w:t>
      </w:r>
      <w:r w:rsidR="001B2BE1">
        <w:t>’</w:t>
      </w:r>
      <w:r>
        <w:t>évaluation pour le jour suivant de la réunion du CERT</w:t>
      </w:r>
      <w:r w:rsidR="00C56C44">
        <w:t xml:space="preserve">. </w:t>
      </w:r>
      <w:r>
        <w:t>Le but de ces travaux est de fournir des preuves pouvant servir à décrire l</w:t>
      </w:r>
      <w:r w:rsidR="001B2BE1">
        <w:t>’</w:t>
      </w:r>
      <w:r>
        <w:t>état actuel des stocks et dans les cas où le CERT voit un lien avec le passé</w:t>
      </w:r>
      <w:r w:rsidR="00C56C44">
        <w:t xml:space="preserve">. </w:t>
      </w:r>
      <w:r>
        <w:t xml:space="preserve">Par ailleurs, il est décidé de rejeter le modèle </w:t>
      </w:r>
      <w:r w:rsidR="00A96AC1">
        <w:t xml:space="preserve">pour </w:t>
      </w:r>
      <w:r>
        <w:t>fournir des avis sur les prises et il faut donc justifier clairement cette décision</w:t>
      </w:r>
      <w:r w:rsidR="00C56C44">
        <w:t xml:space="preserve">. </w:t>
      </w:r>
      <w:r>
        <w:t>Le groupe demande ce qui suit :</w:t>
      </w:r>
    </w:p>
    <w:p w14:paraId="156E19DB" w14:textId="77777777" w:rsidR="00C319C9" w:rsidRPr="00A0159E" w:rsidRDefault="00C319C9" w:rsidP="00C27065">
      <w:pPr>
        <w:pStyle w:val="ListBullet"/>
        <w:rPr>
          <w:rFonts w:cs="Arial"/>
        </w:rPr>
      </w:pPr>
      <w:r>
        <w:t>des indices de la zone balayée pour la biomasse et le nombre pour les trois relevés sans aucun ajustement de la valeur q;</w:t>
      </w:r>
    </w:p>
    <w:p w14:paraId="3BE29491" w14:textId="1D0DE512" w:rsidR="00C319C9" w:rsidRPr="00A0159E" w:rsidRDefault="00C319C9" w:rsidP="00C27065">
      <w:pPr>
        <w:pStyle w:val="ListBullet"/>
        <w:rPr>
          <w:rFonts w:cs="Arial"/>
        </w:rPr>
      </w:pPr>
      <w:r>
        <w:t xml:space="preserve">les compositions selon la longueur découlant des relevés des deux années les plus récentes et </w:t>
      </w:r>
      <w:r w:rsidR="00A96AC1">
        <w:t xml:space="preserve">pour </w:t>
      </w:r>
      <w:r>
        <w:t>la période pendant laquelle la classe d</w:t>
      </w:r>
      <w:r w:rsidR="001B2BE1">
        <w:t>’</w:t>
      </w:r>
      <w:r>
        <w:t>âge exceptionnelle</w:t>
      </w:r>
      <w:r w:rsidR="00D80605">
        <w:t> </w:t>
      </w:r>
      <w:r>
        <w:t>2003 était d</w:t>
      </w:r>
      <w:r w:rsidR="001B2BE1">
        <w:t>’</w:t>
      </w:r>
      <w:r>
        <w:t>un âge similaire à celui de la classe d</w:t>
      </w:r>
      <w:r w:rsidR="001B2BE1">
        <w:t>’</w:t>
      </w:r>
      <w:r>
        <w:t>âge</w:t>
      </w:r>
      <w:r w:rsidR="00D80605">
        <w:t> </w:t>
      </w:r>
      <w:r>
        <w:t>2013 maintenant (p. ex. de 2009 à 2011);</w:t>
      </w:r>
    </w:p>
    <w:p w14:paraId="7E6A4661" w14:textId="77777777" w:rsidR="00C319C9" w:rsidRPr="00A0159E" w:rsidRDefault="00C13020" w:rsidP="00C27065">
      <w:pPr>
        <w:pStyle w:val="ListBullet"/>
        <w:rPr>
          <w:rFonts w:cs="Arial"/>
        </w:rPr>
      </w:pPr>
      <w:r>
        <w:t>les valeurs F relatives, des renseignements sur les prises et les quotas pour les mêmes années que celles susmentionnées.</w:t>
      </w:r>
    </w:p>
    <w:p w14:paraId="4E1AF0EC" w14:textId="77777777" w:rsidR="00C13020" w:rsidRPr="00A0159E" w:rsidRDefault="00C13020" w:rsidP="00D8265E">
      <w:pPr>
        <w:ind w:left="360"/>
        <w:rPr>
          <w:i/>
        </w:rPr>
      </w:pPr>
      <w:r>
        <w:rPr>
          <w:i/>
        </w:rPr>
        <w:t>Autres participants à la réunion</w:t>
      </w:r>
    </w:p>
    <w:p w14:paraId="7A9966F9" w14:textId="0AFB8E56" w:rsidR="00C13020" w:rsidRPr="00A0159E" w:rsidRDefault="00C13020" w:rsidP="003E4272">
      <w:pPr>
        <w:pStyle w:val="BodyText"/>
        <w:rPr>
          <w:rFonts w:cs="Arial"/>
        </w:rPr>
      </w:pPr>
      <w:r>
        <w:t>L</w:t>
      </w:r>
      <w:r w:rsidR="001B2BE1">
        <w:t>’</w:t>
      </w:r>
      <w:r>
        <w:t>idée de se pencher sur l</w:t>
      </w:r>
      <w:r w:rsidR="001B2BE1">
        <w:t>’</w:t>
      </w:r>
      <w:r>
        <w:t>historique du stock afin de fournir des avis bénéficie d</w:t>
      </w:r>
      <w:r w:rsidR="001B2BE1">
        <w:t>’</w:t>
      </w:r>
      <w:r>
        <w:t>un certain appui</w:t>
      </w:r>
      <w:r w:rsidR="00C56C44">
        <w:t xml:space="preserve">. </w:t>
      </w:r>
      <w:r>
        <w:t>Les données de relevé préparées dans le cadre des travaux à faire doivent l</w:t>
      </w:r>
      <w:r w:rsidR="001B2BE1">
        <w:t>’</w:t>
      </w:r>
      <w:r>
        <w:t>être sans modèle, et les participants se disent à l</w:t>
      </w:r>
      <w:r w:rsidR="001B2BE1">
        <w:t>’</w:t>
      </w:r>
      <w:r>
        <w:t>aise avec la liste des travaux qui a été préparée.</w:t>
      </w:r>
    </w:p>
    <w:p w14:paraId="6A10451B" w14:textId="30B70840" w:rsidR="00C13020" w:rsidRPr="00A0159E" w:rsidRDefault="00806BB4" w:rsidP="00E607EA">
      <w:pPr>
        <w:pStyle w:val="Heading3"/>
      </w:pPr>
      <w:bookmarkStart w:id="7" w:name="_Toc44059142"/>
      <w:r>
        <w:t>C</w:t>
      </w:r>
      <w:r w:rsidR="000F2E12" w:rsidRPr="007E6C94">
        <w:t>hangements dans la croissance somatique de l</w:t>
      </w:r>
      <w:r w:rsidR="001B2BE1" w:rsidRPr="007E6C94">
        <w:t>’</w:t>
      </w:r>
      <w:r w:rsidR="000F2E12" w:rsidRPr="007E6C94">
        <w:t>aiglefin de l</w:t>
      </w:r>
      <w:r w:rsidR="001B2BE1" w:rsidRPr="007E6C94">
        <w:t>’</w:t>
      </w:r>
      <w:r w:rsidR="000F2E12" w:rsidRPr="007E6C94">
        <w:t xml:space="preserve">est du </w:t>
      </w:r>
      <w:r w:rsidR="00E8153D" w:rsidRPr="007E6C94">
        <w:t>banc Georges</w:t>
      </w:r>
      <w:bookmarkEnd w:id="7"/>
    </w:p>
    <w:p w14:paraId="0D381752" w14:textId="554FF43F" w:rsidR="006315DA" w:rsidRPr="00A0159E" w:rsidRDefault="00C13020" w:rsidP="000F2E12">
      <w:pPr>
        <w:tabs>
          <w:tab w:val="left" w:pos="1800"/>
        </w:tabs>
        <w:spacing w:before="0" w:after="0"/>
        <w:ind w:left="1800" w:hanging="1800"/>
      </w:pPr>
      <w:r>
        <w:t xml:space="preserve">Présentation : </w:t>
      </w:r>
      <w:r>
        <w:tab/>
      </w:r>
      <w:r w:rsidR="004B6821" w:rsidRPr="007E6C94">
        <w:t>Understanding Haddock Somatic Growth Changes on Eastern Georges Bank (</w:t>
      </w:r>
      <w:r w:rsidRPr="007E6C94">
        <w:t>Comprendre les changements dans la croissance somatique de l</w:t>
      </w:r>
      <w:r w:rsidR="001B2BE1" w:rsidRPr="007E6C94">
        <w:t>’</w:t>
      </w:r>
      <w:r w:rsidRPr="007E6C94">
        <w:t>aiglefin de l</w:t>
      </w:r>
      <w:r w:rsidR="001B2BE1" w:rsidRPr="007E6C94">
        <w:t>’</w:t>
      </w:r>
      <w:r w:rsidRPr="007E6C94">
        <w:t xml:space="preserve">est du </w:t>
      </w:r>
      <w:r w:rsidR="00E8153D" w:rsidRPr="007E6C94">
        <w:t>banc Georges</w:t>
      </w:r>
      <w:r w:rsidR="004B6821" w:rsidRPr="007E6C94">
        <w:t>)</w:t>
      </w:r>
    </w:p>
    <w:p w14:paraId="3BE35797" w14:textId="20A72FE4" w:rsidR="006315DA" w:rsidRPr="00A0159E" w:rsidRDefault="006315DA" w:rsidP="000F2E12">
      <w:pPr>
        <w:tabs>
          <w:tab w:val="left" w:pos="1800"/>
        </w:tabs>
        <w:spacing w:before="0" w:after="0"/>
        <w:ind w:left="1800" w:hanging="1800"/>
      </w:pPr>
      <w:r>
        <w:t>Responsables scientifiques :</w:t>
      </w:r>
      <w:r w:rsidR="007F6CE6">
        <w:tab/>
      </w:r>
      <w:r>
        <w:t>Y.</w:t>
      </w:r>
      <w:r w:rsidR="004B6821">
        <w:t> </w:t>
      </w:r>
      <w:r>
        <w:t>Wang, A.</w:t>
      </w:r>
      <w:r w:rsidR="004B6821">
        <w:t> </w:t>
      </w:r>
      <w:r>
        <w:t>Gharouni, K.</w:t>
      </w:r>
      <w:r w:rsidR="004B6821">
        <w:t> </w:t>
      </w:r>
      <w:r>
        <w:t>Friedland et C.</w:t>
      </w:r>
      <w:r w:rsidR="004B6821">
        <w:t> </w:t>
      </w:r>
      <w:r>
        <w:t>Melrose</w:t>
      </w:r>
    </w:p>
    <w:p w14:paraId="1BA41B8B" w14:textId="48E4F74C" w:rsidR="006315DA" w:rsidRPr="00A0159E" w:rsidRDefault="006315DA" w:rsidP="000F2E12">
      <w:pPr>
        <w:tabs>
          <w:tab w:val="left" w:pos="1800"/>
        </w:tabs>
        <w:spacing w:before="0" w:after="0"/>
        <w:ind w:left="1800" w:hanging="1800"/>
      </w:pPr>
      <w:r>
        <w:t>Présentateur</w:t>
      </w:r>
      <w:r w:rsidR="001C5656">
        <w:t> </w:t>
      </w:r>
      <w:r>
        <w:t xml:space="preserve">: </w:t>
      </w:r>
      <w:r>
        <w:tab/>
        <w:t>Y.</w:t>
      </w:r>
      <w:r w:rsidR="004B6821">
        <w:t> </w:t>
      </w:r>
      <w:r>
        <w:t>Wang</w:t>
      </w:r>
    </w:p>
    <w:p w14:paraId="01C15541" w14:textId="1CEFB05F" w:rsidR="006315DA" w:rsidRPr="00A0159E" w:rsidRDefault="006315DA" w:rsidP="000F2E12">
      <w:pPr>
        <w:tabs>
          <w:tab w:val="left" w:pos="1800"/>
        </w:tabs>
        <w:spacing w:before="0" w:after="0"/>
        <w:ind w:left="1800" w:hanging="1800"/>
      </w:pPr>
      <w:r>
        <w:t xml:space="preserve">Rapporteurs : </w:t>
      </w:r>
      <w:r>
        <w:tab/>
        <w:t>Q.</w:t>
      </w:r>
      <w:r w:rsidR="004B6821">
        <w:t> </w:t>
      </w:r>
      <w:r>
        <w:t>McCurdy et K.</w:t>
      </w:r>
      <w:r w:rsidR="004B6821">
        <w:t> </w:t>
      </w:r>
      <w:r>
        <w:t>Clark</w:t>
      </w:r>
    </w:p>
    <w:p w14:paraId="4C4B27E5" w14:textId="77777777" w:rsidR="006315DA" w:rsidRPr="00A0159E" w:rsidRDefault="006315DA" w:rsidP="003E4272">
      <w:pPr>
        <w:pStyle w:val="Heading4"/>
      </w:pPr>
      <w:r>
        <w:t>Points saillants de la présentation</w:t>
      </w:r>
    </w:p>
    <w:p w14:paraId="7A4658E0" w14:textId="4A40055E" w:rsidR="0048580C" w:rsidRPr="00A0159E" w:rsidRDefault="00C13020" w:rsidP="003E4272">
      <w:pPr>
        <w:pStyle w:val="BodyText"/>
      </w:pPr>
      <w:r>
        <w:t>L</w:t>
      </w:r>
      <w:r w:rsidR="001B2BE1">
        <w:t>’</w:t>
      </w:r>
      <w:r>
        <w:t>augmentation récente de la biomasse de l</w:t>
      </w:r>
      <w:r w:rsidR="001B2BE1">
        <w:t>’</w:t>
      </w:r>
      <w:r>
        <w:t>aiglefin de l</w:t>
      </w:r>
      <w:r w:rsidR="001B2BE1">
        <w:t>’</w:t>
      </w:r>
      <w:r>
        <w:t xml:space="preserve">est du </w:t>
      </w:r>
      <w:r w:rsidR="00E8153D">
        <w:t>banc Georges</w:t>
      </w:r>
      <w:r>
        <w:t xml:space="preserve"> s</w:t>
      </w:r>
      <w:r w:rsidR="001B2BE1">
        <w:t>’</w:t>
      </w:r>
      <w:r>
        <w:t>est accompagnée d</w:t>
      </w:r>
      <w:r w:rsidR="001B2BE1">
        <w:t>’</w:t>
      </w:r>
      <w:r>
        <w:t>une importante baisse de la croissance de l</w:t>
      </w:r>
      <w:r w:rsidR="001B2BE1">
        <w:t>’</w:t>
      </w:r>
      <w:r>
        <w:t xml:space="preserve">aiglefin. Parallèlement, le </w:t>
      </w:r>
      <w:r w:rsidR="00E8153D">
        <w:t>banc Georges</w:t>
      </w:r>
      <w:r>
        <w:t xml:space="preserve"> a connu des changements environnementaux. </w:t>
      </w:r>
      <w:r w:rsidRPr="00776865">
        <w:t>Pour</w:t>
      </w:r>
      <w:r>
        <w:t xml:space="preserve"> comprendre le mécanisme des changements dans la croissance somatique, on a utilisé des modèles additifs généralisés </w:t>
      </w:r>
      <w:r>
        <w:lastRenderedPageBreak/>
        <w:t>(GAM) pour établir un lien entre les variables biotiques et abiotiques et la croissance de l</w:t>
      </w:r>
      <w:r w:rsidR="001B2BE1">
        <w:t>’</w:t>
      </w:r>
      <w:r>
        <w:t>aiglefin de l</w:t>
      </w:r>
      <w:r w:rsidR="001B2BE1">
        <w:t>’</w:t>
      </w:r>
      <w:r>
        <w:t xml:space="preserve">est du </w:t>
      </w:r>
      <w:r w:rsidR="00E8153D">
        <w:t>banc Georges</w:t>
      </w:r>
      <w:r>
        <w:t>. La sélection des covariables repose sur un modèle conceptuel et la disponibilité des données. Les résultats ont montré que les effets dépendant de la densité, et peut-être les températures plus élevées en été et en automne, sont le facteur le plus influant sur les changements dans la croissance de l</w:t>
      </w:r>
      <w:r w:rsidR="001B2BE1">
        <w:t>’</w:t>
      </w:r>
      <w:r>
        <w:t xml:space="preserve">aiglefin. Ce constat cadre avec </w:t>
      </w:r>
      <w:r>
        <w:rPr>
          <w:color w:val="000000" w:themeColor="text1"/>
        </w:rPr>
        <w:t xml:space="preserve">la </w:t>
      </w:r>
      <w:r>
        <w:t xml:space="preserve">description, dans </w:t>
      </w:r>
      <w:r w:rsidRPr="002761D7">
        <w:t xml:space="preserve">Clark </w:t>
      </w:r>
      <w:r w:rsidRPr="002761D7">
        <w:rPr>
          <w:i/>
          <w:iCs/>
        </w:rPr>
        <w:t>et al.</w:t>
      </w:r>
      <w:r w:rsidRPr="002761D7">
        <w:t xml:space="preserve"> (1969)</w:t>
      </w:r>
      <w:r>
        <w:t>, d</w:t>
      </w:r>
      <w:r w:rsidR="001B2BE1">
        <w:t>’</w:t>
      </w:r>
      <w:r>
        <w:t>une réduction de la taille des poissons à la suite de cohortes très fortes.</w:t>
      </w:r>
    </w:p>
    <w:p w14:paraId="77CC7DA9" w14:textId="77777777" w:rsidR="00C30B4B" w:rsidRPr="00A0159E" w:rsidRDefault="00C30B4B" w:rsidP="003E4272">
      <w:pPr>
        <w:pStyle w:val="Heading4"/>
      </w:pPr>
      <w:r>
        <w:t>Discussion</w:t>
      </w:r>
    </w:p>
    <w:p w14:paraId="7AFDB8FF" w14:textId="77777777" w:rsidR="00A90AA9" w:rsidRPr="00A0159E" w:rsidRDefault="00A90AA9" w:rsidP="00D8265E">
      <w:pPr>
        <w:ind w:left="360"/>
        <w:rPr>
          <w:i/>
        </w:rPr>
      </w:pPr>
      <w:r>
        <w:rPr>
          <w:i/>
        </w:rPr>
        <w:t>Examinateurs</w:t>
      </w:r>
    </w:p>
    <w:p w14:paraId="72AF1189" w14:textId="4155D9F5" w:rsidR="00A90AA9" w:rsidRPr="00A0159E" w:rsidRDefault="00A90AA9" w:rsidP="003E4272">
      <w:pPr>
        <w:pStyle w:val="BodyText"/>
      </w:pPr>
      <w:r>
        <w:t>On indique que le GAM peut inclure un large éventail de variables, dont certaines peuvent ne pas expliquer une grande partie des données. On demande si les modèles peuvent être davantage simplifiés. A-t-on utilisé une méthode en étapes pour éliminer une variable</w:t>
      </w:r>
      <w:r w:rsidR="004B6821">
        <w:t xml:space="preserve"> avant d’</w:t>
      </w:r>
      <w:r>
        <w:t>examiner le critère d</w:t>
      </w:r>
      <w:r w:rsidR="001B2BE1">
        <w:t>’</w:t>
      </w:r>
      <w:r>
        <w:t>information d</w:t>
      </w:r>
      <w:r w:rsidR="001B2BE1">
        <w:t>’</w:t>
      </w:r>
      <w:r>
        <w:t>Akaike (AIC) pour voir si cela faisait une grande différence? On précise que l</w:t>
      </w:r>
      <w:r w:rsidR="001B2BE1">
        <w:t>’</w:t>
      </w:r>
      <w:r>
        <w:t>AIC et l</w:t>
      </w:r>
      <w:r w:rsidR="001B2BE1">
        <w:t>’</w:t>
      </w:r>
      <w:r w:rsidR="004B6821">
        <w:t xml:space="preserve">analyse de la variance </w:t>
      </w:r>
      <w:r>
        <w:t>ont été utilisés pour déterminer les variables d</w:t>
      </w:r>
      <w:r w:rsidR="001B2BE1">
        <w:t>’</w:t>
      </w:r>
      <w:r>
        <w:t>intrant</w:t>
      </w:r>
      <w:r w:rsidR="00F97724">
        <w:t>,</w:t>
      </w:r>
      <w:r>
        <w:t xml:space="preserve"> et que les variables à forte concurvité ont été retirées. Si une variable est retirée et que l</w:t>
      </w:r>
      <w:r w:rsidR="001B2BE1">
        <w:t>’</w:t>
      </w:r>
      <w:r>
        <w:t>AIC ne change pas, la variable est laissée de côté.</w:t>
      </w:r>
    </w:p>
    <w:p w14:paraId="41409B32" w14:textId="304C6430" w:rsidR="00A90AA9" w:rsidRPr="00A0159E" w:rsidRDefault="00A90AA9" w:rsidP="003E4272">
      <w:pPr>
        <w:pStyle w:val="BodyText"/>
      </w:pPr>
      <w:r>
        <w:t>Certaines des caractéristiques des GAM font l</w:t>
      </w:r>
      <w:r w:rsidR="001B2BE1">
        <w:t>’</w:t>
      </w:r>
      <w:r>
        <w:t xml:space="preserve">objet de discussions, </w:t>
      </w:r>
      <w:r w:rsidR="00F97724">
        <w:t>notamment en ce qui concerne</w:t>
      </w:r>
      <w:r>
        <w:t xml:space="preserve"> la capacité à obtenir des ajustements de courbe plus lisses</w:t>
      </w:r>
      <w:r w:rsidR="00C56C44">
        <w:t xml:space="preserve">. </w:t>
      </w:r>
      <w:r>
        <w:t xml:space="preserve">On précise </w:t>
      </w:r>
      <w:r w:rsidR="00F97724">
        <w:t xml:space="preserve">qu’il est possible de </w:t>
      </w:r>
      <w:r>
        <w:t>les restreindre un peu pour voir si les résultats sont plus logiques. Dans cette étude, les auteurs ont commencé à la position par défaut et ont apporté des changements lorsque les résultats n</w:t>
      </w:r>
      <w:r w:rsidR="001B2BE1">
        <w:t>’</w:t>
      </w:r>
      <w:r>
        <w:t>avaient pas de sens</w:t>
      </w:r>
      <w:r w:rsidR="00C56C44">
        <w:t xml:space="preserve">. </w:t>
      </w:r>
      <w:r>
        <w:t>Si une variable est fixe, elle a une incidence sur une autre. Il y a toujours lieu de recourir à un jugement d</w:t>
      </w:r>
      <w:r w:rsidR="001B2BE1">
        <w:t>’</w:t>
      </w:r>
      <w:r>
        <w:t>expert et de ne pas se fier entièrement au modèle</w:t>
      </w:r>
      <w:r w:rsidR="00C56C44">
        <w:t xml:space="preserve">. </w:t>
      </w:r>
    </w:p>
    <w:p w14:paraId="668EB2B1" w14:textId="77777777" w:rsidR="00F7273D" w:rsidRPr="00A0159E" w:rsidRDefault="00F7273D" w:rsidP="00D8265E">
      <w:pPr>
        <w:ind w:left="360"/>
        <w:rPr>
          <w:i/>
        </w:rPr>
      </w:pPr>
      <w:r>
        <w:rPr>
          <w:i/>
        </w:rPr>
        <w:t>Personnel scientifique, gestionnaires de ressources désignés et coprésidentes du CERT</w:t>
      </w:r>
    </w:p>
    <w:p w14:paraId="0B6A0EDD" w14:textId="7DAC5EF9" w:rsidR="00F7273D" w:rsidRPr="00A0159E" w:rsidRDefault="000F2E12" w:rsidP="003E4272">
      <w:pPr>
        <w:pStyle w:val="BodyText"/>
      </w:pPr>
      <w:r>
        <w:t>Le modèle conceptuel présenté montre le manque d</w:t>
      </w:r>
      <w:r w:rsidR="001B2BE1">
        <w:t>’</w:t>
      </w:r>
      <w:r>
        <w:t>information sur le benthos</w:t>
      </w:r>
      <w:r w:rsidR="00C56C44">
        <w:t xml:space="preserve">. </w:t>
      </w:r>
      <w:r>
        <w:t>On demande s</w:t>
      </w:r>
      <w:r w:rsidR="001B2BE1">
        <w:t>’</w:t>
      </w:r>
      <w:r>
        <w:t>il est prévu d</w:t>
      </w:r>
      <w:r w:rsidR="001B2BE1">
        <w:t>’</w:t>
      </w:r>
      <w:r>
        <w:t xml:space="preserve">utiliser des renseignements de substitution, mais, malheureusement, </w:t>
      </w:r>
      <w:r w:rsidR="00360A07">
        <w:t xml:space="preserve">ceux-ci </w:t>
      </w:r>
      <w:r>
        <w:t>ne se présentent pas dans une forme utilisable dans le modèle</w:t>
      </w:r>
      <w:r w:rsidR="00C56C44">
        <w:t xml:space="preserve">. </w:t>
      </w:r>
      <w:r>
        <w:t>L</w:t>
      </w:r>
      <w:r w:rsidR="001B2BE1">
        <w:t>’</w:t>
      </w:r>
      <w:r>
        <w:t>absence de données écosystémiques pose problème.</w:t>
      </w:r>
    </w:p>
    <w:p w14:paraId="7EC8F099" w14:textId="04621F36" w:rsidR="00F7273D" w:rsidRPr="00A0159E" w:rsidRDefault="00F7273D" w:rsidP="003E4272">
      <w:pPr>
        <w:pStyle w:val="BodyText"/>
      </w:pPr>
      <w:r>
        <w:t>Le lissage des classes d</w:t>
      </w:r>
      <w:r w:rsidR="001B2BE1">
        <w:t>’</w:t>
      </w:r>
      <w:r>
        <w:t>âge aux alentours de la classe d</w:t>
      </w:r>
      <w:r w:rsidR="001B2BE1">
        <w:t>’</w:t>
      </w:r>
      <w:r>
        <w:t>âge de l</w:t>
      </w:r>
      <w:r w:rsidR="001B2BE1">
        <w:t>’</w:t>
      </w:r>
      <w:r>
        <w:t>aiglefin</w:t>
      </w:r>
      <w:r w:rsidR="00D80605">
        <w:t> </w:t>
      </w:r>
      <w:r>
        <w:t>2013 est présenté comme un éventuel problème pour le modèle</w:t>
      </w:r>
      <w:r w:rsidR="00C56C44">
        <w:t xml:space="preserve">. </w:t>
      </w:r>
      <w:r>
        <w:t>Ce genre d</w:t>
      </w:r>
      <w:r w:rsidR="001B2BE1">
        <w:t>’</w:t>
      </w:r>
      <w:r>
        <w:t xml:space="preserve">erreur se montrerait dans </w:t>
      </w:r>
      <w:r w:rsidR="000E0130">
        <w:t>la variance résiduelle</w:t>
      </w:r>
      <w:r w:rsidR="00C56C44">
        <w:t xml:space="preserve">. </w:t>
      </w:r>
      <w:r>
        <w:t>Cependant, les échantillons sont tellement nombreux pour la classe d</w:t>
      </w:r>
      <w:r w:rsidR="001B2BE1">
        <w:t>’</w:t>
      </w:r>
      <w:r>
        <w:t>âge forte que cela n</w:t>
      </w:r>
      <w:r w:rsidR="001B2BE1">
        <w:t>’</w:t>
      </w:r>
      <w:r>
        <w:t>est pas considéré comme un problème.</w:t>
      </w:r>
    </w:p>
    <w:p w14:paraId="7DC3263F" w14:textId="43540EEB" w:rsidR="00F7273D" w:rsidRPr="00A0159E" w:rsidRDefault="00F7273D" w:rsidP="003E4272">
      <w:pPr>
        <w:pStyle w:val="BodyText"/>
      </w:pPr>
      <w:r>
        <w:t>On propose que les auteurs envisagent d</w:t>
      </w:r>
      <w:r w:rsidR="001B2BE1">
        <w:t>’</w:t>
      </w:r>
      <w:r>
        <w:t xml:space="preserve">utiliser un </w:t>
      </w:r>
      <w:r w:rsidR="000E0130">
        <w:t xml:space="preserve">paramètre </w:t>
      </w:r>
      <w:r>
        <w:t>d</w:t>
      </w:r>
      <w:r w:rsidR="001B2BE1">
        <w:t>’</w:t>
      </w:r>
      <w:r>
        <w:t>interaction avec l</w:t>
      </w:r>
      <w:r w:rsidR="001B2BE1">
        <w:t>’</w:t>
      </w:r>
      <w:r>
        <w:t>année, car il serait intéressant de voir comment la dépendance à l</w:t>
      </w:r>
      <w:r w:rsidR="001B2BE1">
        <w:t>’</w:t>
      </w:r>
      <w:r>
        <w:t>égard de la densité peut varier dans le temps</w:t>
      </w:r>
      <w:r w:rsidR="00C56C44">
        <w:t xml:space="preserve">. </w:t>
      </w:r>
      <w:r>
        <w:t>Une prévision hors échantillon, par exemple retirer 2011 et faire une estimation, pour voir dans quelle mesure les résultats sont comparables avec et sans ces données, pourrait également être une approche intéressante.</w:t>
      </w:r>
    </w:p>
    <w:p w14:paraId="429F4B14" w14:textId="77777777" w:rsidR="00F7273D" w:rsidRPr="00A0159E" w:rsidRDefault="00F7273D" w:rsidP="00D8265E">
      <w:pPr>
        <w:ind w:left="360"/>
        <w:rPr>
          <w:i/>
        </w:rPr>
      </w:pPr>
      <w:r>
        <w:rPr>
          <w:i/>
        </w:rPr>
        <w:t>Autres participants à la réunion</w:t>
      </w:r>
    </w:p>
    <w:p w14:paraId="74101268" w14:textId="52A5163C" w:rsidR="00F7273D" w:rsidRPr="00A0159E" w:rsidRDefault="00F7273D" w:rsidP="003E4272">
      <w:pPr>
        <w:pStyle w:val="BodyText"/>
      </w:pPr>
      <w:r>
        <w:t>On fait remarquer que les auteurs n</w:t>
      </w:r>
      <w:r w:rsidR="001B2BE1">
        <w:t>’</w:t>
      </w:r>
      <w:r>
        <w:t xml:space="preserve">ont pas utilisé les données du relevé du NMFS pour la longueur </w:t>
      </w:r>
      <w:r w:rsidRPr="00776865">
        <w:t>selon l</w:t>
      </w:r>
      <w:r w:rsidR="001B2BE1" w:rsidRPr="00776865">
        <w:t>’</w:t>
      </w:r>
      <w:r w:rsidRPr="00776865">
        <w:t>âge.</w:t>
      </w:r>
    </w:p>
    <w:p w14:paraId="59C53021" w14:textId="77777777" w:rsidR="007E6C94" w:rsidRDefault="007E6C94">
      <w:pPr>
        <w:spacing w:before="0" w:after="0"/>
        <w:rPr>
          <w:b/>
          <w:caps/>
          <w:sz w:val="24"/>
          <w:szCs w:val="24"/>
          <w:highlight w:val="yellow"/>
        </w:rPr>
      </w:pPr>
      <w:r>
        <w:rPr>
          <w:highlight w:val="yellow"/>
        </w:rPr>
        <w:br w:type="page"/>
      </w:r>
    </w:p>
    <w:p w14:paraId="1E80F989" w14:textId="7CD453A7" w:rsidR="00F7273D" w:rsidRPr="00A0159E" w:rsidRDefault="00956166" w:rsidP="00291412">
      <w:pPr>
        <w:pStyle w:val="Heading2"/>
      </w:pPr>
      <w:bookmarkStart w:id="8" w:name="_Toc44059143"/>
      <w:r w:rsidRPr="007E6C94">
        <w:lastRenderedPageBreak/>
        <w:t>parts allouées</w:t>
      </w:r>
      <w:bookmarkEnd w:id="8"/>
    </w:p>
    <w:p w14:paraId="58D7BD7A" w14:textId="6B1B989A" w:rsidR="00F7273D" w:rsidRPr="00A0159E" w:rsidRDefault="00F7273D" w:rsidP="00782DD0">
      <w:pPr>
        <w:spacing w:before="0" w:after="0"/>
        <w:ind w:left="3240" w:hanging="3240"/>
        <w:rPr>
          <w:color w:val="000000" w:themeColor="text1"/>
          <w:szCs w:val="22"/>
        </w:rPr>
      </w:pPr>
      <w:r>
        <w:rPr>
          <w:color w:val="000000" w:themeColor="text1"/>
        </w:rPr>
        <w:t>Document de travail</w:t>
      </w:r>
      <w:r w:rsidR="00D80605">
        <w:rPr>
          <w:color w:val="000000" w:themeColor="text1"/>
        </w:rPr>
        <w:t> </w:t>
      </w:r>
      <w:r w:rsidRPr="003E4272">
        <w:rPr>
          <w:color w:val="000000" w:themeColor="text1"/>
        </w:rPr>
        <w:t>2019/</w:t>
      </w:r>
      <w:r w:rsidR="003E4272" w:rsidRPr="003E4272">
        <w:rPr>
          <w:color w:val="000000" w:themeColor="text1"/>
        </w:rPr>
        <w:t>03</w:t>
      </w:r>
      <w:r>
        <w:rPr>
          <w:color w:val="000000" w:themeColor="text1"/>
        </w:rPr>
        <w:t xml:space="preserve"> : </w:t>
      </w:r>
      <w:r>
        <w:rPr>
          <w:color w:val="000000" w:themeColor="text1"/>
        </w:rPr>
        <w:tab/>
      </w:r>
      <w:r w:rsidRPr="007E6C94">
        <w:rPr>
          <w:color w:val="000000" w:themeColor="text1"/>
        </w:rPr>
        <w:t>Update of Allocation Shares for Canada and the USA of the Transboundary Resources of Atlantic Cod, Haddock and Yellowtail Flounder on Georges Bank Through Fishing Year 2020 (</w:t>
      </w:r>
      <w:r w:rsidR="00D12184" w:rsidRPr="007E6C94">
        <w:rPr>
          <w:color w:val="000000" w:themeColor="text1"/>
        </w:rPr>
        <w:t>M</w:t>
      </w:r>
      <w:r w:rsidRPr="007E6C94">
        <w:rPr>
          <w:color w:val="000000" w:themeColor="text1"/>
        </w:rPr>
        <w:t>ise à jour des parts allouées au Canada et aux États</w:t>
      </w:r>
      <w:r w:rsidR="00D12184" w:rsidRPr="007E6C94">
        <w:rPr>
          <w:color w:val="000000" w:themeColor="text1"/>
        </w:rPr>
        <w:noBreakHyphen/>
      </w:r>
      <w:r w:rsidRPr="007E6C94">
        <w:rPr>
          <w:color w:val="000000" w:themeColor="text1"/>
        </w:rPr>
        <w:t>Unis des stocks transfrontaliers de morue franche, d</w:t>
      </w:r>
      <w:r w:rsidR="001B2BE1" w:rsidRPr="007E6C94">
        <w:rPr>
          <w:color w:val="000000" w:themeColor="text1"/>
        </w:rPr>
        <w:t>’</w:t>
      </w:r>
      <w:r w:rsidRPr="007E6C94">
        <w:rPr>
          <w:color w:val="000000" w:themeColor="text1"/>
        </w:rPr>
        <w:t xml:space="preserve">aiglefin et de limande à queue jaune du </w:t>
      </w:r>
      <w:r w:rsidR="00E8153D" w:rsidRPr="007E6C94">
        <w:rPr>
          <w:color w:val="000000" w:themeColor="text1"/>
        </w:rPr>
        <w:t>banc Georges</w:t>
      </w:r>
      <w:r w:rsidRPr="007E6C94">
        <w:rPr>
          <w:color w:val="000000" w:themeColor="text1"/>
        </w:rPr>
        <w:t xml:space="preserve"> pour l</w:t>
      </w:r>
      <w:r w:rsidR="001B2BE1" w:rsidRPr="007E6C94">
        <w:rPr>
          <w:color w:val="000000" w:themeColor="text1"/>
        </w:rPr>
        <w:t>’</w:t>
      </w:r>
      <w:r w:rsidRPr="007E6C94">
        <w:rPr>
          <w:color w:val="000000" w:themeColor="text1"/>
        </w:rPr>
        <w:t>année de pêche</w:t>
      </w:r>
      <w:r w:rsidR="00D80605" w:rsidRPr="007E6C94">
        <w:rPr>
          <w:color w:val="000000" w:themeColor="text1"/>
        </w:rPr>
        <w:t> </w:t>
      </w:r>
      <w:r w:rsidRPr="007E6C94">
        <w:rPr>
          <w:color w:val="000000" w:themeColor="text1"/>
        </w:rPr>
        <w:t>2020)</w:t>
      </w:r>
    </w:p>
    <w:p w14:paraId="678CDD84" w14:textId="37119AC5" w:rsidR="00F7273D" w:rsidRPr="00A0159E" w:rsidRDefault="00782DD0" w:rsidP="001B2BE1">
      <w:pPr>
        <w:pStyle w:val="Default"/>
        <w:tabs>
          <w:tab w:val="left" w:pos="3240"/>
        </w:tabs>
        <w:rPr>
          <w:color w:val="000000" w:themeColor="text1"/>
          <w:sz w:val="22"/>
          <w:szCs w:val="22"/>
        </w:rPr>
      </w:pPr>
      <w:r>
        <w:rPr>
          <w:color w:val="000000" w:themeColor="text1"/>
          <w:sz w:val="22"/>
          <w:szCs w:val="22"/>
        </w:rPr>
        <w:t xml:space="preserve">Responsables scientifiques </w:t>
      </w:r>
      <w:r w:rsidR="001B2BE1">
        <w:rPr>
          <w:color w:val="000000" w:themeColor="text1"/>
          <w:sz w:val="22"/>
          <w:szCs w:val="22"/>
        </w:rPr>
        <w:br/>
      </w:r>
      <w:r>
        <w:rPr>
          <w:color w:val="000000" w:themeColor="text1"/>
          <w:sz w:val="22"/>
          <w:szCs w:val="22"/>
        </w:rPr>
        <w:t>(document de travail) :</w:t>
      </w:r>
      <w:r>
        <w:rPr>
          <w:color w:val="000000" w:themeColor="text1"/>
          <w:sz w:val="22"/>
          <w:szCs w:val="22"/>
        </w:rPr>
        <w:tab/>
        <w:t>M.A.</w:t>
      </w:r>
      <w:r w:rsidR="00D12184">
        <w:rPr>
          <w:color w:val="000000" w:themeColor="text1"/>
          <w:sz w:val="22"/>
          <w:szCs w:val="22"/>
        </w:rPr>
        <w:t> </w:t>
      </w:r>
      <w:r>
        <w:rPr>
          <w:color w:val="000000" w:themeColor="text1"/>
          <w:sz w:val="22"/>
          <w:szCs w:val="22"/>
        </w:rPr>
        <w:t>Barrett et E.N.</w:t>
      </w:r>
      <w:r w:rsidR="00D12184">
        <w:rPr>
          <w:color w:val="000000" w:themeColor="text1"/>
          <w:sz w:val="22"/>
          <w:szCs w:val="22"/>
        </w:rPr>
        <w:t> </w:t>
      </w:r>
      <w:r>
        <w:rPr>
          <w:color w:val="000000" w:themeColor="text1"/>
          <w:sz w:val="22"/>
          <w:szCs w:val="22"/>
        </w:rPr>
        <w:t>Brooks</w:t>
      </w:r>
    </w:p>
    <w:p w14:paraId="221AF5E2" w14:textId="396B37DB" w:rsidR="00F7273D" w:rsidRPr="00A0159E" w:rsidRDefault="00F7273D" w:rsidP="00782DD0">
      <w:pPr>
        <w:spacing w:before="0" w:after="0"/>
        <w:ind w:left="3240" w:hanging="3240"/>
        <w:rPr>
          <w:color w:val="000000" w:themeColor="text1"/>
        </w:rPr>
      </w:pPr>
      <w:r>
        <w:rPr>
          <w:color w:val="000000" w:themeColor="text1"/>
        </w:rPr>
        <w:t>Présentateur</w:t>
      </w:r>
      <w:r w:rsidR="001C5656">
        <w:rPr>
          <w:color w:val="000000" w:themeColor="text1"/>
        </w:rPr>
        <w:t> </w:t>
      </w:r>
      <w:r>
        <w:rPr>
          <w:color w:val="000000" w:themeColor="text1"/>
        </w:rPr>
        <w:t xml:space="preserve">: </w:t>
      </w:r>
      <w:r>
        <w:rPr>
          <w:color w:val="000000" w:themeColor="text1"/>
        </w:rPr>
        <w:tab/>
        <w:t>M.A.</w:t>
      </w:r>
      <w:r w:rsidR="00D12184">
        <w:rPr>
          <w:color w:val="000000" w:themeColor="text1"/>
        </w:rPr>
        <w:t> </w:t>
      </w:r>
      <w:r>
        <w:rPr>
          <w:color w:val="000000" w:themeColor="text1"/>
        </w:rPr>
        <w:t>Barrett</w:t>
      </w:r>
    </w:p>
    <w:p w14:paraId="7F57AC46" w14:textId="06FE32D1" w:rsidR="00F7273D" w:rsidRPr="00A0159E" w:rsidRDefault="00F7273D" w:rsidP="00782DD0">
      <w:pPr>
        <w:spacing w:before="0" w:after="0"/>
        <w:ind w:left="3240" w:hanging="3240"/>
        <w:rPr>
          <w:color w:val="000000" w:themeColor="text1"/>
        </w:rPr>
      </w:pPr>
      <w:r>
        <w:rPr>
          <w:color w:val="000000" w:themeColor="text1"/>
        </w:rPr>
        <w:t xml:space="preserve">Rapporteurs : </w:t>
      </w:r>
      <w:r>
        <w:rPr>
          <w:color w:val="000000" w:themeColor="text1"/>
        </w:rPr>
        <w:tab/>
        <w:t>Q.</w:t>
      </w:r>
      <w:r w:rsidR="00D12184">
        <w:rPr>
          <w:color w:val="000000" w:themeColor="text1"/>
        </w:rPr>
        <w:t> </w:t>
      </w:r>
      <w:r>
        <w:rPr>
          <w:color w:val="000000" w:themeColor="text1"/>
        </w:rPr>
        <w:t>McCurdy et K.</w:t>
      </w:r>
      <w:r w:rsidR="00D12184">
        <w:rPr>
          <w:color w:val="000000" w:themeColor="text1"/>
        </w:rPr>
        <w:t> </w:t>
      </w:r>
      <w:r>
        <w:rPr>
          <w:color w:val="000000" w:themeColor="text1"/>
        </w:rPr>
        <w:t>Clark</w:t>
      </w:r>
    </w:p>
    <w:p w14:paraId="7991C7A5" w14:textId="77777777" w:rsidR="00F7273D" w:rsidRPr="00A0159E" w:rsidRDefault="00F7273D" w:rsidP="003E4272">
      <w:pPr>
        <w:pStyle w:val="Heading4"/>
      </w:pPr>
      <w:r>
        <w:t>Points saillants de la présentation</w:t>
      </w:r>
    </w:p>
    <w:p w14:paraId="68A50DE8" w14:textId="7DAB2B90" w:rsidR="006149A8" w:rsidRPr="00A0159E" w:rsidRDefault="006149A8" w:rsidP="003E4272">
      <w:pPr>
        <w:pStyle w:val="BodyText"/>
      </w:pPr>
      <w:r>
        <w:t>Le Canada et les États-Unis étant soucieux de gérer de manière cohérente les stocks transfrontaliers de morue franche, d</w:t>
      </w:r>
      <w:r w:rsidR="001B2BE1">
        <w:t>’</w:t>
      </w:r>
      <w:r>
        <w:t xml:space="preserve">aiglefin et de limande à queue jaune du </w:t>
      </w:r>
      <w:r w:rsidR="00E8153D">
        <w:t>banc Georges</w:t>
      </w:r>
      <w:r>
        <w:t>, l</w:t>
      </w:r>
      <w:r w:rsidR="00514DA1">
        <w:t xml:space="preserve">e </w:t>
      </w:r>
      <w:r>
        <w:t>C</w:t>
      </w:r>
      <w:r w:rsidR="00514DA1">
        <w:t>O</w:t>
      </w:r>
      <w:r>
        <w:t>GST a conclu une entente de partage de la ressource. Pour la morue franche et l</w:t>
      </w:r>
      <w:r w:rsidR="001B2BE1">
        <w:t>’</w:t>
      </w:r>
      <w:r>
        <w:t>aiglefin, l</w:t>
      </w:r>
      <w:r w:rsidR="001B2BE1">
        <w:t>’</w:t>
      </w:r>
      <w:r>
        <w:t>entente est limitée à la zone de gestion de l</w:t>
      </w:r>
      <w:r w:rsidR="001B2BE1">
        <w:t>’</w:t>
      </w:r>
      <w:r>
        <w:t xml:space="preserve">est du </w:t>
      </w:r>
      <w:r w:rsidR="00E8153D">
        <w:t>banc Georges</w:t>
      </w:r>
      <w:r>
        <w:t xml:space="preserve">, tandis que la zone de gestion de la limande à queue jaune englobe tout le </w:t>
      </w:r>
      <w:r w:rsidR="00E8153D">
        <w:t>banc Georges</w:t>
      </w:r>
      <w:r>
        <w:t xml:space="preserve"> à l</w:t>
      </w:r>
      <w:r w:rsidR="001B2BE1">
        <w:t>’</w:t>
      </w:r>
      <w:r>
        <w:t>est du Grand chenal Sud</w:t>
      </w:r>
      <w:r w:rsidR="00C56C44">
        <w:t xml:space="preserve">. </w:t>
      </w:r>
      <w:r>
        <w:t>La formule de calcul des parts comprend : 1)</w:t>
      </w:r>
      <w:r w:rsidR="00514DA1">
        <w:t> </w:t>
      </w:r>
      <w:r>
        <w:t>l</w:t>
      </w:r>
      <w:r w:rsidR="001B2BE1">
        <w:t>’</w:t>
      </w:r>
      <w:r>
        <w:t>utilisation historique de la ressource, d</w:t>
      </w:r>
      <w:r w:rsidR="001B2BE1">
        <w:t>’</w:t>
      </w:r>
      <w:r>
        <w:t>après les débarquements déclarés de 1967 à 1994</w:t>
      </w:r>
      <w:r w:rsidR="00514DA1">
        <w:t>;</w:t>
      </w:r>
      <w:r>
        <w:t xml:space="preserve"> 2)</w:t>
      </w:r>
      <w:r w:rsidR="00514DA1">
        <w:t> </w:t>
      </w:r>
      <w:r>
        <w:t>les changements spatiotemporels dans la répartition de la ressource, d</w:t>
      </w:r>
      <w:r w:rsidR="001B2BE1">
        <w:t>’</w:t>
      </w:r>
      <w:r>
        <w:t>après les résultats des relevés du MPO et du NMFS des États</w:t>
      </w:r>
      <w:r w:rsidR="00514DA1">
        <w:noBreakHyphen/>
      </w:r>
      <w:r>
        <w:t>Unis, qui sont mis à jour chaque année. Depuis 2010, l</w:t>
      </w:r>
      <w:r w:rsidR="001B2BE1">
        <w:t>’</w:t>
      </w:r>
      <w:r>
        <w:t>utilisation de la ressource compte pour 10 %</w:t>
      </w:r>
      <w:r w:rsidR="00514DA1" w:rsidRPr="00514DA1">
        <w:t xml:space="preserve"> dans le calcul des parts</w:t>
      </w:r>
      <w:r>
        <w:t xml:space="preserve"> et la répartition</w:t>
      </w:r>
      <w:r w:rsidR="00514DA1">
        <w:t>,</w:t>
      </w:r>
      <w:r>
        <w:t xml:space="preserve"> pour 90 %. Les résultats des relevés du MPO et du NMFS de 2018 ont servi à actualiser le calcul des parts pour l</w:t>
      </w:r>
      <w:r w:rsidR="001B2BE1">
        <w:t>’</w:t>
      </w:r>
      <w:r>
        <w:t>année de pêche</w:t>
      </w:r>
      <w:r w:rsidR="00D80605">
        <w:t> </w:t>
      </w:r>
      <w:r>
        <w:t>2020.</w:t>
      </w:r>
    </w:p>
    <w:p w14:paraId="1F137EFC" w14:textId="2E68E111" w:rsidR="00CE7040" w:rsidRPr="00A0159E" w:rsidRDefault="006149A8" w:rsidP="003E4272">
      <w:pPr>
        <w:pStyle w:val="BodyText"/>
      </w:pPr>
      <w:r>
        <w:t>En 2018, la ressource était répartie</w:t>
      </w:r>
      <w:r w:rsidR="002622AD">
        <w:t xml:space="preserve"> comme suit :</w:t>
      </w:r>
      <w:r>
        <w:t xml:space="preserve"> 28 % pour les États-Unis et 72 % pour le Canada </w:t>
      </w:r>
      <w:r w:rsidR="002622AD">
        <w:t xml:space="preserve">en ce qui concerne </w:t>
      </w:r>
      <w:r>
        <w:t>la morue franche</w:t>
      </w:r>
      <w:r w:rsidR="002622AD">
        <w:t xml:space="preserve">; </w:t>
      </w:r>
      <w:r>
        <w:t xml:space="preserve">55 % pour les États-Unis et 45 % pour le Canada </w:t>
      </w:r>
      <w:r w:rsidR="002622AD">
        <w:t xml:space="preserve">en ce qui concerne </w:t>
      </w:r>
      <w:r>
        <w:t>l</w:t>
      </w:r>
      <w:r w:rsidR="001B2BE1">
        <w:t>’</w:t>
      </w:r>
      <w:r>
        <w:t>aiglefin</w:t>
      </w:r>
      <w:r w:rsidR="002622AD">
        <w:t xml:space="preserve">; </w:t>
      </w:r>
      <w:r>
        <w:t xml:space="preserve">71 % pour les États-Unis et 29 % pour le Canada </w:t>
      </w:r>
      <w:r w:rsidR="002622AD">
        <w:t xml:space="preserve">en ce qui concerne </w:t>
      </w:r>
      <w:r>
        <w:t>la limande à queue jaune. Les parts pour l</w:t>
      </w:r>
      <w:r w:rsidR="001B2BE1">
        <w:t>’</w:t>
      </w:r>
      <w:r>
        <w:t>année de pêche</w:t>
      </w:r>
      <w:r w:rsidR="00D80605">
        <w:t> </w:t>
      </w:r>
      <w:r>
        <w:t>2020 (année civile pour le Canada et période du 1</w:t>
      </w:r>
      <w:r>
        <w:rPr>
          <w:vertAlign w:val="superscript"/>
        </w:rPr>
        <w:t>er</w:t>
      </w:r>
      <w:r>
        <w:t> mai 2020 au 30</w:t>
      </w:r>
      <w:r w:rsidR="002622AD">
        <w:t> </w:t>
      </w:r>
      <w:r>
        <w:t>avril</w:t>
      </w:r>
      <w:r w:rsidR="002622AD">
        <w:t> </w:t>
      </w:r>
      <w:r>
        <w:t>2021 pour les États-Unis), actualisées compte tenu de la répartition de la ressource en 2018, sont</w:t>
      </w:r>
      <w:r w:rsidR="001C5656">
        <w:t> </w:t>
      </w:r>
      <w:r>
        <w:t xml:space="preserve">: 29 % pour les États-Unis et 71 % pour le Canada </w:t>
      </w:r>
      <w:r w:rsidR="002622AD">
        <w:t xml:space="preserve">en ce qui concerne </w:t>
      </w:r>
      <w:r>
        <w:t xml:space="preserve">la morue franche; 54 % pour les États-Unis et 46 % pour le Canada </w:t>
      </w:r>
      <w:r w:rsidR="002622AD">
        <w:t xml:space="preserve">en ce qui concerne </w:t>
      </w:r>
      <w:r>
        <w:t>l</w:t>
      </w:r>
      <w:r w:rsidR="001B2BE1">
        <w:t>’</w:t>
      </w:r>
      <w:r>
        <w:t xml:space="preserve">aiglefin; 74 % pour les États-Unis et 26 % pour le Canada </w:t>
      </w:r>
      <w:r w:rsidR="002622AD">
        <w:t xml:space="preserve">en ce qui concerne </w:t>
      </w:r>
      <w:r>
        <w:t>la limande à queue jaune.</w:t>
      </w:r>
    </w:p>
    <w:p w14:paraId="49FB4D22" w14:textId="77777777" w:rsidR="006149A8" w:rsidRPr="00A0159E" w:rsidRDefault="006149A8" w:rsidP="00D8265E">
      <w:pPr>
        <w:ind w:left="360"/>
        <w:rPr>
          <w:i/>
        </w:rPr>
      </w:pPr>
      <w:r>
        <w:rPr>
          <w:i/>
        </w:rPr>
        <w:t>Examinateurs</w:t>
      </w:r>
    </w:p>
    <w:p w14:paraId="48CAE50C" w14:textId="459B45DD" w:rsidR="006149A8" w:rsidRPr="00A0159E" w:rsidRDefault="006149A8" w:rsidP="003E4272">
      <w:pPr>
        <w:pStyle w:val="BodyText"/>
        <w:rPr>
          <w:rFonts w:cs="Arial"/>
        </w:rPr>
      </w:pPr>
      <w:r>
        <w:t>Les examinateurs n</w:t>
      </w:r>
      <w:r w:rsidR="001B2BE1">
        <w:t>’</w:t>
      </w:r>
      <w:r>
        <w:t>ont ni commentaire ni question.</w:t>
      </w:r>
    </w:p>
    <w:p w14:paraId="2AC1D314" w14:textId="77777777" w:rsidR="006149A8" w:rsidRPr="00A0159E" w:rsidRDefault="006149A8" w:rsidP="00D8265E">
      <w:pPr>
        <w:ind w:left="360"/>
        <w:rPr>
          <w:i/>
        </w:rPr>
      </w:pPr>
      <w:r>
        <w:rPr>
          <w:i/>
        </w:rPr>
        <w:t>Personnel scientifique, gestionnaires de ressources désignés et coprésidentes du CERT</w:t>
      </w:r>
    </w:p>
    <w:p w14:paraId="68CB784F" w14:textId="73158F14" w:rsidR="006149A8" w:rsidRPr="00A0159E" w:rsidRDefault="006149A8" w:rsidP="003E4272">
      <w:pPr>
        <w:pStyle w:val="BodyText"/>
        <w:rPr>
          <w:rFonts w:cs="Arial"/>
        </w:rPr>
      </w:pPr>
      <w:r>
        <w:t>À la réunion du CERT de l</w:t>
      </w:r>
      <w:r w:rsidR="001B2BE1">
        <w:t>’</w:t>
      </w:r>
      <w:r>
        <w:t>an dernier, on a fait remarquer qu</w:t>
      </w:r>
      <w:r w:rsidR="001B2BE1">
        <w:t>’</w:t>
      </w:r>
      <w:r>
        <w:t>il y avait certaines strates sans données du côté américain et que l</w:t>
      </w:r>
      <w:r w:rsidR="001B2BE1">
        <w:t>’</w:t>
      </w:r>
      <w:r>
        <w:t>on supposait qu</w:t>
      </w:r>
      <w:r w:rsidR="001B2BE1">
        <w:t>’</w:t>
      </w:r>
      <w:r>
        <w:t>il s</w:t>
      </w:r>
      <w:r w:rsidR="001B2BE1">
        <w:t>’</w:t>
      </w:r>
      <w:r>
        <w:t>agissait de zéros. Ce ne fut pas le cas en 2018, et les responsables des relevés des deux côtés de la frontière en ont discuté pour s</w:t>
      </w:r>
      <w:r w:rsidR="001B2BE1">
        <w:t>’</w:t>
      </w:r>
      <w:r>
        <w:t>assurer que cette situation ne se reproduise pas.</w:t>
      </w:r>
    </w:p>
    <w:p w14:paraId="60D36AEE" w14:textId="77777777" w:rsidR="006149A8" w:rsidRPr="00A0159E" w:rsidRDefault="006149A8" w:rsidP="00D8265E">
      <w:pPr>
        <w:ind w:left="360"/>
        <w:rPr>
          <w:i/>
        </w:rPr>
      </w:pPr>
      <w:r>
        <w:rPr>
          <w:i/>
        </w:rPr>
        <w:t>Autres participants à la réunion</w:t>
      </w:r>
    </w:p>
    <w:p w14:paraId="29BA0C72" w14:textId="5CDC7FC1" w:rsidR="00AF1070" w:rsidRDefault="00D37029" w:rsidP="003E4272">
      <w:pPr>
        <w:pStyle w:val="BodyText"/>
      </w:pPr>
      <w:r>
        <w:t>Il n</w:t>
      </w:r>
      <w:r w:rsidR="001B2BE1">
        <w:t>’</w:t>
      </w:r>
      <w:r>
        <w:t xml:space="preserve">y a aucun commentaire ni aucune </w:t>
      </w:r>
      <w:r w:rsidRPr="00B43496">
        <w:t>question</w:t>
      </w:r>
      <w:r>
        <w:t>.</w:t>
      </w:r>
    </w:p>
    <w:p w14:paraId="121DF804" w14:textId="77777777" w:rsidR="00AF1070" w:rsidRDefault="00AF1070">
      <w:pPr>
        <w:spacing w:before="0" w:after="0"/>
        <w:rPr>
          <w:rFonts w:eastAsiaTheme="minorHAnsi" w:cstheme="minorBidi"/>
          <w:color w:val="000000" w:themeColor="text1"/>
          <w:szCs w:val="22"/>
        </w:rPr>
      </w:pPr>
      <w:r>
        <w:rPr>
          <w:color w:val="000000" w:themeColor="text1"/>
        </w:rPr>
        <w:br w:type="page"/>
      </w:r>
    </w:p>
    <w:p w14:paraId="1D352D5C" w14:textId="4B46938F" w:rsidR="00C63094" w:rsidRPr="00A0159E" w:rsidRDefault="00C63094" w:rsidP="00C63094">
      <w:pPr>
        <w:pStyle w:val="Heading2"/>
      </w:pPr>
      <w:bookmarkStart w:id="9" w:name="_Toc44059144"/>
      <w:r w:rsidRPr="007E6C94">
        <w:lastRenderedPageBreak/>
        <w:t>TRAVAUX À FAIRE EN PRÉVISION DE L</w:t>
      </w:r>
      <w:r w:rsidR="001B2BE1" w:rsidRPr="007E6C94">
        <w:t>’</w:t>
      </w:r>
      <w:r w:rsidRPr="007E6C94">
        <w:t>ÉVALUATION DE L</w:t>
      </w:r>
      <w:r w:rsidR="001B2BE1" w:rsidRPr="007E6C94">
        <w:t>’</w:t>
      </w:r>
      <w:r w:rsidRPr="007E6C94">
        <w:t>AIGLEFIN DE L</w:t>
      </w:r>
      <w:r w:rsidR="001B2BE1" w:rsidRPr="007E6C94">
        <w:t>’</w:t>
      </w:r>
      <w:r w:rsidRPr="007E6C94">
        <w:t>EST DU BANC DE GEORGES</w:t>
      </w:r>
      <w:bookmarkEnd w:id="9"/>
    </w:p>
    <w:p w14:paraId="768B435D" w14:textId="1DDA51FE" w:rsidR="00A95C58" w:rsidRPr="00A0159E" w:rsidRDefault="00C63094" w:rsidP="003E4272">
      <w:pPr>
        <w:pStyle w:val="Heading4"/>
      </w:pPr>
      <w:r>
        <w:t>Points saillants de la présentation</w:t>
      </w:r>
    </w:p>
    <w:p w14:paraId="57A433BB" w14:textId="3BAAD289" w:rsidR="00A95C58" w:rsidRPr="00A0159E" w:rsidRDefault="006A0147" w:rsidP="003E4272">
      <w:pPr>
        <w:pStyle w:val="BodyText"/>
      </w:pPr>
      <w:r>
        <w:t>Les responsables de l</w:t>
      </w:r>
      <w:r w:rsidR="001B2BE1">
        <w:t>’</w:t>
      </w:r>
      <w:r>
        <w:t xml:space="preserve">évaluation présentent des </w:t>
      </w:r>
      <w:r w:rsidR="00B213E8">
        <w:t xml:space="preserve">données </w:t>
      </w:r>
      <w:r>
        <w:t xml:space="preserve">montrant les indices des trois relevés sans aucun ajustement pour </w:t>
      </w:r>
      <w:r w:rsidR="00F93B6A">
        <w:t>le potentiel de capture</w:t>
      </w:r>
      <w:r>
        <w:t>. Les relevés sont présentés un par un, puis une moyenne est établie</w:t>
      </w:r>
      <w:r w:rsidR="00C56C44">
        <w:t xml:space="preserve">. </w:t>
      </w:r>
      <w:r>
        <w:t>Il est indiqué que les trois relevés sont supérieurs à la moyenne pour les dernières années visées. Ils sont également présentés dans une forme ajustée selon la moyenne afin de pouvoir être comparés aux résultats de l</w:t>
      </w:r>
      <w:r w:rsidR="001B2BE1">
        <w:t>’</w:t>
      </w:r>
      <w:r>
        <w:t>APV</w:t>
      </w:r>
      <w:r w:rsidR="00C56C44">
        <w:t xml:space="preserve">. </w:t>
      </w:r>
      <w:r>
        <w:t>Les fréquences des longueurs de l</w:t>
      </w:r>
      <w:r w:rsidR="001B2BE1">
        <w:t>’</w:t>
      </w:r>
      <w:r>
        <w:t>aiglefin pris dans chacun des relevés sont indiquées pour 2010, 2018 et 2019, démontrant que la classe d</w:t>
      </w:r>
      <w:r w:rsidR="001B2BE1">
        <w:t>’</w:t>
      </w:r>
      <w:r>
        <w:t>âge</w:t>
      </w:r>
      <w:r w:rsidR="00D80605">
        <w:t> </w:t>
      </w:r>
      <w:r>
        <w:t>2013 est plus petite selon l</w:t>
      </w:r>
      <w:r w:rsidR="001B2BE1">
        <w:t>’</w:t>
      </w:r>
      <w:r>
        <w:t>âge que ne l</w:t>
      </w:r>
      <w:r w:rsidR="001B2BE1">
        <w:t>’</w:t>
      </w:r>
      <w:r>
        <w:t>était la classe d</w:t>
      </w:r>
      <w:r w:rsidR="001B2BE1">
        <w:t>’</w:t>
      </w:r>
      <w:r>
        <w:t>âge</w:t>
      </w:r>
      <w:r w:rsidR="00D80605">
        <w:t> </w:t>
      </w:r>
      <w:r>
        <w:t>2003</w:t>
      </w:r>
      <w:r w:rsidR="00C56C44">
        <w:t xml:space="preserve">. </w:t>
      </w:r>
      <w:r>
        <w:t>Les relevés de l</w:t>
      </w:r>
      <w:r w:rsidR="001B2BE1">
        <w:t>’</w:t>
      </w:r>
      <w:r>
        <w:t>automne</w:t>
      </w:r>
      <w:r w:rsidR="00D80605">
        <w:t> </w:t>
      </w:r>
      <w:r>
        <w:t>2018 et 2019 du NMFS montrent les signes d</w:t>
      </w:r>
      <w:r w:rsidR="001B2BE1">
        <w:t>’</w:t>
      </w:r>
      <w:r>
        <w:t xml:space="preserve">un deuxième </w:t>
      </w:r>
      <w:r w:rsidR="00822331">
        <w:t xml:space="preserve">mode </w:t>
      </w:r>
      <w:r>
        <w:t>à une petite taille</w:t>
      </w:r>
      <w:r w:rsidR="00C56C44">
        <w:t xml:space="preserve">. </w:t>
      </w:r>
      <w:r>
        <w:t>La tendance de la valeur F relative sans modèle (prise totale divisée par la moyenne des trois relevés) est également présentée</w:t>
      </w:r>
      <w:r w:rsidR="00C56C44">
        <w:t xml:space="preserve">. </w:t>
      </w:r>
      <w:r>
        <w:t>Elle a baissé ces dernières années</w:t>
      </w:r>
      <w:r w:rsidR="00C56C44">
        <w:t xml:space="preserve">. </w:t>
      </w:r>
      <w:r>
        <w:t>Enfin, une ébauche de l</w:t>
      </w:r>
      <w:r w:rsidR="001B2BE1">
        <w:t>’</w:t>
      </w:r>
      <w:r>
        <w:t>avis proposé sur les prises est montrée, ainsi qu</w:t>
      </w:r>
      <w:r w:rsidR="001B2BE1">
        <w:t>’</w:t>
      </w:r>
      <w:r>
        <w:t>un tableau indiquant les caractéristiques positives et négatives du stock d</w:t>
      </w:r>
      <w:r w:rsidR="001B2BE1">
        <w:t>’</w:t>
      </w:r>
      <w:r>
        <w:t>aiglefin de l</w:t>
      </w:r>
      <w:r w:rsidR="001B2BE1">
        <w:t>’</w:t>
      </w:r>
      <w:r>
        <w:t xml:space="preserve">est du </w:t>
      </w:r>
      <w:r w:rsidR="00E8153D">
        <w:t>banc Georges</w:t>
      </w:r>
      <w:r w:rsidR="00C56C44">
        <w:t xml:space="preserve">. </w:t>
      </w:r>
      <w:r>
        <w:t>Il est proposé d</w:t>
      </w:r>
      <w:r w:rsidR="001B2BE1">
        <w:t>’</w:t>
      </w:r>
      <w:r>
        <w:t>inclure à la fois le projet d</w:t>
      </w:r>
      <w:r w:rsidR="001B2BE1">
        <w:t>’</w:t>
      </w:r>
      <w:r>
        <w:t>avis et le tableau dans le rapport scientifique du CERT sur l</w:t>
      </w:r>
      <w:r w:rsidR="001B2BE1">
        <w:t>’</w:t>
      </w:r>
      <w:r>
        <w:t xml:space="preserve">aiglefin. </w:t>
      </w:r>
    </w:p>
    <w:p w14:paraId="51616AF8" w14:textId="77777777" w:rsidR="00A95C58" w:rsidRPr="00A0159E" w:rsidRDefault="00A95C58" w:rsidP="003E4272">
      <w:pPr>
        <w:pStyle w:val="Heading4"/>
      </w:pPr>
      <w:r>
        <w:t>Discussion</w:t>
      </w:r>
    </w:p>
    <w:p w14:paraId="2151845D" w14:textId="77777777" w:rsidR="00E8088F" w:rsidRPr="00A0159E" w:rsidRDefault="00E8088F" w:rsidP="006547CF">
      <w:pPr>
        <w:ind w:left="360"/>
        <w:rPr>
          <w:i/>
        </w:rPr>
      </w:pPr>
      <w:r>
        <w:rPr>
          <w:i/>
        </w:rPr>
        <w:t>Examinateurs</w:t>
      </w:r>
    </w:p>
    <w:p w14:paraId="4F4F9636" w14:textId="235BB893" w:rsidR="005F5565" w:rsidRPr="00A0159E" w:rsidRDefault="00E8088F" w:rsidP="003E4272">
      <w:pPr>
        <w:pStyle w:val="BodyText"/>
      </w:pPr>
      <w:r>
        <w:t>L</w:t>
      </w:r>
      <w:r w:rsidR="001B2BE1">
        <w:t>’</w:t>
      </w:r>
      <w:r>
        <w:t>intégration du relevé de l</w:t>
      </w:r>
      <w:r w:rsidR="001B2BE1">
        <w:t>’</w:t>
      </w:r>
      <w:r>
        <w:t>automne du NMFS dans le calcul de la valeur F relative suscite des préoccupations, car ce relevé est considéré seulement comme un bon indice jusqu</w:t>
      </w:r>
      <w:r w:rsidR="001B2BE1">
        <w:t>’</w:t>
      </w:r>
      <w:r>
        <w:t>à l</w:t>
      </w:r>
      <w:r w:rsidR="001B2BE1">
        <w:t>’</w:t>
      </w:r>
      <w:r>
        <w:t>âge 5 et, par conséquent, n</w:t>
      </w:r>
      <w:r w:rsidR="001B2BE1">
        <w:t>’</w:t>
      </w:r>
      <w:r>
        <w:t>inclut pas la classe d</w:t>
      </w:r>
      <w:r w:rsidR="001B2BE1">
        <w:t>’</w:t>
      </w:r>
      <w:r>
        <w:t>âge</w:t>
      </w:r>
      <w:r w:rsidR="00D80605">
        <w:t> </w:t>
      </w:r>
      <w:r>
        <w:t>2013 en 2019</w:t>
      </w:r>
      <w:r w:rsidR="00C56C44">
        <w:t xml:space="preserve">. </w:t>
      </w:r>
      <w:r>
        <w:t>On reconnaît que la valeur F relative devrait être calculée pour chaque relevé, puis que la moyenne des trois chiffres devrait être établie</w:t>
      </w:r>
      <w:r w:rsidR="00C56C44">
        <w:t xml:space="preserve">. </w:t>
      </w:r>
      <w:r>
        <w:t>S</w:t>
      </w:r>
      <w:r w:rsidR="001B2BE1">
        <w:t>’</w:t>
      </w:r>
      <w:r>
        <w:t>il y a très peu de différence entre la valeur F relative calculée compte tenu ou compte non tenu du relevé de l</w:t>
      </w:r>
      <w:r w:rsidR="001B2BE1">
        <w:t>’</w:t>
      </w:r>
      <w:r>
        <w:t>automne, alors elle devrait être incluse par souci de cohérence</w:t>
      </w:r>
      <w:r w:rsidR="00C56C44">
        <w:t xml:space="preserve">. </w:t>
      </w:r>
      <w:r>
        <w:t>Il est par ailleurs convenu que, puisque le relevé du MPO n</w:t>
      </w:r>
      <w:r w:rsidR="001B2BE1">
        <w:t>’</w:t>
      </w:r>
      <w:r>
        <w:t>a pas commencé avant le milieu des années 1980, toute série chronologique utilisant des moyennes de relevés (y compris le calcul de la valeur F relative) devrait commencer en 1987, de sorte que les trois relevés soient inclus.</w:t>
      </w:r>
    </w:p>
    <w:p w14:paraId="3B4278D3" w14:textId="40476534" w:rsidR="005F5565" w:rsidRPr="00A0159E" w:rsidRDefault="005F5565" w:rsidP="003E4272">
      <w:pPr>
        <w:pStyle w:val="BodyText"/>
      </w:pPr>
      <w:r w:rsidRPr="00077C5A">
        <w:t>Une discussion</w:t>
      </w:r>
      <w:r>
        <w:t xml:space="preserve"> est tenue sur l</w:t>
      </w:r>
      <w:r w:rsidR="001B2BE1">
        <w:t>’</w:t>
      </w:r>
      <w:r>
        <w:t>âge à la maturité du stock</w:t>
      </w:r>
      <w:r w:rsidR="00C56C44">
        <w:t xml:space="preserve">. </w:t>
      </w:r>
      <w:r>
        <w:t xml:space="preserve">La courbe pour tout le </w:t>
      </w:r>
      <w:r w:rsidR="00E8153D">
        <w:t>banc Georges</w:t>
      </w:r>
      <w:r>
        <w:t xml:space="preserve"> est utilisée et l</w:t>
      </w:r>
      <w:r w:rsidR="001B2BE1">
        <w:t>’</w:t>
      </w:r>
      <w:r>
        <w:t>âge à la maturité est considéré comme 3+</w:t>
      </w:r>
      <w:r w:rsidR="00C56C44">
        <w:t xml:space="preserve">. </w:t>
      </w:r>
      <w:r>
        <w:t>Ainsi, la classe d</w:t>
      </w:r>
      <w:r w:rsidR="001B2BE1">
        <w:t>’</w:t>
      </w:r>
      <w:r>
        <w:t>âge</w:t>
      </w:r>
      <w:r w:rsidR="00D80605">
        <w:t> </w:t>
      </w:r>
      <w:r>
        <w:t>2013 a déjà pondu trois ou quatre fois, et donc pêcher ces poissons à leur âge actuel n</w:t>
      </w:r>
      <w:r w:rsidR="001B2BE1">
        <w:t>’</w:t>
      </w:r>
      <w:r>
        <w:t>empêche pas cette classe d</w:t>
      </w:r>
      <w:r w:rsidR="001B2BE1">
        <w:t>’</w:t>
      </w:r>
      <w:r>
        <w:t>âge de se reproduire</w:t>
      </w:r>
      <w:r w:rsidR="00C56C44">
        <w:t xml:space="preserve">. </w:t>
      </w:r>
      <w:r>
        <w:t>Toutefois, la classe d</w:t>
      </w:r>
      <w:r w:rsidR="001B2BE1">
        <w:t>’</w:t>
      </w:r>
      <w:r>
        <w:t>âge</w:t>
      </w:r>
      <w:r w:rsidR="00D80605">
        <w:t> </w:t>
      </w:r>
      <w:r>
        <w:t>2013, dont la croissance est plus lente, est exposée à un taux de mortalité plus élevé sur une période plus longue que la classe d</w:t>
      </w:r>
      <w:r w:rsidR="001B2BE1">
        <w:t>’</w:t>
      </w:r>
      <w:r>
        <w:t>âge</w:t>
      </w:r>
      <w:r w:rsidR="00D80605">
        <w:t> </w:t>
      </w:r>
      <w:r>
        <w:t>2003</w:t>
      </w:r>
      <w:r w:rsidR="00822331" w:rsidRPr="00822331">
        <w:t xml:space="preserve"> à laquelle elle est comparée</w:t>
      </w:r>
      <w:r w:rsidR="00822331">
        <w:t xml:space="preserve"> et</w:t>
      </w:r>
      <w:r>
        <w:t xml:space="preserve"> dont la croissance est plus rapide.</w:t>
      </w:r>
    </w:p>
    <w:p w14:paraId="0021FD04" w14:textId="77777777" w:rsidR="001A3735" w:rsidRPr="00A0159E" w:rsidRDefault="001A3735" w:rsidP="006547CF">
      <w:pPr>
        <w:ind w:left="360"/>
        <w:rPr>
          <w:i/>
        </w:rPr>
      </w:pPr>
      <w:r>
        <w:rPr>
          <w:i/>
        </w:rPr>
        <w:t>Personnel scientifique, gestionnaires de ressources désignés et coprésidentes du CERT</w:t>
      </w:r>
    </w:p>
    <w:p w14:paraId="32F42512" w14:textId="6C02EE17" w:rsidR="005F5565" w:rsidRPr="00A0159E" w:rsidRDefault="001A3735" w:rsidP="003E4272">
      <w:pPr>
        <w:pStyle w:val="BodyText"/>
      </w:pPr>
      <w:r>
        <w:t>On répète que la valeur F relative devrait être calculée pour chaque relevé individuellement, puis qu</w:t>
      </w:r>
      <w:r w:rsidR="001B2BE1">
        <w:t>’</w:t>
      </w:r>
      <w:r>
        <w:t>une moyenne soit établie, car les relevés ne sont pas ajustés selon la valeur q et donc ont chacun un</w:t>
      </w:r>
      <w:r w:rsidR="00F93B6A">
        <w:t xml:space="preserve"> potentiel de capture </w:t>
      </w:r>
      <w:r>
        <w:t>différent.</w:t>
      </w:r>
    </w:p>
    <w:p w14:paraId="5B3EFA3B" w14:textId="77777777" w:rsidR="001A3735" w:rsidRPr="00A0159E" w:rsidRDefault="001A3735" w:rsidP="006547CF">
      <w:pPr>
        <w:ind w:left="360"/>
        <w:rPr>
          <w:i/>
        </w:rPr>
      </w:pPr>
      <w:r>
        <w:rPr>
          <w:i/>
        </w:rPr>
        <w:t>Autres participants à la réunion</w:t>
      </w:r>
    </w:p>
    <w:p w14:paraId="1A1297BB" w14:textId="4774E7E2" w:rsidR="00B24754" w:rsidRPr="00A0159E" w:rsidRDefault="00FD4747" w:rsidP="003E4272">
      <w:pPr>
        <w:pStyle w:val="BodyText"/>
      </w:pPr>
      <w:r>
        <w:rPr>
          <w:color w:val="000000" w:themeColor="text1"/>
        </w:rPr>
        <w:t>La déclaration faite dans le tableau des caractéristiques positives et négatives du stock</w:t>
      </w:r>
      <w:r>
        <w:t>, selon laquelle même s</w:t>
      </w:r>
      <w:r w:rsidR="001B2BE1">
        <w:t>’</w:t>
      </w:r>
      <w:r>
        <w:t>il n</w:t>
      </w:r>
      <w:r w:rsidR="001B2BE1">
        <w:t>’</w:t>
      </w:r>
      <w:r>
        <w:t>y a aucune prise en 2020, il est prévu que la biomasse diminue, fait l</w:t>
      </w:r>
      <w:r w:rsidR="001B2BE1">
        <w:t>’</w:t>
      </w:r>
      <w:r>
        <w:t>objet d</w:t>
      </w:r>
      <w:r w:rsidR="001B2BE1">
        <w:t>’</w:t>
      </w:r>
      <w:r>
        <w:t>une discussion. On indique que le stock est actuellement considéré comme sain et, en l</w:t>
      </w:r>
      <w:r w:rsidR="001B2BE1">
        <w:t>’</w:t>
      </w:r>
      <w:r>
        <w:t>absence de modèle, il n</w:t>
      </w:r>
      <w:r w:rsidR="001B2BE1">
        <w:t>’</w:t>
      </w:r>
      <w:r>
        <w:t>y a pas de projections. Sans le modèle, on peut encore déterminer que la classe d</w:t>
      </w:r>
      <w:r w:rsidR="001B2BE1">
        <w:t>’</w:t>
      </w:r>
      <w:r>
        <w:t>âge</w:t>
      </w:r>
      <w:r w:rsidR="00D80605">
        <w:t> </w:t>
      </w:r>
      <w:r>
        <w:t>2013 est porteuse du stock et que cette classe d</w:t>
      </w:r>
      <w:r w:rsidR="001B2BE1">
        <w:t>’</w:t>
      </w:r>
      <w:r>
        <w:t>âge diminue maintenant en nombre à mesure qu</w:t>
      </w:r>
      <w:r w:rsidR="001B2BE1">
        <w:t>’</w:t>
      </w:r>
      <w:r>
        <w:t>elle vieillit</w:t>
      </w:r>
      <w:r w:rsidR="00C56C44">
        <w:t xml:space="preserve">. </w:t>
      </w:r>
      <w:r>
        <w:t>La déclaration est donc exacte et devrait figurer dans le tableau du rapport scientifique du CERT.</w:t>
      </w:r>
    </w:p>
    <w:p w14:paraId="5653A2CB" w14:textId="6AF0A8EF" w:rsidR="00471E9F" w:rsidRPr="00A0159E" w:rsidRDefault="00B24754" w:rsidP="003E4272">
      <w:pPr>
        <w:pStyle w:val="BodyText"/>
      </w:pPr>
      <w:r>
        <w:lastRenderedPageBreak/>
        <w:t>L</w:t>
      </w:r>
      <w:r w:rsidR="001B2BE1">
        <w:t>’</w:t>
      </w:r>
      <w:r>
        <w:t>ébauche du libellé de l</w:t>
      </w:r>
      <w:r w:rsidR="001B2BE1">
        <w:t>’</w:t>
      </w:r>
      <w:r>
        <w:t>avis sur les prises est abordée en détail</w:t>
      </w:r>
      <w:r w:rsidR="00C56C44">
        <w:t xml:space="preserve">. </w:t>
      </w:r>
      <w:r>
        <w:t>Le groupe s</w:t>
      </w:r>
      <w:r w:rsidR="001B2BE1">
        <w:t>’</w:t>
      </w:r>
      <w:r>
        <w:t>entend pour s</w:t>
      </w:r>
      <w:r w:rsidR="001B2BE1">
        <w:t>’</w:t>
      </w:r>
      <w:r>
        <w:t>en tenir aux faits scientifiques. On demande s</w:t>
      </w:r>
      <w:r w:rsidR="001B2BE1">
        <w:t>’</w:t>
      </w:r>
      <w:r>
        <w:t>il existe une façon de caractériser les avis sur les quotas en matière de risque, mais on ne s</w:t>
      </w:r>
      <w:r w:rsidR="001B2BE1">
        <w:t>’</w:t>
      </w:r>
      <w:r>
        <w:t>entend pas sur la façon de s</w:t>
      </w:r>
      <w:r w:rsidR="001B2BE1">
        <w:t>’</w:t>
      </w:r>
      <w:r>
        <w:t>y prendre. Il est convenu que l</w:t>
      </w:r>
      <w:r w:rsidR="001B2BE1">
        <w:t>’</w:t>
      </w:r>
      <w:r>
        <w:t>avis devrait porter sur le quota de 2020 jusqu</w:t>
      </w:r>
      <w:r w:rsidR="001B2BE1">
        <w:t>’</w:t>
      </w:r>
      <w:r>
        <w:t>à concurrence de 30 000 t</w:t>
      </w:r>
      <w:r w:rsidR="00822331">
        <w:t>m</w:t>
      </w:r>
      <w:r>
        <w:t xml:space="preserve"> (soit le quota actuel de 2019)</w:t>
      </w:r>
      <w:r w:rsidR="00812047">
        <w:t>,</w:t>
      </w:r>
      <w:r>
        <w:t xml:space="preserve"> mais que le quota de 2021 devrait être inférieur à 30 000 t</w:t>
      </w:r>
      <w:r w:rsidR="00822331">
        <w:t>m</w:t>
      </w:r>
      <w:r w:rsidR="00C56C44">
        <w:t xml:space="preserve">. </w:t>
      </w:r>
      <w:r>
        <w:t>On admet que, même si un avis est donné pour deux</w:t>
      </w:r>
      <w:r w:rsidR="00822331">
        <w:t> </w:t>
      </w:r>
      <w:r>
        <w:t>ans, il ne conviendrait pas de préparer un rapport provisoire sur ce stock en 2020</w:t>
      </w:r>
      <w:r w:rsidR="00C56C44">
        <w:t xml:space="preserve">. </w:t>
      </w:r>
      <w:r>
        <w:t>La pertinence du quota de 2021 devra être évaluée à la réunion de 2020 du CERT en comparant les valeurs F relatives, les poids selon l</w:t>
      </w:r>
      <w:r w:rsidR="001B2BE1">
        <w:t>’</w:t>
      </w:r>
      <w:r>
        <w:t xml:space="preserve">âge et les tendances de relevé. </w:t>
      </w:r>
    </w:p>
    <w:p w14:paraId="619938FC" w14:textId="31E08080" w:rsidR="001A3735" w:rsidRPr="00A0159E" w:rsidRDefault="00471E9F" w:rsidP="003E4272">
      <w:pPr>
        <w:pStyle w:val="BodyText"/>
      </w:pPr>
      <w:r>
        <w:t>L</w:t>
      </w:r>
      <w:r w:rsidR="001B2BE1">
        <w:t>’</w:t>
      </w:r>
      <w:r>
        <w:t>utilisation de la valeur F relative pour fournir un avis sur les prises fait l</w:t>
      </w:r>
      <w:r w:rsidR="001B2BE1">
        <w:t>’</w:t>
      </w:r>
      <w:r>
        <w:t>objet d</w:t>
      </w:r>
      <w:r w:rsidR="001B2BE1">
        <w:t>’</w:t>
      </w:r>
      <w:r>
        <w:t>une discussion</w:t>
      </w:r>
      <w:r w:rsidR="00C56C44">
        <w:t xml:space="preserve">. </w:t>
      </w:r>
      <w:r>
        <w:t>La valeur F relative sera recalculée pour le rapport scientifique du CERT, à la demande des examinateurs et d</w:t>
      </w:r>
      <w:r w:rsidR="001B2BE1">
        <w:t>’</w:t>
      </w:r>
      <w:r>
        <w:t>autres participants scientifiques</w:t>
      </w:r>
      <w:r w:rsidR="00C56C44">
        <w:t xml:space="preserve">. </w:t>
      </w:r>
      <w:r>
        <w:t>Elle sera mentionnée pour la série chronologique débutant en 1987 et les valeurs de 2009 à 2011 (lorsque la classe d</w:t>
      </w:r>
      <w:r w:rsidR="001B2BE1">
        <w:t>’</w:t>
      </w:r>
      <w:r>
        <w:t>âge</w:t>
      </w:r>
      <w:r w:rsidR="00D80605">
        <w:t> </w:t>
      </w:r>
      <w:r>
        <w:t>2003 était d</w:t>
      </w:r>
      <w:r w:rsidR="001B2BE1">
        <w:t>’</w:t>
      </w:r>
      <w:r>
        <w:t>un âge similaire à celui de la classe d</w:t>
      </w:r>
      <w:r w:rsidR="001B2BE1">
        <w:t>’</w:t>
      </w:r>
      <w:r>
        <w:t>âge</w:t>
      </w:r>
      <w:r w:rsidR="00D80605">
        <w:t> </w:t>
      </w:r>
      <w:r>
        <w:t>2013 actuellement) seront comparées au reste de la série chronologique et à la période actuelle pour voir si des prises de cette ampleur étaient raisonnables</w:t>
      </w:r>
      <w:r w:rsidR="00C56C44">
        <w:t xml:space="preserve">. </w:t>
      </w:r>
      <w:r>
        <w:t>La valeur F relative pour la période de 2009 à 2011 fournit un seuil et une certaine orientation.</w:t>
      </w:r>
    </w:p>
    <w:p w14:paraId="4E2C0352" w14:textId="6DF9D9FC" w:rsidR="00A95C58" w:rsidRPr="00A0159E" w:rsidRDefault="002805E2" w:rsidP="00291412">
      <w:pPr>
        <w:pStyle w:val="Heading2"/>
        <w:rPr>
          <w:color w:val="000000" w:themeColor="text1"/>
        </w:rPr>
      </w:pPr>
      <w:bookmarkStart w:id="10" w:name="_Toc44059145"/>
      <w:r w:rsidRPr="007E6C94">
        <w:t xml:space="preserve">Changements spatiotemporels dans la probabilité de rencontre de la morue et de </w:t>
      </w:r>
      <w:r w:rsidR="00402885" w:rsidRPr="007E6C94">
        <w:t xml:space="preserve">LA LIMANDE À QUEUE JAUNE </w:t>
      </w:r>
      <w:r w:rsidRPr="007E6C94">
        <w:t xml:space="preserve">sur le </w:t>
      </w:r>
      <w:r w:rsidR="00E8153D" w:rsidRPr="007E6C94">
        <w:t>banc Georges</w:t>
      </w:r>
      <w:bookmarkEnd w:id="10"/>
    </w:p>
    <w:p w14:paraId="09885096" w14:textId="24A286B1" w:rsidR="00FD4747" w:rsidRPr="003F1B5F" w:rsidRDefault="00FD4747" w:rsidP="002805E2">
      <w:pPr>
        <w:spacing w:before="0" w:after="0"/>
        <w:ind w:left="1800" w:hanging="1800"/>
      </w:pPr>
      <w:r w:rsidRPr="008E5670">
        <w:t>Présentation</w:t>
      </w:r>
      <w:r w:rsidRPr="003F1B5F">
        <w:t xml:space="preserve"> : </w:t>
      </w:r>
      <w:r w:rsidRPr="003F1B5F">
        <w:tab/>
      </w:r>
      <w:r w:rsidRPr="007E6C94">
        <w:t>Spatio-temporal changes in encounter probability of cod and yellowtail on Georges Bank</w:t>
      </w:r>
      <w:r w:rsidR="00402885" w:rsidRPr="007E6C94">
        <w:t xml:space="preserve"> (Changements spatiotemporels dans la probabilité de rencontre de la morue et de la limande à queue jaune sur le banc Georges)</w:t>
      </w:r>
    </w:p>
    <w:p w14:paraId="4D883E44" w14:textId="27082CDA" w:rsidR="00FD4747" w:rsidRPr="00A0159E" w:rsidRDefault="00FD4747" w:rsidP="002805E2">
      <w:pPr>
        <w:spacing w:before="0" w:after="0"/>
        <w:ind w:left="1800" w:hanging="1800"/>
      </w:pPr>
      <w:r>
        <w:t xml:space="preserve">Responsables scientifiques : </w:t>
      </w:r>
      <w:r>
        <w:tab/>
        <w:t>D.</w:t>
      </w:r>
      <w:r w:rsidR="008D5676">
        <w:t> </w:t>
      </w:r>
      <w:r>
        <w:t>Keith</w:t>
      </w:r>
    </w:p>
    <w:p w14:paraId="7EC9A43F" w14:textId="7FAD7963" w:rsidR="00FD4747" w:rsidRPr="00A0159E" w:rsidRDefault="00FD4747" w:rsidP="002805E2">
      <w:pPr>
        <w:spacing w:before="0" w:after="0"/>
        <w:ind w:left="1800" w:hanging="1800"/>
      </w:pPr>
      <w:r>
        <w:t>Présentateur</w:t>
      </w:r>
      <w:r w:rsidR="001C5656">
        <w:t> </w:t>
      </w:r>
      <w:r>
        <w:t xml:space="preserve">: </w:t>
      </w:r>
      <w:r>
        <w:tab/>
        <w:t>D.</w:t>
      </w:r>
      <w:r w:rsidR="008D5676">
        <w:t> </w:t>
      </w:r>
      <w:r>
        <w:t>Keith</w:t>
      </w:r>
    </w:p>
    <w:p w14:paraId="18AEF428" w14:textId="2FFB5118" w:rsidR="00FD4747" w:rsidRPr="00A0159E" w:rsidRDefault="00FD4747" w:rsidP="002805E2">
      <w:pPr>
        <w:spacing w:before="0" w:after="0"/>
        <w:ind w:left="1800" w:hanging="1800"/>
      </w:pPr>
      <w:r>
        <w:t xml:space="preserve">Rapporteurs : </w:t>
      </w:r>
      <w:r>
        <w:tab/>
        <w:t>F.</w:t>
      </w:r>
      <w:r w:rsidR="008D5676">
        <w:t> </w:t>
      </w:r>
      <w:r>
        <w:t>Irvine et K.</w:t>
      </w:r>
      <w:r w:rsidR="008D5676">
        <w:t> </w:t>
      </w:r>
      <w:r>
        <w:t>Clark</w:t>
      </w:r>
    </w:p>
    <w:p w14:paraId="0AD97255" w14:textId="77777777" w:rsidR="00FD4747" w:rsidRPr="00A0159E" w:rsidRDefault="0060009B" w:rsidP="003E4272">
      <w:pPr>
        <w:pStyle w:val="Heading4"/>
      </w:pPr>
      <w:r>
        <w:t>Points saillants de la présentation</w:t>
      </w:r>
    </w:p>
    <w:p w14:paraId="5303EB83" w14:textId="1D3E5EEC" w:rsidR="0060009B" w:rsidRPr="00A0159E" w:rsidRDefault="0060009B" w:rsidP="003E4272">
      <w:pPr>
        <w:pStyle w:val="BodyText"/>
        <w:rPr>
          <w:rFonts w:cs="Arial"/>
        </w:rPr>
      </w:pPr>
      <w:r>
        <w:t>Cette recherche fait partie</w:t>
      </w:r>
      <w:r w:rsidR="008D5676">
        <w:t xml:space="preserve"> </w:t>
      </w:r>
      <w:r>
        <w:t>d</w:t>
      </w:r>
      <w:r w:rsidR="001B2BE1">
        <w:t>’</w:t>
      </w:r>
      <w:r>
        <w:t>un projet visant à élaborer un cadre méthodologique pour évaluer les fermetures existantes</w:t>
      </w:r>
      <w:r w:rsidR="00C56C44">
        <w:t xml:space="preserve">. </w:t>
      </w:r>
      <w:r>
        <w:t xml:space="preserve">Le projet utilise comme étude de cas les fermetures spatiotemporelles conçues pour protéger les concentrations de morue franche et de limande à queue jaune lors </w:t>
      </w:r>
      <w:r w:rsidR="008D5676">
        <w:t xml:space="preserve">de la </w:t>
      </w:r>
      <w:r>
        <w:t>fra</w:t>
      </w:r>
      <w:r w:rsidR="008D5676">
        <w:t>ye</w:t>
      </w:r>
      <w:r>
        <w:t xml:space="preserve"> contre les prises accessoires de la pêche canadienne du pétoncle sur le </w:t>
      </w:r>
      <w:r w:rsidR="00E8153D">
        <w:t>banc Georges</w:t>
      </w:r>
      <w:r>
        <w:t>. Cette présentation s</w:t>
      </w:r>
      <w:r w:rsidR="001B2BE1">
        <w:t>’</w:t>
      </w:r>
      <w:r>
        <w:t>appuie sur le relevé du MPO et les relevés du printemps et de l</w:t>
      </w:r>
      <w:r w:rsidR="001B2BE1">
        <w:t>’</w:t>
      </w:r>
      <w:r>
        <w:t xml:space="preserve">automne du NMFS pour examiner les tendances interannuelles et saisonnières de la répartition spatiotemporelle de la morue et de la limande à queue jaune sur tout le </w:t>
      </w:r>
      <w:r w:rsidR="00E8153D">
        <w:t>banc Georges</w:t>
      </w:r>
      <w:r w:rsidR="00C56C44">
        <w:t xml:space="preserve">. </w:t>
      </w:r>
      <w:r>
        <w:t>Pour les deux</w:t>
      </w:r>
      <w:r w:rsidR="008D5676">
        <w:t> </w:t>
      </w:r>
      <w:r>
        <w:t>espèces, des baisses générales de la probabilité d</w:t>
      </w:r>
      <w:r w:rsidR="001B2BE1">
        <w:t>’</w:t>
      </w:r>
      <w:r>
        <w:t>occurrence ont été observé</w:t>
      </w:r>
      <w:r w:rsidR="00D80605">
        <w:t>e</w:t>
      </w:r>
      <w:r>
        <w:t>s ces dernières années, et les données de relevé indiquent que les changements dans la répartition se produisent environ tous les trois à cinq ans. Dans le cas de la morue, les relevés révèlent un déplacement saisonnier à l</w:t>
      </w:r>
      <w:r w:rsidR="001B2BE1">
        <w:t>’</w:t>
      </w:r>
      <w:r>
        <w:t>automne vers le coin nord-est du banc. La limande à queue jaune a tendance à se trouver de façon constante dans une région principale, mais la zone d</w:t>
      </w:r>
      <w:r w:rsidR="001B2BE1">
        <w:t>’</w:t>
      </w:r>
      <w:r>
        <w:t>occurrence semble s</w:t>
      </w:r>
      <w:r w:rsidR="001B2BE1">
        <w:t>’</w:t>
      </w:r>
      <w:r>
        <w:t>élargir et se contracter en fonction des changements dans l</w:t>
      </w:r>
      <w:r w:rsidR="001B2BE1">
        <w:t>’</w:t>
      </w:r>
      <w:r>
        <w:t>abondance de la population. Les résultats pourraient servir à éclairer la gestion des fermetures existantes en</w:t>
      </w:r>
      <w:r w:rsidR="008D5676">
        <w:t> :</w:t>
      </w:r>
      <w:r>
        <w:t xml:space="preserve"> a)</w:t>
      </w:r>
      <w:r w:rsidR="008D5676">
        <w:t> </w:t>
      </w:r>
      <w:r>
        <w:t>cernant les régions où la probabilité d</w:t>
      </w:r>
      <w:r w:rsidR="001B2BE1">
        <w:t>’</w:t>
      </w:r>
      <w:r>
        <w:t>occurrence est élevée</w:t>
      </w:r>
      <w:r w:rsidR="008D5676">
        <w:t>;</w:t>
      </w:r>
      <w:r>
        <w:t xml:space="preserve"> b)</w:t>
      </w:r>
      <w:r w:rsidR="008D5676">
        <w:t> </w:t>
      </w:r>
      <w:r>
        <w:t>déterminant la période de l</w:t>
      </w:r>
      <w:r w:rsidR="001B2BE1">
        <w:t>’</w:t>
      </w:r>
      <w:r>
        <w:t>année où la probabilité d</w:t>
      </w:r>
      <w:r w:rsidR="001B2BE1">
        <w:t>’</w:t>
      </w:r>
      <w:r>
        <w:t>occurrence est la plus élevée</w:t>
      </w:r>
      <w:r w:rsidR="008D5676">
        <w:t>;</w:t>
      </w:r>
      <w:r>
        <w:t xml:space="preserve"> c)</w:t>
      </w:r>
      <w:r w:rsidR="008D5676">
        <w:t> </w:t>
      </w:r>
      <w:r>
        <w:t>fournissant une méthode pour quantifier l</w:t>
      </w:r>
      <w:r w:rsidR="001B2BE1">
        <w:t>’</w:t>
      </w:r>
      <w:r>
        <w:t>atteinte avec succès d</w:t>
      </w:r>
      <w:r w:rsidR="001B2BE1">
        <w:t>’</w:t>
      </w:r>
      <w:r>
        <w:t>objectifs de gestion précis.</w:t>
      </w:r>
    </w:p>
    <w:p w14:paraId="4D23237F" w14:textId="77777777" w:rsidR="00AF1070" w:rsidRDefault="00AF1070">
      <w:pPr>
        <w:spacing w:before="0" w:after="0"/>
        <w:rPr>
          <w:i/>
        </w:rPr>
      </w:pPr>
      <w:r>
        <w:rPr>
          <w:i/>
        </w:rPr>
        <w:br w:type="page"/>
      </w:r>
    </w:p>
    <w:p w14:paraId="586EE91D" w14:textId="32BE6485" w:rsidR="0060009B" w:rsidRPr="00A0159E" w:rsidRDefault="0060009B" w:rsidP="003E4272">
      <w:pPr>
        <w:pStyle w:val="Heading4"/>
      </w:pPr>
      <w:r>
        <w:lastRenderedPageBreak/>
        <w:t>Discussion</w:t>
      </w:r>
    </w:p>
    <w:p w14:paraId="31F1E649" w14:textId="77777777" w:rsidR="0060009B" w:rsidRPr="00A0159E" w:rsidRDefault="0060009B" w:rsidP="002805E2">
      <w:pPr>
        <w:ind w:left="360"/>
        <w:rPr>
          <w:i/>
        </w:rPr>
      </w:pPr>
      <w:r>
        <w:rPr>
          <w:i/>
        </w:rPr>
        <w:t>Examinateur</w:t>
      </w:r>
    </w:p>
    <w:p w14:paraId="281C55D0" w14:textId="77777777" w:rsidR="0060009B" w:rsidRPr="00A0159E" w:rsidRDefault="0060009B" w:rsidP="003E4272">
      <w:pPr>
        <w:pStyle w:val="BodyText"/>
        <w:rPr>
          <w:rFonts w:cs="Arial"/>
        </w:rPr>
      </w:pPr>
      <w:r>
        <w:t>La présentation est jugée instructive et on mentionne que des données spatiotemporelles devraient être intégrées à toutes les évaluations de référence ultérieures.</w:t>
      </w:r>
    </w:p>
    <w:p w14:paraId="6214D77D" w14:textId="77777777" w:rsidR="00785C47" w:rsidRPr="00A0159E" w:rsidRDefault="00785C47" w:rsidP="002805E2">
      <w:pPr>
        <w:pStyle w:val="NoSpacing"/>
        <w:tabs>
          <w:tab w:val="left" w:pos="8640"/>
        </w:tabs>
        <w:spacing w:before="120" w:after="120"/>
        <w:ind w:left="360" w:right="360"/>
        <w:rPr>
          <w:rFonts w:ascii="Arial" w:hAnsi="Arial" w:cs="Arial"/>
        </w:rPr>
      </w:pPr>
      <w:r>
        <w:rPr>
          <w:rFonts w:ascii="Arial" w:hAnsi="Arial"/>
          <w:b/>
        </w:rPr>
        <w:t>Recommandation en matière de recherche </w:t>
      </w:r>
      <w:r w:rsidRPr="008E5670">
        <w:rPr>
          <w:rFonts w:ascii="Arial" w:hAnsi="Arial"/>
        </w:rPr>
        <w:t xml:space="preserve">: </w:t>
      </w:r>
      <w:r>
        <w:rPr>
          <w:rFonts w:ascii="Arial" w:hAnsi="Arial"/>
        </w:rPr>
        <w:t>Les renseignements spatiotemporels devraient être intégrés aux futures évaluations de référence pour les stocks du CERT.</w:t>
      </w:r>
    </w:p>
    <w:p w14:paraId="549BC8D3" w14:textId="77777777" w:rsidR="0060009B" w:rsidRPr="00A0159E" w:rsidRDefault="0060009B" w:rsidP="002805E2">
      <w:pPr>
        <w:ind w:left="360"/>
        <w:rPr>
          <w:i/>
        </w:rPr>
      </w:pPr>
      <w:r>
        <w:rPr>
          <w:i/>
        </w:rPr>
        <w:t>Personnel scientifique, gestionnaires de ressources désignés et coprésidentes du CERT</w:t>
      </w:r>
    </w:p>
    <w:p w14:paraId="77742E80" w14:textId="41C2408A" w:rsidR="00785C47" w:rsidRPr="00A0159E" w:rsidRDefault="00785C47" w:rsidP="003E4272">
      <w:pPr>
        <w:pStyle w:val="BodyText"/>
        <w:rPr>
          <w:rFonts w:cs="Arial"/>
        </w:rPr>
      </w:pPr>
      <w:r>
        <w:t>Un stock qui se trouve à un niveau</w:t>
      </w:r>
      <w:r w:rsidR="008D5676">
        <w:t xml:space="preserve"> </w:t>
      </w:r>
      <w:r>
        <w:t>très bas peut présenter une contraction de son aire de répartition plutôt qu</w:t>
      </w:r>
      <w:r w:rsidR="001B2BE1">
        <w:t>’</w:t>
      </w:r>
      <w:r>
        <w:t>un changement de sa répartition</w:t>
      </w:r>
      <w:r w:rsidR="00C56C44">
        <w:t xml:space="preserve">. </w:t>
      </w:r>
      <w:r>
        <w:t>La méthode actuelle utilisée pour définir les cellules de limande à queue jaune (3,5</w:t>
      </w:r>
      <w:r w:rsidR="008D5676">
        <w:t> </w:t>
      </w:r>
      <w:r>
        <w:t>kg par trait) devrait probablement être révisée en raison de cette contraction de l</w:t>
      </w:r>
      <w:r w:rsidR="001B2BE1">
        <w:t>’</w:t>
      </w:r>
      <w:r>
        <w:t>aire de répartition</w:t>
      </w:r>
      <w:r w:rsidR="00C56C44">
        <w:t xml:space="preserve">. </w:t>
      </w:r>
    </w:p>
    <w:p w14:paraId="3F28DB43" w14:textId="5432C32D" w:rsidR="00785C47" w:rsidRPr="00A0159E" w:rsidRDefault="0060009B" w:rsidP="003E4272">
      <w:pPr>
        <w:pStyle w:val="BodyText"/>
        <w:rPr>
          <w:rFonts w:cs="Arial"/>
        </w:rPr>
      </w:pPr>
      <w:r>
        <w:t>Il est mentionné qu</w:t>
      </w:r>
      <w:r w:rsidR="001B2BE1">
        <w:t>’</w:t>
      </w:r>
      <w:r>
        <w:t>il serait intéressant d</w:t>
      </w:r>
      <w:r w:rsidR="001B2BE1">
        <w:t>’</w:t>
      </w:r>
      <w:r>
        <w:t xml:space="preserve">étudier la répartition temporelle des jeunes </w:t>
      </w:r>
      <w:r w:rsidR="008D5676">
        <w:t xml:space="preserve">de même </w:t>
      </w:r>
      <w:r>
        <w:t>que des adultes.</w:t>
      </w:r>
    </w:p>
    <w:p w14:paraId="1D706F6F" w14:textId="77777777" w:rsidR="0060009B" w:rsidRPr="00A0159E" w:rsidRDefault="0060009B" w:rsidP="002805E2">
      <w:pPr>
        <w:ind w:left="360"/>
        <w:rPr>
          <w:i/>
        </w:rPr>
      </w:pPr>
      <w:r>
        <w:rPr>
          <w:i/>
        </w:rPr>
        <w:t>Autres participants à la réunion</w:t>
      </w:r>
    </w:p>
    <w:p w14:paraId="7D6FC3D8" w14:textId="55AF5EDC" w:rsidR="0060009B" w:rsidRPr="00A0159E" w:rsidRDefault="002805E2" w:rsidP="003E4272">
      <w:pPr>
        <w:pStyle w:val="BodyText"/>
        <w:rPr>
          <w:rFonts w:cs="Arial"/>
        </w:rPr>
      </w:pPr>
      <w:r>
        <w:t>D</w:t>
      </w:r>
      <w:r w:rsidR="001B2BE1">
        <w:t>’</w:t>
      </w:r>
      <w:r>
        <w:t>après les relevés de pétoncles effectués aux États-Unis, la probabilité la plus élevée de rencontrer la limande à queue jaune se situe entre août et octobre</w:t>
      </w:r>
      <w:r w:rsidR="00C56C44">
        <w:t xml:space="preserve">. </w:t>
      </w:r>
      <w:r>
        <w:t xml:space="preserve">Les changements apportés aux engins de pêche du pétoncle aux États-Unis ont permis de réduire considérablement les prises accessoires de morue. </w:t>
      </w:r>
    </w:p>
    <w:p w14:paraId="43B94375" w14:textId="2A6174B3" w:rsidR="00785C47" w:rsidRPr="00A0159E" w:rsidRDefault="00785C47" w:rsidP="003E4272">
      <w:pPr>
        <w:pStyle w:val="BodyText"/>
        <w:rPr>
          <w:rFonts w:cs="Arial"/>
        </w:rPr>
      </w:pPr>
      <w:r>
        <w:t>On demande quels facteurs figuraient dans l</w:t>
      </w:r>
      <w:r w:rsidR="001B2BE1">
        <w:t>’</w:t>
      </w:r>
      <w:r>
        <w:t>analyse</w:t>
      </w:r>
      <w:r w:rsidR="00C56C44">
        <w:t xml:space="preserve">. </w:t>
      </w:r>
      <w:r>
        <w:t xml:space="preserve">Trente-trois facteurs environnementaux ont été inclus en fonction du champ spatial aléatoire, de la température de la surface de la mer et, dans le cas de la limande à queue jaune, du type de fond. </w:t>
      </w:r>
    </w:p>
    <w:p w14:paraId="355DC170" w14:textId="3A767568" w:rsidR="00785C47" w:rsidRPr="00A0159E" w:rsidRDefault="00785C47" w:rsidP="003E4272">
      <w:pPr>
        <w:pStyle w:val="BodyText"/>
        <w:rPr>
          <w:rFonts w:cs="Arial"/>
        </w:rPr>
      </w:pPr>
      <w:r>
        <w:t>Le relevé de l</w:t>
      </w:r>
      <w:r w:rsidR="001B2BE1">
        <w:t>’</w:t>
      </w:r>
      <w:r>
        <w:t>été du MPO a couvert la bordure de l</w:t>
      </w:r>
      <w:r w:rsidR="001B2BE1">
        <w:t>’</w:t>
      </w:r>
      <w:r>
        <w:t xml:space="preserve">est du </w:t>
      </w:r>
      <w:r w:rsidR="00E8153D">
        <w:t>banc Georges</w:t>
      </w:r>
      <w:r>
        <w:t xml:space="preserve"> à plusieurs reprises au cours des dernières années</w:t>
      </w:r>
      <w:r w:rsidR="00C56C44">
        <w:t xml:space="preserve">. </w:t>
      </w:r>
      <w:r>
        <w:t>Il serait intéressant d</w:t>
      </w:r>
      <w:r w:rsidR="001B2BE1">
        <w:t>’</w:t>
      </w:r>
      <w:r>
        <w:t>examiner la répartition estivale de la limande à queue jaune au cours de ces années</w:t>
      </w:r>
      <w:r w:rsidR="00C56C44">
        <w:t xml:space="preserve">. </w:t>
      </w:r>
    </w:p>
    <w:p w14:paraId="68D2A8AC" w14:textId="7C593D89" w:rsidR="00785C47" w:rsidRPr="00A0159E" w:rsidRDefault="00785C47" w:rsidP="002805E2">
      <w:pPr>
        <w:pStyle w:val="NoSpacing"/>
        <w:tabs>
          <w:tab w:val="left" w:pos="8640"/>
        </w:tabs>
        <w:spacing w:before="120" w:after="120"/>
        <w:ind w:left="360" w:right="360"/>
        <w:rPr>
          <w:rFonts w:ascii="Arial" w:hAnsi="Arial" w:cs="Arial"/>
        </w:rPr>
      </w:pPr>
      <w:r>
        <w:rPr>
          <w:rFonts w:ascii="Arial" w:hAnsi="Arial"/>
          <w:b/>
        </w:rPr>
        <w:t>Recommandation en matière de recherche </w:t>
      </w:r>
      <w:r w:rsidRPr="008E5670">
        <w:rPr>
          <w:rFonts w:ascii="Arial" w:hAnsi="Arial"/>
        </w:rPr>
        <w:t xml:space="preserve">: </w:t>
      </w:r>
      <w:r>
        <w:rPr>
          <w:rFonts w:ascii="Arial" w:hAnsi="Arial"/>
        </w:rPr>
        <w:t>Lors d</w:t>
      </w:r>
      <w:r w:rsidR="001B2BE1">
        <w:rPr>
          <w:rFonts w:ascii="Arial" w:hAnsi="Arial"/>
        </w:rPr>
        <w:t>’</w:t>
      </w:r>
      <w:r>
        <w:rPr>
          <w:rFonts w:ascii="Arial" w:hAnsi="Arial"/>
        </w:rPr>
        <w:t>une future évaluation de référence de la limande à queue jaune, il serait bon d</w:t>
      </w:r>
      <w:r w:rsidR="001B2BE1">
        <w:rPr>
          <w:rFonts w:ascii="Arial" w:hAnsi="Arial"/>
        </w:rPr>
        <w:t>’</w:t>
      </w:r>
      <w:r>
        <w:rPr>
          <w:rFonts w:ascii="Arial" w:hAnsi="Arial"/>
        </w:rPr>
        <w:t>examiner les données du relevé de l</w:t>
      </w:r>
      <w:r w:rsidR="001B2BE1">
        <w:rPr>
          <w:rFonts w:ascii="Arial" w:hAnsi="Arial"/>
        </w:rPr>
        <w:t>’</w:t>
      </w:r>
      <w:r>
        <w:rPr>
          <w:rFonts w:ascii="Arial" w:hAnsi="Arial"/>
        </w:rPr>
        <w:t xml:space="preserve">été du MPO pour voir si elles apportent des renseignements supplémentaires sur la </w:t>
      </w:r>
      <w:r w:rsidRPr="00BD49D9">
        <w:rPr>
          <w:rFonts w:ascii="Arial" w:hAnsi="Arial"/>
        </w:rPr>
        <w:t>répartition</w:t>
      </w:r>
      <w:r>
        <w:rPr>
          <w:rFonts w:ascii="Arial" w:hAnsi="Arial"/>
        </w:rPr>
        <w:t>.</w:t>
      </w:r>
    </w:p>
    <w:p w14:paraId="749DB728" w14:textId="7B5E05A9" w:rsidR="00785C47" w:rsidRPr="00A0159E" w:rsidRDefault="002805E2" w:rsidP="00291412">
      <w:pPr>
        <w:pStyle w:val="Heading2"/>
      </w:pPr>
      <w:bookmarkStart w:id="11" w:name="_Toc44059146"/>
      <w:r w:rsidRPr="007E6C94">
        <w:t>Progrès du groupe de travail sur la structure du stock de morue franche</w:t>
      </w:r>
      <w:bookmarkEnd w:id="11"/>
    </w:p>
    <w:p w14:paraId="61887037" w14:textId="3AB2E592" w:rsidR="00785C47" w:rsidRPr="00A0159E" w:rsidRDefault="00785C47" w:rsidP="002805E2">
      <w:pPr>
        <w:spacing w:before="0" w:after="0"/>
        <w:ind w:left="1800" w:hanging="1800"/>
      </w:pPr>
      <w:r>
        <w:t xml:space="preserve">Présentation : </w:t>
      </w:r>
      <w:r>
        <w:tab/>
      </w:r>
      <w:r w:rsidR="008D5676" w:rsidRPr="003F1B5F">
        <w:t>Report on progress of the Atlantic Cod Stock Structure Working Group</w:t>
      </w:r>
      <w:r w:rsidR="008D5676" w:rsidRPr="008D5676">
        <w:t xml:space="preserve"> </w:t>
      </w:r>
      <w:r w:rsidR="008D5676">
        <w:t>(</w:t>
      </w:r>
      <w:r>
        <w:t>Rapport sur les progrès du groupe de travail sur la structure du stock de morue franche</w:t>
      </w:r>
      <w:r w:rsidR="008D5676">
        <w:t>)</w:t>
      </w:r>
    </w:p>
    <w:p w14:paraId="4A45E365" w14:textId="2C9900BE" w:rsidR="00785C47" w:rsidRPr="00A0159E" w:rsidRDefault="00785C47" w:rsidP="002805E2">
      <w:pPr>
        <w:spacing w:before="0" w:after="0"/>
        <w:ind w:left="1800" w:hanging="1800"/>
      </w:pPr>
      <w:r>
        <w:t xml:space="preserve">Responsables scientifiques : </w:t>
      </w:r>
      <w:r>
        <w:tab/>
        <w:t>R.</w:t>
      </w:r>
      <w:r w:rsidR="008D5676">
        <w:t> </w:t>
      </w:r>
      <w:r>
        <w:t>McBride et K.</w:t>
      </w:r>
      <w:r w:rsidR="008D5676">
        <w:t> </w:t>
      </w:r>
      <w:r>
        <w:t>Smedbol</w:t>
      </w:r>
    </w:p>
    <w:p w14:paraId="7631655E" w14:textId="65FBA9CB" w:rsidR="00785C47" w:rsidRPr="00A0159E" w:rsidRDefault="00785C47" w:rsidP="002805E2">
      <w:pPr>
        <w:spacing w:before="0" w:after="0"/>
        <w:ind w:left="1800" w:hanging="1800"/>
      </w:pPr>
      <w:r>
        <w:t>Présentateur</w:t>
      </w:r>
      <w:r w:rsidR="001C5656">
        <w:t> </w:t>
      </w:r>
      <w:r>
        <w:t xml:space="preserve">: </w:t>
      </w:r>
      <w:r>
        <w:tab/>
        <w:t>K. Smedbol</w:t>
      </w:r>
    </w:p>
    <w:p w14:paraId="600AB285" w14:textId="148C1950" w:rsidR="00785C47" w:rsidRPr="003E4272" w:rsidRDefault="00785C47" w:rsidP="002805E2">
      <w:pPr>
        <w:spacing w:before="0"/>
        <w:ind w:left="1800" w:hanging="1800"/>
        <w:rPr>
          <w:lang w:val="fr-CA"/>
        </w:rPr>
      </w:pPr>
      <w:r w:rsidRPr="003E4272">
        <w:rPr>
          <w:lang w:val="fr-CA"/>
        </w:rPr>
        <w:t xml:space="preserve">Rapporteurs : </w:t>
      </w:r>
      <w:r w:rsidRPr="003E4272">
        <w:rPr>
          <w:lang w:val="fr-CA"/>
        </w:rPr>
        <w:tab/>
        <w:t>F.</w:t>
      </w:r>
      <w:r w:rsidR="008D5676" w:rsidRPr="003E4272">
        <w:rPr>
          <w:lang w:val="fr-CA"/>
        </w:rPr>
        <w:t> </w:t>
      </w:r>
      <w:r w:rsidRPr="003E4272">
        <w:rPr>
          <w:lang w:val="fr-CA"/>
        </w:rPr>
        <w:t>Irvine et K.</w:t>
      </w:r>
      <w:r w:rsidR="008D5676" w:rsidRPr="003E4272">
        <w:rPr>
          <w:lang w:val="fr-CA"/>
        </w:rPr>
        <w:t> </w:t>
      </w:r>
      <w:r w:rsidRPr="003E4272">
        <w:rPr>
          <w:lang w:val="fr-CA"/>
        </w:rPr>
        <w:t>Clark</w:t>
      </w:r>
    </w:p>
    <w:p w14:paraId="156F7D66" w14:textId="77777777" w:rsidR="00216C51" w:rsidRPr="00A0159E" w:rsidRDefault="00216C51" w:rsidP="003E4272">
      <w:pPr>
        <w:pStyle w:val="Heading4"/>
      </w:pPr>
      <w:r>
        <w:t>Points saillants de la présentation</w:t>
      </w:r>
    </w:p>
    <w:p w14:paraId="712A66CD" w14:textId="365114F8" w:rsidR="00216C51" w:rsidRPr="00A0159E" w:rsidRDefault="0056049E" w:rsidP="003E4272">
      <w:pPr>
        <w:pStyle w:val="BodyText"/>
        <w:rPr>
          <w:rFonts w:cstheme="minorHAnsi"/>
        </w:rPr>
      </w:pPr>
      <w:r w:rsidRPr="003E4272">
        <w:rPr>
          <w:lang w:val="fr-CA"/>
        </w:rPr>
        <w:t xml:space="preserve">Le groupe de travail sur la structure du stock de morue franche a été formé par le service des pêches de la National Oceanographic and Atmospheric Administration (NOAA) </w:t>
      </w:r>
      <w:r w:rsidR="00C449CD" w:rsidRPr="003E4272">
        <w:rPr>
          <w:lang w:val="fr-CA"/>
        </w:rPr>
        <w:t xml:space="preserve">des États-Unis </w:t>
      </w:r>
      <w:r w:rsidRPr="003E4272">
        <w:rPr>
          <w:lang w:val="fr-CA"/>
        </w:rPr>
        <w:t>en 2018</w:t>
      </w:r>
      <w:r w:rsidR="00C449CD" w:rsidRPr="003E4272">
        <w:rPr>
          <w:lang w:val="fr-CA"/>
        </w:rPr>
        <w:t>,</w:t>
      </w:r>
      <w:r w:rsidRPr="003E4272">
        <w:rPr>
          <w:lang w:val="fr-CA"/>
        </w:rPr>
        <w:t xml:space="preserve"> afin de déterminer la meilleure façon de représenter la structure du stock de morue franche à utiliser dans les évaluations régionales des stocks en fonction de l</w:t>
      </w:r>
      <w:r w:rsidR="001B2BE1" w:rsidRPr="003E4272">
        <w:rPr>
          <w:lang w:val="fr-CA"/>
        </w:rPr>
        <w:t>’</w:t>
      </w:r>
      <w:r w:rsidRPr="003E4272">
        <w:rPr>
          <w:lang w:val="fr-CA"/>
        </w:rPr>
        <w:t xml:space="preserve">information actuellement disponible. </w:t>
      </w:r>
      <w:r>
        <w:t>Le groupe de travail compte 15 membres provenant d</w:t>
      </w:r>
      <w:r w:rsidR="001B2BE1">
        <w:t>’</w:t>
      </w:r>
      <w:r>
        <w:t>organismes de l</w:t>
      </w:r>
      <w:r w:rsidR="001B2BE1">
        <w:t>’</w:t>
      </w:r>
      <w:r>
        <w:t>administration fédérale, d</w:t>
      </w:r>
      <w:r w:rsidR="001B2BE1">
        <w:t>’</w:t>
      </w:r>
      <w:r>
        <w:t>organismes étatiques, d</w:t>
      </w:r>
      <w:r w:rsidR="001B2BE1">
        <w:t>’</w:t>
      </w:r>
      <w:r>
        <w:t>universités et d</w:t>
      </w:r>
      <w:r w:rsidR="001B2BE1">
        <w:t>’</w:t>
      </w:r>
      <w:r>
        <w:t>autres organisations non gouvernementales des États-Unis et du Canada. Il s</w:t>
      </w:r>
      <w:r w:rsidR="001B2BE1">
        <w:t>’</w:t>
      </w:r>
      <w:r>
        <w:t>est réuni deux fois, en plus d</w:t>
      </w:r>
      <w:r w:rsidR="00C449CD">
        <w:t>’avoir tenu</w:t>
      </w:r>
      <w:r>
        <w:t xml:space="preserve"> </w:t>
      </w:r>
      <w:r>
        <w:lastRenderedPageBreak/>
        <w:t>plusieurs conférences téléphoniques, et il a participé avec l</w:t>
      </w:r>
      <w:r w:rsidR="001B2BE1">
        <w:t>’</w:t>
      </w:r>
      <w:r>
        <w:t>industrie, les intervenants et d</w:t>
      </w:r>
      <w:r w:rsidR="001B2BE1">
        <w:t>’</w:t>
      </w:r>
      <w:r>
        <w:t xml:space="preserve">autres intéressés à </w:t>
      </w:r>
      <w:hyperlink r:id="rId22" w:history="1">
        <w:r>
          <w:rPr>
            <w:rStyle w:val="Hyperlink"/>
            <w:color w:val="0563C1"/>
          </w:rPr>
          <w:t>deux symposiums parrainés par la New Hampshire Sea Grant</w:t>
        </w:r>
      </w:hyperlink>
      <w:r>
        <w:t xml:space="preserve">. </w:t>
      </w:r>
    </w:p>
    <w:p w14:paraId="02B6C1E2" w14:textId="7C38B761" w:rsidR="00BF20D8" w:rsidRPr="00A0159E" w:rsidRDefault="00216C51" w:rsidP="003E4272">
      <w:pPr>
        <w:pStyle w:val="BodyText"/>
        <w:rPr>
          <w:rFonts w:cstheme="minorHAnsi"/>
        </w:rPr>
      </w:pPr>
      <w:r>
        <w:t>Les objectifs du groupe de travail se déroulent en deux</w:t>
      </w:r>
      <w:r w:rsidR="00A66696">
        <w:t> </w:t>
      </w:r>
      <w:r>
        <w:t>phases. La première</w:t>
      </w:r>
      <w:r w:rsidR="00A66696">
        <w:t> </w:t>
      </w:r>
      <w:r>
        <w:t>phase aboutira à un mémorandum technique de la NOAA traitant du soutien scientifique de la structure biologique du stock de morue dans les eaux américaines et les eaux adjacentes (divisions</w:t>
      </w:r>
      <w:r w:rsidR="004850EE">
        <w:t> </w:t>
      </w:r>
      <w:r>
        <w:t>5 et 6 de l</w:t>
      </w:r>
      <w:r w:rsidR="001B2BE1">
        <w:t>’</w:t>
      </w:r>
      <w:r w:rsidR="004850EE" w:rsidRPr="004850EE">
        <w:t>Organisation des pêches de l</w:t>
      </w:r>
      <w:r w:rsidR="00D80605">
        <w:t>’</w:t>
      </w:r>
      <w:r w:rsidR="004850EE" w:rsidRPr="004850EE">
        <w:t>Atlantique Nord-Ouest</w:t>
      </w:r>
      <w:r>
        <w:t>, et interactions avec la division</w:t>
      </w:r>
      <w:r w:rsidR="00EA5286">
        <w:t> </w:t>
      </w:r>
      <w:r>
        <w:t>4X). Le rapport présente une vue d</w:t>
      </w:r>
      <w:r w:rsidR="001B2BE1">
        <w:t>’</w:t>
      </w:r>
      <w:r>
        <w:t>ensemble tirée des six</w:t>
      </w:r>
      <w:r w:rsidR="004850EE">
        <w:t> </w:t>
      </w:r>
      <w:r>
        <w:t>disciplines suivantes : 1)</w:t>
      </w:r>
      <w:r w:rsidR="004850EE">
        <w:t> </w:t>
      </w:r>
      <w:r>
        <w:t>frai et début de la vie; 2)</w:t>
      </w:r>
      <w:r w:rsidR="004850EE">
        <w:t> </w:t>
      </w:r>
      <w:r>
        <w:t>marqueurs génétiques; 3)</w:t>
      </w:r>
      <w:r w:rsidR="004850EE">
        <w:t> </w:t>
      </w:r>
      <w:r>
        <w:t xml:space="preserve">cycle biologique de base </w:t>
      </w:r>
      <w:r w:rsidR="004850EE">
        <w:t>(</w:t>
      </w:r>
      <w:r>
        <w:t>abondance, croissance, maturité</w:t>
      </w:r>
      <w:r w:rsidR="004850EE">
        <w:t>)</w:t>
      </w:r>
      <w:r>
        <w:t>; 4)</w:t>
      </w:r>
      <w:r w:rsidR="004850EE">
        <w:t> </w:t>
      </w:r>
      <w:r>
        <w:t>marqueurs « naturels » externes ou internes, forme ou coloration; 5)</w:t>
      </w:r>
      <w:r w:rsidR="004850EE">
        <w:t> </w:t>
      </w:r>
      <w:r>
        <w:t>marqueurs appliqués, à la fois des étiquettes traditionnel</w:t>
      </w:r>
      <w:r w:rsidR="00812047">
        <w:t>le</w:t>
      </w:r>
      <w:r w:rsidR="009E175E">
        <w:t xml:space="preserve">s et </w:t>
      </w:r>
      <w:r w:rsidR="004850EE">
        <w:t>de</w:t>
      </w:r>
      <w:r>
        <w:t xml:space="preserve"> pointe; 6)</w:t>
      </w:r>
      <w:r w:rsidR="004850EE">
        <w:t> </w:t>
      </w:r>
      <w:r>
        <w:t>connaissances écologiques des pêcheurs. Le rapport est en cours de rédaction pour être soumis à l</w:t>
      </w:r>
      <w:r w:rsidR="001B2BE1">
        <w:t>’</w:t>
      </w:r>
      <w:r>
        <w:t>examen des pairs du</w:t>
      </w:r>
      <w:r w:rsidR="004850EE" w:rsidRPr="003F1B5F">
        <w:rPr>
          <w:rFonts w:cstheme="minorHAnsi"/>
        </w:rPr>
        <w:t xml:space="preserve"> </w:t>
      </w:r>
      <w:r w:rsidR="004850EE" w:rsidRPr="003F1B5F">
        <w:t>Science and Statistical Committee du</w:t>
      </w:r>
      <w:r>
        <w:t xml:space="preserve"> New England Fishery Management Council (NEFMC) au cours de la période de janvier-février 2020, en vue de sa présentation escomptée au NEFMC en avril 2020, lors de la réunion </w:t>
      </w:r>
      <w:r w:rsidR="00A66696">
        <w:t xml:space="preserve">qui aura lieu à </w:t>
      </w:r>
      <w:r>
        <w:t xml:space="preserve">Mystic </w:t>
      </w:r>
      <w:r w:rsidR="00A66696">
        <w:t>(</w:t>
      </w:r>
      <w:r>
        <w:t>Connecticut</w:t>
      </w:r>
      <w:r w:rsidR="00A66696">
        <w:t>)</w:t>
      </w:r>
      <w:r>
        <w:t>.</w:t>
      </w:r>
    </w:p>
    <w:p w14:paraId="3838B4DF" w14:textId="06520BA8" w:rsidR="00216C51" w:rsidRPr="00A0159E" w:rsidRDefault="00216C51" w:rsidP="003E4272">
      <w:pPr>
        <w:pStyle w:val="BodyText"/>
        <w:rPr>
          <w:rFonts w:cstheme="minorHAnsi"/>
        </w:rPr>
      </w:pPr>
      <w:r>
        <w:t xml:space="preserve">La </w:t>
      </w:r>
      <w:r w:rsidRPr="00A47357">
        <w:t>phase</w:t>
      </w:r>
      <w:r w:rsidR="00A66696" w:rsidRPr="00A47357">
        <w:t> </w:t>
      </w:r>
      <w:r w:rsidRPr="00A47357">
        <w:t>deux</w:t>
      </w:r>
      <w:r>
        <w:t>, distincte de la phase</w:t>
      </w:r>
      <w:r w:rsidR="00A66696">
        <w:t> </w:t>
      </w:r>
      <w:r>
        <w:t>un, n</w:t>
      </w:r>
      <w:r w:rsidR="001B2BE1">
        <w:t>’</w:t>
      </w:r>
      <w:r>
        <w:t>a pas encore commencé. Son but est d</w:t>
      </w:r>
      <w:r w:rsidR="001B2BE1">
        <w:t>’</w:t>
      </w:r>
      <w:r>
        <w:t>envisager de façon générale les mesures qu</w:t>
      </w:r>
      <w:r w:rsidR="001B2BE1">
        <w:t>’</w:t>
      </w:r>
      <w:r>
        <w:t>il est possible de prendre pour atteindre les objectifs de gestion, notamment le maintien du statu quo, la modification des limites du stock, les restrictions spatiales et temporelles et l</w:t>
      </w:r>
      <w:r w:rsidR="001B2BE1">
        <w:t>’</w:t>
      </w:r>
      <w:r>
        <w:t>analyse de la composition du stock. Lors d</w:t>
      </w:r>
      <w:r w:rsidR="001B2BE1">
        <w:t>’</w:t>
      </w:r>
      <w:r>
        <w:t>une autre réunion, à laquelle participe un large éventail de représentants des secteurs de la pêche, de la surveillance, de l</w:t>
      </w:r>
      <w:r w:rsidR="001B2BE1">
        <w:t>’</w:t>
      </w:r>
      <w:r>
        <w:t>évaluation et de la gestion, le rapport de la première</w:t>
      </w:r>
      <w:r w:rsidR="00A66696">
        <w:t> </w:t>
      </w:r>
      <w:r>
        <w:t>phase sera disponible, et un « livre blanc » résumant une liste de mesures et les avantages et inconvénients de chacune sera mis à la disposition du NEFMC et des autres parties intéressées pour la prise d</w:t>
      </w:r>
      <w:r w:rsidR="001B2BE1">
        <w:t>’</w:t>
      </w:r>
      <w:r>
        <w:t>autres mesures.</w:t>
      </w:r>
    </w:p>
    <w:p w14:paraId="727FAA93" w14:textId="77777777" w:rsidR="00216C51" w:rsidRPr="00A0159E" w:rsidRDefault="00BF20D8" w:rsidP="003E4272">
      <w:pPr>
        <w:pStyle w:val="Heading4"/>
      </w:pPr>
      <w:r>
        <w:t>Discussion</w:t>
      </w:r>
    </w:p>
    <w:p w14:paraId="26BFB8E6" w14:textId="77777777" w:rsidR="00BF20D8" w:rsidRPr="00A0159E" w:rsidRDefault="00BF20D8" w:rsidP="00670622">
      <w:pPr>
        <w:ind w:left="360"/>
        <w:rPr>
          <w:i/>
        </w:rPr>
      </w:pPr>
      <w:r>
        <w:rPr>
          <w:i/>
        </w:rPr>
        <w:t>Examinateurs</w:t>
      </w:r>
    </w:p>
    <w:p w14:paraId="24250DD2" w14:textId="77777777" w:rsidR="00BF20D8" w:rsidRPr="00A0159E" w:rsidRDefault="003B13CC" w:rsidP="003E4272">
      <w:pPr>
        <w:pStyle w:val="BodyText"/>
        <w:rPr>
          <w:rFonts w:cs="Arial"/>
        </w:rPr>
      </w:pPr>
      <w:r>
        <w:t>Aucun commentaire</w:t>
      </w:r>
    </w:p>
    <w:p w14:paraId="3C9008F5" w14:textId="77777777" w:rsidR="003B13CC" w:rsidRPr="003E4272" w:rsidRDefault="003B13CC" w:rsidP="00670622">
      <w:pPr>
        <w:ind w:left="360"/>
        <w:rPr>
          <w:i/>
          <w:lang w:val="fr-CA"/>
        </w:rPr>
      </w:pPr>
      <w:r w:rsidRPr="003E4272">
        <w:rPr>
          <w:i/>
          <w:lang w:val="fr-CA"/>
        </w:rPr>
        <w:t>Personnel scientifique, gestionnaires de ressources désignés et coprésidentes du CERT</w:t>
      </w:r>
    </w:p>
    <w:p w14:paraId="7CB46668" w14:textId="2151E6B9" w:rsidR="003B13CC" w:rsidRPr="00A0159E" w:rsidRDefault="003B13CC" w:rsidP="003E4272">
      <w:pPr>
        <w:pStyle w:val="BodyText"/>
        <w:rPr>
          <w:rFonts w:cs="Arial"/>
        </w:rPr>
      </w:pPr>
      <w:r>
        <w:t>On demande dans quelle mesure de nouveaux renseignements sont intégrés par rapport aux renseignements plus anciens déjà disponibles et quelle est la probabilité que la structure du stock ait conservé sa cohérence</w:t>
      </w:r>
      <w:r w:rsidR="00A66696">
        <w:t xml:space="preserve"> au fil du temps</w:t>
      </w:r>
      <w:r w:rsidR="00C56C44">
        <w:t xml:space="preserve">. </w:t>
      </w:r>
      <w:r>
        <w:t>Les séries chronologiques pour des types de données varient, et pour chaque type de données</w:t>
      </w:r>
      <w:r w:rsidR="00A66696">
        <w:t>,</w:t>
      </w:r>
      <w:r>
        <w:t xml:space="preserve"> l</w:t>
      </w:r>
      <w:r w:rsidR="001B2BE1">
        <w:t>’</w:t>
      </w:r>
      <w:r>
        <w:t>échelle d</w:t>
      </w:r>
      <w:r w:rsidR="001B2BE1">
        <w:t>’</w:t>
      </w:r>
      <w:r>
        <w:t>agrégation est variable</w:t>
      </w:r>
      <w:r w:rsidR="00C56C44">
        <w:t xml:space="preserve">. </w:t>
      </w:r>
      <w:r>
        <w:t>Il est donc important de tenir compte du calendrier lorsqu</w:t>
      </w:r>
      <w:r w:rsidR="001B2BE1">
        <w:t>’</w:t>
      </w:r>
      <w:r>
        <w:t>on établit les unités de stock</w:t>
      </w:r>
      <w:r w:rsidR="00C56C44">
        <w:t xml:space="preserve">. </w:t>
      </w:r>
      <w:r>
        <w:t>On fait remarquer que pour faire face à la complexité spatiale, il n</w:t>
      </w:r>
      <w:r w:rsidR="001B2BE1">
        <w:t>’</w:t>
      </w:r>
      <w:r>
        <w:t>est pas toujours nécessaire de changer les zones de gestion.</w:t>
      </w:r>
    </w:p>
    <w:p w14:paraId="2FC9A7F5" w14:textId="77777777" w:rsidR="009039BD" w:rsidRPr="00A0159E" w:rsidRDefault="009039BD" w:rsidP="00670622">
      <w:pPr>
        <w:ind w:left="360"/>
        <w:rPr>
          <w:i/>
        </w:rPr>
      </w:pPr>
      <w:r>
        <w:rPr>
          <w:i/>
        </w:rPr>
        <w:t>Autres participants à la réunion</w:t>
      </w:r>
    </w:p>
    <w:p w14:paraId="663D255D" w14:textId="3B07FBDF" w:rsidR="009039BD" w:rsidRPr="00A0159E" w:rsidRDefault="009039BD" w:rsidP="003E4272">
      <w:pPr>
        <w:pStyle w:val="BodyText"/>
        <w:rPr>
          <w:rFonts w:cs="Arial"/>
        </w:rPr>
      </w:pPr>
      <w:r>
        <w:t>La participation d</w:t>
      </w:r>
      <w:r w:rsidR="001B2BE1">
        <w:t>’</w:t>
      </w:r>
      <w:r>
        <w:t>intervenants canadiens en dehors du MPO n</w:t>
      </w:r>
      <w:r w:rsidR="001B2BE1">
        <w:t>’</w:t>
      </w:r>
      <w:r>
        <w:t>a pas été grande</w:t>
      </w:r>
      <w:r w:rsidR="00C56C44">
        <w:t xml:space="preserve">. </w:t>
      </w:r>
      <w:r>
        <w:t>Certains représentants de l</w:t>
      </w:r>
      <w:r w:rsidR="001B2BE1">
        <w:t>’</w:t>
      </w:r>
      <w:r>
        <w:t>industrie canadienne ont été interviewés par M. DeCelles dans le cadre de cette étude</w:t>
      </w:r>
      <w:r w:rsidR="00C56C44">
        <w:t xml:space="preserve">. </w:t>
      </w:r>
      <w:r>
        <w:t>On fait toutefois remarquer qu</w:t>
      </w:r>
      <w:r w:rsidR="001B2BE1">
        <w:t>’</w:t>
      </w:r>
      <w:r>
        <w:t>il est important de distribuer l</w:t>
      </w:r>
      <w:r w:rsidR="001B2BE1">
        <w:t>’</w:t>
      </w:r>
      <w:r>
        <w:t>information aux intervenants canadiens pour qu</w:t>
      </w:r>
      <w:r w:rsidR="001B2BE1">
        <w:t>’</w:t>
      </w:r>
      <w:r>
        <w:t>ils puissent exprimer des commentaires</w:t>
      </w:r>
      <w:r w:rsidR="00C56C44">
        <w:t xml:space="preserve">. </w:t>
      </w:r>
      <w:r>
        <w:t>Les membres du groupe de travail indiquent qu</w:t>
      </w:r>
      <w:r w:rsidR="001B2BE1">
        <w:t>’</w:t>
      </w:r>
      <w:r>
        <w:t>il existe des possibilités d</w:t>
      </w:r>
      <w:r w:rsidR="001B2BE1">
        <w:t>’</w:t>
      </w:r>
      <w:r>
        <w:t>exprimer des commentaires sur le processus.</w:t>
      </w:r>
    </w:p>
    <w:p w14:paraId="52CF45F0" w14:textId="1495D312" w:rsidR="009039BD" w:rsidRPr="00A0159E" w:rsidRDefault="009039BD" w:rsidP="003E4272">
      <w:pPr>
        <w:pStyle w:val="BodyText"/>
        <w:rPr>
          <w:rFonts w:cs="Arial"/>
        </w:rPr>
      </w:pPr>
      <w:r>
        <w:t>Une discussion a lieu sur l</w:t>
      </w:r>
      <w:r w:rsidR="001B2BE1">
        <w:t>’</w:t>
      </w:r>
      <w:r>
        <w:t>information concernant les parasites et la différenciation des stocks</w:t>
      </w:r>
      <w:r w:rsidR="00C56C44">
        <w:t xml:space="preserve">. </w:t>
      </w:r>
      <w:r>
        <w:t>L</w:t>
      </w:r>
      <w:r w:rsidR="001B2BE1">
        <w:t>’</w:t>
      </w:r>
      <w:r>
        <w:t xml:space="preserve">industrie constate des changements saisonniers dans la charge parasitaire sur le </w:t>
      </w:r>
      <w:r w:rsidR="00E8153D">
        <w:t>banc Georges</w:t>
      </w:r>
      <w:r>
        <w:t>. Des échantillonnages et des examens plus poussés pourraient être effectués.</w:t>
      </w:r>
    </w:p>
    <w:p w14:paraId="74BAEA44" w14:textId="2DC824C9" w:rsidR="009039BD" w:rsidRPr="00A0159E" w:rsidRDefault="009039BD" w:rsidP="00670622">
      <w:pPr>
        <w:pStyle w:val="NoSpacing"/>
        <w:tabs>
          <w:tab w:val="left" w:pos="8640"/>
        </w:tabs>
        <w:spacing w:before="120" w:after="120"/>
        <w:ind w:left="360" w:right="360"/>
        <w:rPr>
          <w:rFonts w:ascii="Arial" w:hAnsi="Arial" w:cs="Arial"/>
        </w:rPr>
      </w:pPr>
      <w:r>
        <w:rPr>
          <w:rFonts w:ascii="Arial" w:hAnsi="Arial"/>
          <w:b/>
        </w:rPr>
        <w:lastRenderedPageBreak/>
        <w:t>Recommandation en matière de recherche</w:t>
      </w:r>
      <w:r w:rsidRPr="008E5670">
        <w:rPr>
          <w:rFonts w:ascii="Arial" w:hAnsi="Arial"/>
        </w:rPr>
        <w:t xml:space="preserve"> : </w:t>
      </w:r>
      <w:r>
        <w:rPr>
          <w:rFonts w:ascii="Arial" w:hAnsi="Arial"/>
        </w:rPr>
        <w:t>Le Secteur des sciences du MPO devrait collaborer avec l</w:t>
      </w:r>
      <w:r w:rsidR="001B2BE1">
        <w:rPr>
          <w:rFonts w:ascii="Arial" w:hAnsi="Arial"/>
        </w:rPr>
        <w:t>’</w:t>
      </w:r>
      <w:r>
        <w:rPr>
          <w:rFonts w:ascii="Arial" w:hAnsi="Arial"/>
        </w:rPr>
        <w:t xml:space="preserve">industrie canadienne pour étudier la possibilité de recueillir des renseignements sur les parasites. </w:t>
      </w:r>
    </w:p>
    <w:p w14:paraId="41BA29FD" w14:textId="52CF255E" w:rsidR="009039BD" w:rsidRPr="00A0159E" w:rsidRDefault="00670622" w:rsidP="00291412">
      <w:pPr>
        <w:pStyle w:val="Heading2"/>
      </w:pPr>
      <w:bookmarkStart w:id="12" w:name="_Toc44059147"/>
      <w:r>
        <w:t>Morue de l</w:t>
      </w:r>
      <w:r w:rsidR="001B2BE1">
        <w:t>’</w:t>
      </w:r>
      <w:r>
        <w:t xml:space="preserve">est du </w:t>
      </w:r>
      <w:r w:rsidR="00E8153D">
        <w:t>banc Georges</w:t>
      </w:r>
      <w:bookmarkEnd w:id="12"/>
    </w:p>
    <w:p w14:paraId="1DE9AF58" w14:textId="245A6A5E" w:rsidR="00E333AC" w:rsidRPr="00A0159E" w:rsidRDefault="00151F25" w:rsidP="00E607EA">
      <w:pPr>
        <w:pStyle w:val="Heading3"/>
      </w:pPr>
      <w:bookmarkStart w:id="13" w:name="_Toc44059148"/>
      <w:r>
        <w:t>M</w:t>
      </w:r>
      <w:r w:rsidR="00E333AC">
        <w:t>ise à jour des données pour la morue de l</w:t>
      </w:r>
      <w:r w:rsidR="001B2BE1">
        <w:t>’</w:t>
      </w:r>
      <w:r w:rsidR="00E333AC">
        <w:t xml:space="preserve">est du </w:t>
      </w:r>
      <w:r w:rsidR="00E8153D">
        <w:t>banc Georges</w:t>
      </w:r>
      <w:r w:rsidR="00E333AC">
        <w:t xml:space="preserve"> en 2019</w:t>
      </w:r>
      <w:bookmarkEnd w:id="13"/>
    </w:p>
    <w:p w14:paraId="28F8940B" w14:textId="22CE48D7" w:rsidR="00D26197" w:rsidRPr="003E4272" w:rsidRDefault="00D26197" w:rsidP="00670622">
      <w:pPr>
        <w:spacing w:before="0" w:after="0"/>
        <w:ind w:left="3240" w:hanging="3240"/>
        <w:rPr>
          <w:lang w:val="fr-CA"/>
        </w:rPr>
      </w:pPr>
      <w:r w:rsidRPr="003E4272">
        <w:rPr>
          <w:lang w:val="fr-CA"/>
        </w:rPr>
        <w:t>Document de travail</w:t>
      </w:r>
      <w:r w:rsidR="00D80605" w:rsidRPr="003E4272">
        <w:rPr>
          <w:lang w:val="fr-CA"/>
        </w:rPr>
        <w:t> </w:t>
      </w:r>
      <w:r w:rsidRPr="003E4272">
        <w:rPr>
          <w:lang w:val="fr-CA"/>
        </w:rPr>
        <w:t>2019/</w:t>
      </w:r>
      <w:r w:rsidR="003E4272" w:rsidRPr="003E4272">
        <w:rPr>
          <w:lang w:val="fr-CA"/>
        </w:rPr>
        <w:t>04</w:t>
      </w:r>
      <w:r w:rsidRPr="003E4272">
        <w:rPr>
          <w:lang w:val="fr-CA"/>
        </w:rPr>
        <w:t xml:space="preserve"> : </w:t>
      </w:r>
      <w:r w:rsidRPr="003E4272">
        <w:rPr>
          <w:lang w:val="fr-CA"/>
        </w:rPr>
        <w:tab/>
        <w:t>Data Update for Eastern Georges Bank Cod in 2019</w:t>
      </w:r>
      <w:r w:rsidR="00A66696" w:rsidRPr="003E4272">
        <w:rPr>
          <w:lang w:val="fr-CA"/>
        </w:rPr>
        <w:t xml:space="preserve"> (Mise à jour des données pour la morue de l’est du banc Georges en 2019)</w:t>
      </w:r>
    </w:p>
    <w:p w14:paraId="63543200" w14:textId="159CBB26" w:rsidR="00D26197" w:rsidRPr="00A0159E" w:rsidRDefault="00D26197" w:rsidP="00670622">
      <w:pPr>
        <w:spacing w:before="0" w:after="0"/>
        <w:ind w:left="3240" w:hanging="3240"/>
      </w:pPr>
      <w:r>
        <w:t xml:space="preserve">Responsables scientifiques : </w:t>
      </w:r>
      <w:r>
        <w:tab/>
        <w:t>M. Barrett, C.</w:t>
      </w:r>
      <w:r w:rsidR="00A66696">
        <w:t> </w:t>
      </w:r>
      <w:r>
        <w:t>Legault, F.</w:t>
      </w:r>
      <w:r w:rsidR="00A66696">
        <w:t> </w:t>
      </w:r>
      <w:r>
        <w:t>Irvine et I.</w:t>
      </w:r>
      <w:r w:rsidR="00A66696">
        <w:t> </w:t>
      </w:r>
      <w:r>
        <w:t>Andrushchenko</w:t>
      </w:r>
    </w:p>
    <w:p w14:paraId="300F1932" w14:textId="5D7B76E2" w:rsidR="00D26197" w:rsidRPr="00A0159E" w:rsidRDefault="00D26197" w:rsidP="00670622">
      <w:pPr>
        <w:spacing w:before="0" w:after="0"/>
        <w:ind w:left="3240" w:hanging="3240"/>
      </w:pPr>
      <w:r>
        <w:t>Présentateur</w:t>
      </w:r>
      <w:r w:rsidR="001C5656">
        <w:t> </w:t>
      </w:r>
      <w:r>
        <w:t xml:space="preserve">: </w:t>
      </w:r>
      <w:r>
        <w:tab/>
        <w:t>M. Barrett</w:t>
      </w:r>
    </w:p>
    <w:p w14:paraId="4E465BEB" w14:textId="60CDA9B6" w:rsidR="00D26197" w:rsidRPr="00A0159E" w:rsidRDefault="00D26197" w:rsidP="00670622">
      <w:pPr>
        <w:spacing w:before="0"/>
        <w:ind w:left="3240" w:hanging="3240"/>
      </w:pPr>
      <w:r>
        <w:t xml:space="preserve">Rapporteurs : </w:t>
      </w:r>
      <w:r>
        <w:tab/>
        <w:t>F.</w:t>
      </w:r>
      <w:r w:rsidR="00A66696">
        <w:t> </w:t>
      </w:r>
      <w:r>
        <w:t>Irvine et K.</w:t>
      </w:r>
      <w:r w:rsidR="00A66696">
        <w:t> </w:t>
      </w:r>
      <w:r>
        <w:t>Clark</w:t>
      </w:r>
    </w:p>
    <w:p w14:paraId="7C412E85" w14:textId="77777777" w:rsidR="00D26197" w:rsidRPr="00A0159E" w:rsidRDefault="00D26197" w:rsidP="003E4272">
      <w:pPr>
        <w:pStyle w:val="Heading4"/>
      </w:pPr>
      <w:r>
        <w:t>Points saillants de la présentation</w:t>
      </w:r>
    </w:p>
    <w:p w14:paraId="6BA29096" w14:textId="4CF49CB5" w:rsidR="00D26197" w:rsidRPr="002761D7" w:rsidRDefault="00D26197" w:rsidP="002761D7">
      <w:pPr>
        <w:pStyle w:val="BodyText"/>
        <w:rPr>
          <w:rStyle w:val="BodyTextChar3"/>
          <w:sz w:val="22"/>
          <w:szCs w:val="20"/>
        </w:rPr>
      </w:pPr>
      <w:r w:rsidRPr="002761D7">
        <w:rPr>
          <w:rStyle w:val="BodyTextChar3"/>
          <w:sz w:val="22"/>
          <w:szCs w:val="20"/>
        </w:rPr>
        <w:t>En 2018, les prises de morues franches combinées du Canada et des États-Unis se sont chiffrées à 565 t</w:t>
      </w:r>
      <w:r w:rsidR="007830CB" w:rsidRPr="002761D7">
        <w:rPr>
          <w:rStyle w:val="BodyTextChar3"/>
          <w:sz w:val="22"/>
          <w:szCs w:val="20"/>
        </w:rPr>
        <w:t>m</w:t>
      </w:r>
      <w:r w:rsidRPr="002761D7">
        <w:rPr>
          <w:rStyle w:val="BodyTextChar3"/>
          <w:sz w:val="22"/>
          <w:szCs w:val="20"/>
        </w:rPr>
        <w:t>, sur un quota de 951 t</w:t>
      </w:r>
      <w:r w:rsidR="007830CB" w:rsidRPr="002761D7">
        <w:rPr>
          <w:rStyle w:val="BodyTextChar3"/>
          <w:sz w:val="22"/>
          <w:szCs w:val="20"/>
        </w:rPr>
        <w:t>m</w:t>
      </w:r>
      <w:r w:rsidRPr="002761D7">
        <w:rPr>
          <w:rStyle w:val="BodyTextChar3"/>
          <w:sz w:val="22"/>
          <w:szCs w:val="20"/>
        </w:rPr>
        <w:t>. Deux des trois</w:t>
      </w:r>
      <w:r w:rsidR="007830CB" w:rsidRPr="002761D7">
        <w:rPr>
          <w:rStyle w:val="BodyTextChar3"/>
          <w:sz w:val="22"/>
          <w:szCs w:val="20"/>
        </w:rPr>
        <w:t> </w:t>
      </w:r>
      <w:r w:rsidRPr="002761D7">
        <w:rPr>
          <w:rStyle w:val="BodyTextChar3"/>
          <w:sz w:val="22"/>
          <w:szCs w:val="20"/>
        </w:rPr>
        <w:t>indices de la biomasse dérivés du relevé de recherche ont augmenté par rapport à l</w:t>
      </w:r>
      <w:r w:rsidR="001B2BE1" w:rsidRPr="002761D7">
        <w:rPr>
          <w:rStyle w:val="BodyTextChar3"/>
          <w:sz w:val="22"/>
          <w:szCs w:val="20"/>
        </w:rPr>
        <w:t>’</w:t>
      </w:r>
      <w:r w:rsidRPr="002761D7">
        <w:rPr>
          <w:rStyle w:val="BodyTextChar3"/>
          <w:sz w:val="22"/>
          <w:szCs w:val="20"/>
        </w:rPr>
        <w:t>année dernière, mais tous les trois restent inférieurs à leur moyenne dans la série chronologique. Le coefficient de condition est égal ou supérieur à la moyenne à long terme établie pour les relevés du printemps et de l</w:t>
      </w:r>
      <w:r w:rsidR="001B2BE1" w:rsidRPr="002761D7">
        <w:rPr>
          <w:rStyle w:val="BodyTextChar3"/>
          <w:sz w:val="22"/>
          <w:szCs w:val="20"/>
        </w:rPr>
        <w:t>’</w:t>
      </w:r>
      <w:r w:rsidRPr="002761D7">
        <w:rPr>
          <w:rStyle w:val="BodyTextChar3"/>
          <w:sz w:val="22"/>
          <w:szCs w:val="20"/>
        </w:rPr>
        <w:t>automne du NMFS, mais il demeure à un faible niveau dans le relevé du MPO. Les morues de grande taille sont toujours absentes des prises de la pêche et du relevé comparativement aux répartitions historiques. La mortalité relative par pêche reste faible ces derniers temps alors que la mortalité totale par relevé demeure élevée, ce qui indique que l</w:t>
      </w:r>
      <w:r w:rsidR="001B2BE1" w:rsidRPr="002761D7">
        <w:rPr>
          <w:rStyle w:val="BodyTextChar3"/>
          <w:sz w:val="22"/>
          <w:szCs w:val="20"/>
        </w:rPr>
        <w:t>’</w:t>
      </w:r>
      <w:r w:rsidRPr="002761D7">
        <w:rPr>
          <w:rStyle w:val="BodyTextChar3"/>
          <w:sz w:val="22"/>
          <w:szCs w:val="20"/>
        </w:rPr>
        <w:t>augmentation de la mortalité totale est attribuable à des facteurs autres que la pêche déclarée.</w:t>
      </w:r>
    </w:p>
    <w:p w14:paraId="5691B676" w14:textId="77777777" w:rsidR="00D26197" w:rsidRPr="00A0159E" w:rsidRDefault="00D26197" w:rsidP="002761D7">
      <w:pPr>
        <w:pStyle w:val="Heading4"/>
      </w:pPr>
      <w:r>
        <w:t>Discussion</w:t>
      </w:r>
    </w:p>
    <w:p w14:paraId="2F11C355" w14:textId="77777777" w:rsidR="00D26197" w:rsidRPr="00A0159E" w:rsidRDefault="00D26197" w:rsidP="002805E2">
      <w:pPr>
        <w:ind w:left="360"/>
        <w:rPr>
          <w:i/>
        </w:rPr>
      </w:pPr>
      <w:r>
        <w:rPr>
          <w:i/>
        </w:rPr>
        <w:t>Examinateurs</w:t>
      </w:r>
    </w:p>
    <w:p w14:paraId="577F4E06" w14:textId="5F2CB3AE" w:rsidR="005D5266" w:rsidRPr="00A0159E" w:rsidRDefault="005D5266" w:rsidP="002761D7">
      <w:pPr>
        <w:pStyle w:val="BodyText"/>
        <w:rPr>
          <w:rFonts w:cs="Arial"/>
        </w:rPr>
      </w:pPr>
      <w:r>
        <w:t xml:space="preserve">Les </w:t>
      </w:r>
      <w:r w:rsidR="007830CB">
        <w:t>trois </w:t>
      </w:r>
      <w:r>
        <w:t>relevés présentent souvent des motifs à losanges (p. ex. un relevé monte, tandis que les autres baissent)</w:t>
      </w:r>
      <w:r w:rsidR="00C56C44">
        <w:t xml:space="preserve">. </w:t>
      </w:r>
      <w:r>
        <w:t>Ces motifs sont la source de problèmes pour tout modèle, quel qu</w:t>
      </w:r>
      <w:r w:rsidR="001B2BE1">
        <w:t>’</w:t>
      </w:r>
      <w:r>
        <w:t>il soit. Il faut comprendre le signal spatial dans les données pour les âges plus avancés, car il pourrait expliquer partiellement la divergence.</w:t>
      </w:r>
    </w:p>
    <w:p w14:paraId="49E11438" w14:textId="35328C73" w:rsidR="005D5266" w:rsidRPr="00A0159E" w:rsidRDefault="005D5266" w:rsidP="002761D7">
      <w:pPr>
        <w:pStyle w:val="BodyText"/>
        <w:rPr>
          <w:szCs w:val="22"/>
        </w:rPr>
      </w:pPr>
      <w:r>
        <w:t>Les examinateurs demandent des précisions sur l</w:t>
      </w:r>
      <w:r w:rsidR="001B2BE1">
        <w:t>’</w:t>
      </w:r>
      <w:r>
        <w:t xml:space="preserve">avis attendu pour la morue en 2020. </w:t>
      </w:r>
      <w:r w:rsidRPr="009059E9">
        <w:rPr>
          <w:lang w:val="fr-CA"/>
        </w:rPr>
        <w:t xml:space="preserve">Le </w:t>
      </w:r>
      <w:r w:rsidR="009059E9">
        <w:rPr>
          <w:lang w:val="fr-CA"/>
        </w:rPr>
        <w:t>cadre de r</w:t>
      </w:r>
      <w:r w:rsidR="009059E9" w:rsidRPr="000274FA">
        <w:rPr>
          <w:lang w:val="fr-CA"/>
        </w:rPr>
        <w:t>é</w:t>
      </w:r>
      <w:r w:rsidR="009059E9">
        <w:rPr>
          <w:lang w:val="fr-CA"/>
        </w:rPr>
        <w:t>f</w:t>
      </w:r>
      <w:r w:rsidR="009059E9" w:rsidRPr="000274FA">
        <w:rPr>
          <w:lang w:val="fr-CA"/>
        </w:rPr>
        <w:t>é</w:t>
      </w:r>
      <w:r w:rsidR="009059E9">
        <w:rPr>
          <w:lang w:val="fr-CA"/>
        </w:rPr>
        <w:t>rence</w:t>
      </w:r>
      <w:r w:rsidRPr="009059E9">
        <w:rPr>
          <w:lang w:val="fr-CA"/>
        </w:rPr>
        <w:t xml:space="preserve"> exigeait que le CERT cerne les changements dans les indicateurs de relevé et de pêche (par rapport à 2018) et formule des commentaires à leur sujet</w:t>
      </w:r>
      <w:r w:rsidR="00C56C44" w:rsidRPr="009059E9">
        <w:rPr>
          <w:lang w:val="fr-CA"/>
        </w:rPr>
        <w:t xml:space="preserve">. </w:t>
      </w:r>
      <w:r>
        <w:t>On signale que rien dans les données d</w:t>
      </w:r>
      <w:r w:rsidR="001B2BE1">
        <w:t>’</w:t>
      </w:r>
      <w:r>
        <w:t>intrant n</w:t>
      </w:r>
      <w:r w:rsidR="001B2BE1">
        <w:t>’</w:t>
      </w:r>
      <w:r>
        <w:t>est très différent de ce qui a été vu en 2018 et que par conséquent, il n</w:t>
      </w:r>
      <w:r w:rsidR="001B2BE1">
        <w:t>’</w:t>
      </w:r>
      <w:r>
        <w:t>y a aucune raison de modifier l</w:t>
      </w:r>
      <w:r w:rsidR="001B2BE1">
        <w:t>’</w:t>
      </w:r>
      <w:r>
        <w:t>avis. Comme il n</w:t>
      </w:r>
      <w:r w:rsidR="001B2BE1">
        <w:t>’</w:t>
      </w:r>
      <w:r>
        <w:t xml:space="preserve">y aura pas de rapport scientifique du CERT sur la morue en 2019, les avis et les conclusions seront consignés dans le compte rendu. </w:t>
      </w:r>
    </w:p>
    <w:p w14:paraId="5AD19297" w14:textId="50F5F194" w:rsidR="005D5266" w:rsidRPr="00A0159E" w:rsidRDefault="005D5266" w:rsidP="002761D7">
      <w:pPr>
        <w:pStyle w:val="BodyText"/>
        <w:rPr>
          <w:szCs w:val="22"/>
        </w:rPr>
      </w:pPr>
      <w:r>
        <w:t>On fait remarquer que le calcul de Z selon la méthode de Sinclair pour la morue présente la même difficulté que les nombres peu élevés de poisson</w:t>
      </w:r>
      <w:r w:rsidR="00812047">
        <w:t>s</w:t>
      </w:r>
      <w:r>
        <w:t xml:space="preserve"> à des âges plus avancés, observés pour la limande à queue jaune</w:t>
      </w:r>
      <w:r w:rsidR="00C56C44">
        <w:t xml:space="preserve">. </w:t>
      </w:r>
      <w:r>
        <w:t>Au cours des deux</w:t>
      </w:r>
      <w:r w:rsidR="007830CB">
        <w:t> </w:t>
      </w:r>
      <w:r>
        <w:t>dernières années, le calcul de Z selon la méthode de Sinclair pour les âges 6 à 8 ne comporte pas de données pour les âges 7 et 8</w:t>
      </w:r>
      <w:r w:rsidR="00C56C44">
        <w:t>,</w:t>
      </w:r>
      <w:r>
        <w:t xml:space="preserve"> ce qui rend la tendance de Z à ces âges plus avancés non fiable, et la comparaison de cette année avec les années précédentes, difficile.</w:t>
      </w:r>
    </w:p>
    <w:p w14:paraId="34F19A6D" w14:textId="48EFD121" w:rsidR="00422FE6" w:rsidRPr="002761D7" w:rsidRDefault="00422FE6" w:rsidP="002761D7">
      <w:pPr>
        <w:pStyle w:val="BodyText"/>
      </w:pPr>
      <w:r>
        <w:t>Il semble qu</w:t>
      </w:r>
      <w:r w:rsidR="001B2BE1">
        <w:t>’</w:t>
      </w:r>
      <w:r>
        <w:t xml:space="preserve">il y ait une poussée de petits poissons (30 à </w:t>
      </w:r>
      <w:r w:rsidR="007830CB">
        <w:t>40 </w:t>
      </w:r>
      <w:r>
        <w:t>cm) dans les prises selon la longueur du relevé effectué à l</w:t>
      </w:r>
      <w:r w:rsidR="001B2BE1">
        <w:t>’</w:t>
      </w:r>
      <w:r>
        <w:t>automne par le NMFS</w:t>
      </w:r>
      <w:r w:rsidR="00C56C44">
        <w:t xml:space="preserve">. </w:t>
      </w:r>
      <w:r>
        <w:t>Il s</w:t>
      </w:r>
      <w:r w:rsidR="001B2BE1">
        <w:t>’</w:t>
      </w:r>
      <w:r>
        <w:t>agit probablement de poissons d</w:t>
      </w:r>
      <w:r w:rsidR="001B2BE1">
        <w:t>’</w:t>
      </w:r>
      <w:r>
        <w:t>âge</w:t>
      </w:r>
      <w:r w:rsidR="007830CB">
        <w:t> </w:t>
      </w:r>
      <w:r>
        <w:t xml:space="preserve">1 et, par rapport à la moyenne des </w:t>
      </w:r>
      <w:r w:rsidR="00B40BB6">
        <w:t>10 </w:t>
      </w:r>
      <w:r>
        <w:t>dernières années, il semble que ce soit beaucoup de poissons</w:t>
      </w:r>
      <w:r w:rsidR="00C56C44">
        <w:t xml:space="preserve">. </w:t>
      </w:r>
      <w:r>
        <w:t xml:space="preserve">Toutefois, le stock a atteint des niveaux historiquement bas ces </w:t>
      </w:r>
      <w:r w:rsidR="00B40BB6">
        <w:t>10 </w:t>
      </w:r>
      <w:r>
        <w:t xml:space="preserve">dernières </w:t>
      </w:r>
      <w:r>
        <w:lastRenderedPageBreak/>
        <w:t xml:space="preserve">années et il convient de noter que cette poussée </w:t>
      </w:r>
      <w:r w:rsidRPr="002761D7">
        <w:t>de poissons ne représente que 10 % de ce qui a été observé dans les années</w:t>
      </w:r>
      <w:r w:rsidR="00D80605" w:rsidRPr="002761D7">
        <w:t> </w:t>
      </w:r>
      <w:r w:rsidRPr="002761D7">
        <w:t>1970 à 1990.</w:t>
      </w:r>
    </w:p>
    <w:p w14:paraId="33BE0CD5" w14:textId="77777777" w:rsidR="00D26197" w:rsidRPr="00A0159E" w:rsidRDefault="00D26197" w:rsidP="00151F25">
      <w:pPr>
        <w:keepNext/>
        <w:keepLines/>
        <w:ind w:left="360"/>
        <w:rPr>
          <w:i/>
        </w:rPr>
      </w:pPr>
      <w:r>
        <w:rPr>
          <w:i/>
        </w:rPr>
        <w:t>Personnel scientifique, gestionnaires de ressources désignés et coprésidentes du CERT</w:t>
      </w:r>
    </w:p>
    <w:p w14:paraId="1CFF1AED" w14:textId="2256F729" w:rsidR="00D26197" w:rsidRPr="00A0159E" w:rsidRDefault="00D26197" w:rsidP="002761D7">
      <w:pPr>
        <w:pStyle w:val="BodyText"/>
        <w:rPr>
          <w:rFonts w:cs="Arial"/>
        </w:rPr>
      </w:pPr>
      <w:r>
        <w:t>Il est convenu qu</w:t>
      </w:r>
      <w:r w:rsidR="001B2BE1">
        <w:t>’</w:t>
      </w:r>
      <w:r>
        <w:t>il n</w:t>
      </w:r>
      <w:r w:rsidR="001B2BE1">
        <w:t>’</w:t>
      </w:r>
      <w:r>
        <w:t>y a aucune raison évidente de modifier l</w:t>
      </w:r>
      <w:r w:rsidR="001B2BE1">
        <w:t>’</w:t>
      </w:r>
      <w:r>
        <w:t>avis et les conclusions cette année.</w:t>
      </w:r>
    </w:p>
    <w:p w14:paraId="01B8BDE2" w14:textId="77777777" w:rsidR="00D26197" w:rsidRPr="00A0159E" w:rsidRDefault="00D26197" w:rsidP="002805E2">
      <w:pPr>
        <w:ind w:left="360"/>
        <w:rPr>
          <w:i/>
        </w:rPr>
      </w:pPr>
      <w:r>
        <w:rPr>
          <w:i/>
        </w:rPr>
        <w:t>Autres participants à la réunion</w:t>
      </w:r>
    </w:p>
    <w:p w14:paraId="27593B07" w14:textId="5E58E7EB" w:rsidR="00D26197" w:rsidRPr="002761D7" w:rsidRDefault="00422FE6" w:rsidP="002761D7">
      <w:pPr>
        <w:pStyle w:val="BodyText"/>
        <w:rPr>
          <w:rStyle w:val="BodyTextChar3"/>
          <w:sz w:val="22"/>
          <w:szCs w:val="20"/>
        </w:rPr>
      </w:pPr>
      <w:r w:rsidRPr="002761D7">
        <w:rPr>
          <w:rStyle w:val="BodyTextChar3"/>
          <w:sz w:val="22"/>
          <w:szCs w:val="20"/>
        </w:rPr>
        <w:t>Malgré l</w:t>
      </w:r>
      <w:r w:rsidR="001B2BE1" w:rsidRPr="002761D7">
        <w:rPr>
          <w:rStyle w:val="BodyTextChar3"/>
          <w:sz w:val="22"/>
          <w:szCs w:val="20"/>
        </w:rPr>
        <w:t>’</w:t>
      </w:r>
      <w:r w:rsidRPr="002761D7">
        <w:rPr>
          <w:rStyle w:val="BodyTextChar3"/>
          <w:sz w:val="22"/>
          <w:szCs w:val="20"/>
        </w:rPr>
        <w:t>absence de rapport scientifique du CERT pour la morue, le groupe est d</w:t>
      </w:r>
      <w:r w:rsidR="001B2BE1" w:rsidRPr="002761D7">
        <w:rPr>
          <w:rStyle w:val="BodyTextChar3"/>
          <w:sz w:val="22"/>
          <w:szCs w:val="20"/>
        </w:rPr>
        <w:t>’</w:t>
      </w:r>
      <w:r w:rsidRPr="002761D7">
        <w:rPr>
          <w:rStyle w:val="BodyTextChar3"/>
          <w:sz w:val="22"/>
          <w:szCs w:val="20"/>
        </w:rPr>
        <w:t>accord pour que le CERT fasse rapport sur les divers facteurs biologiques, et il sera précisé dans le compte rendu qu</w:t>
      </w:r>
      <w:r w:rsidR="001B2BE1" w:rsidRPr="002761D7">
        <w:rPr>
          <w:rStyle w:val="BodyTextChar3"/>
          <w:sz w:val="22"/>
          <w:szCs w:val="20"/>
        </w:rPr>
        <w:t>’</w:t>
      </w:r>
      <w:r w:rsidRPr="002761D7">
        <w:rPr>
          <w:rStyle w:val="BodyTextChar3"/>
          <w:sz w:val="22"/>
          <w:szCs w:val="20"/>
        </w:rPr>
        <w:t>il n</w:t>
      </w:r>
      <w:r w:rsidR="001B2BE1" w:rsidRPr="002761D7">
        <w:rPr>
          <w:rStyle w:val="BodyTextChar3"/>
          <w:sz w:val="22"/>
          <w:szCs w:val="20"/>
        </w:rPr>
        <w:t>’</w:t>
      </w:r>
      <w:r w:rsidRPr="002761D7">
        <w:rPr>
          <w:rStyle w:val="BodyTextChar3"/>
          <w:sz w:val="22"/>
          <w:szCs w:val="20"/>
        </w:rPr>
        <w:t>y a rien de manifestement différent dans les indices et les intrants qui entraînerait une modification de l</w:t>
      </w:r>
      <w:r w:rsidR="001B2BE1" w:rsidRPr="002761D7">
        <w:rPr>
          <w:rStyle w:val="BodyTextChar3"/>
          <w:sz w:val="22"/>
          <w:szCs w:val="20"/>
        </w:rPr>
        <w:t>’</w:t>
      </w:r>
      <w:r w:rsidRPr="002761D7">
        <w:rPr>
          <w:rStyle w:val="BodyTextChar3"/>
          <w:sz w:val="22"/>
          <w:szCs w:val="20"/>
        </w:rPr>
        <w:t>avis par rapport à l</w:t>
      </w:r>
      <w:r w:rsidR="001B2BE1" w:rsidRPr="002761D7">
        <w:rPr>
          <w:rStyle w:val="BodyTextChar3"/>
          <w:sz w:val="22"/>
          <w:szCs w:val="20"/>
        </w:rPr>
        <w:t>’</w:t>
      </w:r>
      <w:r w:rsidRPr="002761D7">
        <w:rPr>
          <w:rStyle w:val="BodyTextChar3"/>
          <w:sz w:val="22"/>
          <w:szCs w:val="20"/>
        </w:rPr>
        <w:t>an dernier</w:t>
      </w:r>
      <w:r w:rsidR="00C56C44" w:rsidRPr="002761D7">
        <w:rPr>
          <w:rStyle w:val="BodyTextChar3"/>
          <w:sz w:val="22"/>
          <w:szCs w:val="20"/>
        </w:rPr>
        <w:t xml:space="preserve">. </w:t>
      </w:r>
      <w:r w:rsidRPr="002761D7">
        <w:rPr>
          <w:rStyle w:val="BodyTextChar3"/>
          <w:sz w:val="22"/>
          <w:szCs w:val="20"/>
        </w:rPr>
        <w:t>On demande à l</w:t>
      </w:r>
      <w:r w:rsidR="001B2BE1" w:rsidRPr="002761D7">
        <w:rPr>
          <w:rStyle w:val="BodyTextChar3"/>
          <w:sz w:val="22"/>
          <w:szCs w:val="20"/>
        </w:rPr>
        <w:t>’</w:t>
      </w:r>
      <w:r w:rsidRPr="002761D7">
        <w:rPr>
          <w:rStyle w:val="BodyTextChar3"/>
          <w:sz w:val="22"/>
          <w:szCs w:val="20"/>
        </w:rPr>
        <w:t>équipe d</w:t>
      </w:r>
      <w:r w:rsidR="001B2BE1" w:rsidRPr="002761D7">
        <w:rPr>
          <w:rStyle w:val="BodyTextChar3"/>
          <w:sz w:val="22"/>
          <w:szCs w:val="20"/>
        </w:rPr>
        <w:t>’</w:t>
      </w:r>
      <w:r w:rsidRPr="002761D7">
        <w:rPr>
          <w:rStyle w:val="BodyTextChar3"/>
          <w:sz w:val="22"/>
          <w:szCs w:val="20"/>
        </w:rPr>
        <w:t>évaluation de rédiger une déclaration de consensus qui sera examinée et incluse dans le compte rendu.</w:t>
      </w:r>
    </w:p>
    <w:p w14:paraId="253A50AA" w14:textId="7E121AA1" w:rsidR="00422FE6" w:rsidRPr="00A0159E" w:rsidRDefault="00151F25" w:rsidP="00E607EA">
      <w:pPr>
        <w:pStyle w:val="Heading3"/>
        <w:rPr>
          <w:rStyle w:val="BodyTextChar3"/>
          <w:color w:val="000000"/>
          <w:sz w:val="22"/>
          <w:szCs w:val="22"/>
        </w:rPr>
      </w:pPr>
      <w:bookmarkStart w:id="14" w:name="_Toc44059149"/>
      <w:r>
        <w:rPr>
          <w:rStyle w:val="BodyTextChar3"/>
          <w:color w:val="000000"/>
          <w:sz w:val="22"/>
          <w:szCs w:val="22"/>
        </w:rPr>
        <w:t>A</w:t>
      </w:r>
      <w:r w:rsidR="00E333AC">
        <w:rPr>
          <w:rStyle w:val="BodyTextChar3"/>
          <w:color w:val="000000"/>
          <w:sz w:val="22"/>
          <w:szCs w:val="22"/>
        </w:rPr>
        <w:t>utres méthodes pour la prestation d</w:t>
      </w:r>
      <w:r w:rsidR="001B2BE1">
        <w:rPr>
          <w:rStyle w:val="BodyTextChar3"/>
          <w:color w:val="000000"/>
          <w:sz w:val="22"/>
          <w:szCs w:val="22"/>
        </w:rPr>
        <w:t>’</w:t>
      </w:r>
      <w:r w:rsidR="00E333AC">
        <w:rPr>
          <w:rStyle w:val="BodyTextChar3"/>
          <w:color w:val="000000"/>
          <w:sz w:val="22"/>
          <w:szCs w:val="22"/>
        </w:rPr>
        <w:t>avis provisoires sur les prises de morue de l</w:t>
      </w:r>
      <w:r w:rsidR="001B2BE1">
        <w:rPr>
          <w:rStyle w:val="BodyTextChar3"/>
          <w:color w:val="000000"/>
          <w:sz w:val="22"/>
          <w:szCs w:val="22"/>
        </w:rPr>
        <w:t>’</w:t>
      </w:r>
      <w:r w:rsidR="00E333AC">
        <w:rPr>
          <w:rStyle w:val="BodyTextChar3"/>
          <w:color w:val="000000"/>
          <w:sz w:val="22"/>
          <w:szCs w:val="22"/>
        </w:rPr>
        <w:t xml:space="preserve">est du </w:t>
      </w:r>
      <w:r w:rsidR="00E8153D">
        <w:rPr>
          <w:rStyle w:val="BodyTextChar3"/>
          <w:color w:val="000000"/>
          <w:sz w:val="22"/>
          <w:szCs w:val="22"/>
        </w:rPr>
        <w:t>banc Georges</w:t>
      </w:r>
      <w:bookmarkEnd w:id="14"/>
    </w:p>
    <w:p w14:paraId="4935616C" w14:textId="703C3B58" w:rsidR="008B7786" w:rsidRPr="002761D7" w:rsidRDefault="00422FE6" w:rsidP="00E333AC">
      <w:pPr>
        <w:spacing w:before="0" w:after="0"/>
        <w:ind w:left="3240" w:hanging="3240"/>
        <w:rPr>
          <w:rFonts w:cs="Arial"/>
          <w:szCs w:val="22"/>
          <w:lang w:val="fr-CA"/>
        </w:rPr>
      </w:pPr>
      <w:r w:rsidRPr="002761D7">
        <w:rPr>
          <w:lang w:val="fr-CA"/>
        </w:rPr>
        <w:t>Document de travail</w:t>
      </w:r>
      <w:r w:rsidR="00D80605" w:rsidRPr="002761D7">
        <w:rPr>
          <w:lang w:val="fr-CA"/>
        </w:rPr>
        <w:t> </w:t>
      </w:r>
      <w:r w:rsidRPr="002761D7">
        <w:rPr>
          <w:lang w:val="fr-CA"/>
        </w:rPr>
        <w:t>2019/</w:t>
      </w:r>
      <w:r w:rsidR="002761D7" w:rsidRPr="002761D7">
        <w:rPr>
          <w:lang w:val="fr-CA"/>
        </w:rPr>
        <w:t>05</w:t>
      </w:r>
      <w:r w:rsidRPr="002761D7">
        <w:rPr>
          <w:lang w:val="fr-CA"/>
        </w:rPr>
        <w:t xml:space="preserve"> : </w:t>
      </w:r>
      <w:r w:rsidRPr="002761D7">
        <w:rPr>
          <w:lang w:val="fr-CA"/>
        </w:rPr>
        <w:tab/>
        <w:t xml:space="preserve">Alternative Methodologies for Providing Interim Catch Advice for Eastern Georges Bank Cod </w:t>
      </w:r>
      <w:r w:rsidR="00337280" w:rsidRPr="002761D7">
        <w:rPr>
          <w:lang w:val="fr-CA"/>
        </w:rPr>
        <w:t>(Autres méthodes pour la prestation d’avis provisoires sur les prises de morue de l’est du banc Georges)</w:t>
      </w:r>
    </w:p>
    <w:p w14:paraId="1FE75A02" w14:textId="1711D1DA" w:rsidR="00422FE6" w:rsidRPr="00A0159E" w:rsidRDefault="00422FE6" w:rsidP="00E333AC">
      <w:pPr>
        <w:spacing w:before="0" w:after="0"/>
        <w:ind w:left="3240" w:hanging="3240"/>
        <w:rPr>
          <w:rFonts w:cs="Arial"/>
          <w:szCs w:val="22"/>
        </w:rPr>
      </w:pPr>
      <w:r>
        <w:t>Responsables scientifiques :</w:t>
      </w:r>
      <w:r>
        <w:tab/>
        <w:t>I.</w:t>
      </w:r>
      <w:r w:rsidR="00337280">
        <w:t> </w:t>
      </w:r>
      <w:r>
        <w:t>Andrushchenko, C.</w:t>
      </w:r>
      <w:r w:rsidR="00337280">
        <w:t> </w:t>
      </w:r>
      <w:r>
        <w:t>Legault et M.A.</w:t>
      </w:r>
      <w:r w:rsidR="00337280">
        <w:t> </w:t>
      </w:r>
      <w:r>
        <w:t>Barrett</w:t>
      </w:r>
    </w:p>
    <w:p w14:paraId="0974B62D" w14:textId="6D8EACBC" w:rsidR="00422FE6" w:rsidRPr="00A0159E" w:rsidRDefault="00422FE6" w:rsidP="00E333AC">
      <w:pPr>
        <w:spacing w:before="0" w:after="0"/>
        <w:ind w:left="3240" w:hanging="3240"/>
      </w:pPr>
      <w:r>
        <w:t>Présentateurs</w:t>
      </w:r>
      <w:r w:rsidR="001C5656">
        <w:t> </w:t>
      </w:r>
      <w:r>
        <w:t>:</w:t>
      </w:r>
      <w:r>
        <w:tab/>
        <w:t>I.</w:t>
      </w:r>
      <w:r w:rsidR="00337280">
        <w:t> </w:t>
      </w:r>
      <w:r>
        <w:t>Andrushchenko et C.</w:t>
      </w:r>
      <w:r w:rsidR="00337280">
        <w:t> </w:t>
      </w:r>
      <w:r>
        <w:t>Legault</w:t>
      </w:r>
    </w:p>
    <w:p w14:paraId="5D7D9FB5" w14:textId="4233D88B" w:rsidR="00422FE6" w:rsidRPr="00A0159E" w:rsidRDefault="00422FE6" w:rsidP="00E333AC">
      <w:pPr>
        <w:spacing w:before="0"/>
        <w:ind w:left="3240" w:hanging="3240"/>
      </w:pPr>
      <w:r>
        <w:t xml:space="preserve">Rapporteurs : </w:t>
      </w:r>
      <w:r>
        <w:tab/>
        <w:t>F.</w:t>
      </w:r>
      <w:r w:rsidR="00337280">
        <w:t> </w:t>
      </w:r>
      <w:r>
        <w:t>Irvine et K.</w:t>
      </w:r>
      <w:r w:rsidR="00337280">
        <w:t> </w:t>
      </w:r>
      <w:r>
        <w:t>Clark</w:t>
      </w:r>
    </w:p>
    <w:p w14:paraId="3764C7E8" w14:textId="77777777" w:rsidR="008B7786" w:rsidRPr="00A0159E" w:rsidRDefault="008B7786" w:rsidP="002761D7">
      <w:pPr>
        <w:pStyle w:val="Heading4"/>
      </w:pPr>
      <w:r>
        <w:t>Points saillants de la présentation</w:t>
      </w:r>
    </w:p>
    <w:p w14:paraId="3055F15D" w14:textId="0BD955F8" w:rsidR="008B7786" w:rsidRPr="00A0159E" w:rsidRDefault="008B7786" w:rsidP="002761D7">
      <w:pPr>
        <w:pStyle w:val="BodyText"/>
        <w:rPr>
          <w:rFonts w:cs="Arial"/>
          <w:szCs w:val="22"/>
        </w:rPr>
      </w:pPr>
      <w:r>
        <w:t>À la suite de la réunion du CERT de 2018, en raison des mauvais diagnostics des modèles de l</w:t>
      </w:r>
      <w:r w:rsidR="001B2BE1">
        <w:t>’</w:t>
      </w:r>
      <w:r>
        <w:t>APV et du Programme d</w:t>
      </w:r>
      <w:r w:rsidR="001B2BE1">
        <w:t>’</w:t>
      </w:r>
      <w:r>
        <w:t>évaluation selon la structure d</w:t>
      </w:r>
      <w:r w:rsidR="001B2BE1">
        <w:t>’</w:t>
      </w:r>
      <w:r>
        <w:t>âge (PESA) pour la morue de l</w:t>
      </w:r>
      <w:r w:rsidR="001B2BE1">
        <w:t>’</w:t>
      </w:r>
      <w:r>
        <w:t xml:space="preserve">est du </w:t>
      </w:r>
      <w:r w:rsidR="00E8153D">
        <w:t>banc Georges</w:t>
      </w:r>
      <w:r>
        <w:t>, le COGST a demandé au CERT d</w:t>
      </w:r>
      <w:r w:rsidR="001B2BE1">
        <w:t>’</w:t>
      </w:r>
      <w:r>
        <w:t>examiner d</w:t>
      </w:r>
      <w:r w:rsidR="001B2BE1">
        <w:t>’</w:t>
      </w:r>
      <w:r>
        <w:t>autres méthodes de prestation des avis sur les prises. Deux</w:t>
      </w:r>
      <w:r w:rsidR="00337280">
        <w:t> </w:t>
      </w:r>
      <w:r>
        <w:t>approches sont présentées aux fins d</w:t>
      </w:r>
      <w:r w:rsidR="001B2BE1">
        <w:t>’</w:t>
      </w:r>
      <w:r>
        <w:t>examen plus poussé : l</w:t>
      </w:r>
      <w:r w:rsidR="001B2BE1">
        <w:t>’</w:t>
      </w:r>
      <w:r>
        <w:t xml:space="preserve">approche Rose et la boîte à outils sur les méthodes à données limitées </w:t>
      </w:r>
      <w:r w:rsidR="00631B35">
        <w:t>(DLMtool</w:t>
      </w:r>
      <w:r>
        <w:t>). L</w:t>
      </w:r>
      <w:r w:rsidR="001B2BE1">
        <w:t>’</w:t>
      </w:r>
      <w:r>
        <w:t>approche Rose utilise une variété de modèles d</w:t>
      </w:r>
      <w:r w:rsidR="001B2BE1">
        <w:t>’</w:t>
      </w:r>
      <w:r>
        <w:t>évaluation pour aborder les profils rétrospectifs et fournir des avis sur les prises basés sur l</w:t>
      </w:r>
      <w:r w:rsidR="001B2BE1">
        <w:t>’</w:t>
      </w:r>
      <w:r>
        <w:t>ensemble des modèles, soit par un calcul fondé sur une formule, soit en faisant des compromis entre les conséquences à court et à long terme. L</w:t>
      </w:r>
      <w:r w:rsidR="001B2BE1">
        <w:t>’</w:t>
      </w:r>
      <w:r>
        <w:t>approche DLMtool fournit une plateforme de simulation qui imite la dynamique du stock pour une gamme d</w:t>
      </w:r>
      <w:r w:rsidR="001B2BE1">
        <w:t>’</w:t>
      </w:r>
      <w:r>
        <w:t>incertitudes, par rapport à laquelle des procédures de gestion simples fondées sur un indice pour la fourniture d</w:t>
      </w:r>
      <w:r w:rsidR="001B2BE1">
        <w:t>’</w:t>
      </w:r>
      <w:r>
        <w:t>avis provisoires peuvent être testées. Les avantages et les inconvénients des deux</w:t>
      </w:r>
      <w:r w:rsidR="00337280">
        <w:t> </w:t>
      </w:r>
      <w:r>
        <w:t>approches sont présentés.</w:t>
      </w:r>
    </w:p>
    <w:p w14:paraId="6C194DB5" w14:textId="77777777" w:rsidR="008B7786" w:rsidRPr="00A0159E" w:rsidRDefault="008B7786" w:rsidP="002761D7">
      <w:pPr>
        <w:pStyle w:val="Heading4"/>
      </w:pPr>
      <w:r>
        <w:t>Discussion</w:t>
      </w:r>
    </w:p>
    <w:p w14:paraId="21C6F930" w14:textId="1D782C31" w:rsidR="00A67EAA" w:rsidRPr="00A0159E" w:rsidRDefault="00A67EAA" w:rsidP="002761D7">
      <w:pPr>
        <w:pStyle w:val="BodyText"/>
        <w:rPr>
          <w:rFonts w:cs="Arial"/>
        </w:rPr>
      </w:pPr>
      <w:r>
        <w:t>Le président ouvre la discussion en demandant aux responsables de l</w:t>
      </w:r>
      <w:r w:rsidR="001B2BE1">
        <w:t>’</w:t>
      </w:r>
      <w:r>
        <w:t>évaluation s</w:t>
      </w:r>
      <w:r w:rsidR="001B2BE1">
        <w:t>’</w:t>
      </w:r>
      <w:r>
        <w:t>ils favorisent une approche plutôt qu</w:t>
      </w:r>
      <w:r w:rsidR="001B2BE1">
        <w:t>’</w:t>
      </w:r>
      <w:r>
        <w:t>une autre. Les responsables reconnaissent que les deux</w:t>
      </w:r>
      <w:r w:rsidR="00337280">
        <w:t> </w:t>
      </w:r>
      <w:r>
        <w:t>approches comportent des avantages et qu</w:t>
      </w:r>
      <w:r w:rsidR="001B2BE1">
        <w:t>’</w:t>
      </w:r>
      <w:r>
        <w:t>ils seraient à l</w:t>
      </w:r>
      <w:r w:rsidR="001B2BE1">
        <w:t>’</w:t>
      </w:r>
      <w:r>
        <w:t>aise d</w:t>
      </w:r>
      <w:r w:rsidR="001B2BE1">
        <w:t>’</w:t>
      </w:r>
      <w:r>
        <w:t>aller de l</w:t>
      </w:r>
      <w:r w:rsidR="001B2BE1">
        <w:t>’</w:t>
      </w:r>
      <w:r>
        <w:t>avant avec l</w:t>
      </w:r>
      <w:r w:rsidR="001B2BE1">
        <w:t>’</w:t>
      </w:r>
      <w:r>
        <w:t>une ou l</w:t>
      </w:r>
      <w:r w:rsidR="001B2BE1">
        <w:t>’</w:t>
      </w:r>
      <w:r>
        <w:t>autre. Ils soulignent toutefois que le CERT doit retenir l</w:t>
      </w:r>
      <w:r w:rsidR="001B2BE1">
        <w:t>’</w:t>
      </w:r>
      <w:r>
        <w:t>une des approches pour faire avancer les travaux, car la charge de travail et le temps ne permettent pas de poursuivre les deux</w:t>
      </w:r>
      <w:r w:rsidR="00337280">
        <w:t> </w:t>
      </w:r>
      <w:r>
        <w:t>approches.</w:t>
      </w:r>
    </w:p>
    <w:p w14:paraId="69527795" w14:textId="77777777" w:rsidR="008B7786" w:rsidRPr="00A0159E" w:rsidRDefault="008B7786" w:rsidP="002805E2">
      <w:pPr>
        <w:ind w:left="360"/>
        <w:rPr>
          <w:i/>
        </w:rPr>
      </w:pPr>
      <w:r>
        <w:rPr>
          <w:i/>
        </w:rPr>
        <w:t>Examinateurs</w:t>
      </w:r>
    </w:p>
    <w:p w14:paraId="1BC28478" w14:textId="30BC2642" w:rsidR="0060463F" w:rsidRPr="00A0159E" w:rsidRDefault="009F0951" w:rsidP="002761D7">
      <w:pPr>
        <w:pStyle w:val="BodyText"/>
        <w:rPr>
          <w:rFonts w:cs="Arial"/>
        </w:rPr>
      </w:pPr>
      <w:r>
        <w:t>Les examinateurs trouvent les deux</w:t>
      </w:r>
      <w:r w:rsidR="00337280">
        <w:t> </w:t>
      </w:r>
      <w:r>
        <w:t>approches intéressantes et appropriées. On fait remarquer que le choix des modèles est très important avec l</w:t>
      </w:r>
      <w:r w:rsidR="001B2BE1">
        <w:t>’</w:t>
      </w:r>
      <w:r>
        <w:t>approche Rose afin de ne pas fausser les résultats, et qu</w:t>
      </w:r>
      <w:r w:rsidR="001B2BE1">
        <w:t>’</w:t>
      </w:r>
      <w:r>
        <w:t>il faut tenir compte de la façon dont les résultats de la série de modèles seront rassemblés en fin de compte</w:t>
      </w:r>
      <w:r w:rsidR="00C56C44">
        <w:t xml:space="preserve">. </w:t>
      </w:r>
      <w:r>
        <w:t>Par exemple, la biomasse du stock reproducteur (</w:t>
      </w:r>
      <w:r w:rsidRPr="007E489F">
        <w:t>BSR</w:t>
      </w:r>
      <w:r>
        <w:t xml:space="preserve">) selon le </w:t>
      </w:r>
      <w:r>
        <w:lastRenderedPageBreak/>
        <w:t>PESA entraînerait divers scénarios donnant différentes répartitions. Afin de regrouper les résultats de l</w:t>
      </w:r>
      <w:r w:rsidR="001B2BE1">
        <w:t>’</w:t>
      </w:r>
      <w:r>
        <w:t>ensemble des modèles, il serait possible d</w:t>
      </w:r>
      <w:r w:rsidR="001B2BE1">
        <w:t>’</w:t>
      </w:r>
      <w:r>
        <w:t xml:space="preserve">échantillonner à partir de </w:t>
      </w:r>
      <w:r w:rsidR="00A8105B">
        <w:t>ce qui vient a posteriori</w:t>
      </w:r>
      <w:r>
        <w:t>, comme dans une approche de Monte Carlo par chaînes de Markov (MCMC)</w:t>
      </w:r>
      <w:r w:rsidR="00C56C44">
        <w:t xml:space="preserve">. </w:t>
      </w:r>
      <w:r>
        <w:t>On précise toutefois qu</w:t>
      </w:r>
      <w:r w:rsidR="001B2BE1">
        <w:t>’</w:t>
      </w:r>
      <w:r>
        <w:t>il ne conviendrait pas de se limiter à faire une moyenne des résultats. La méthode Rose permettrait de calculer des points de référence à partir de chacun des modèles utilisés, qui pourraient ensuite être comparés à leur propre point de référence ou à un point de référence global. Cette approche pourrait fournir à la fois un avis sur les prises et un état du stock. Les simulations de cette approche sont difficiles et le choix d</w:t>
      </w:r>
      <w:r w:rsidR="001B2BE1">
        <w:t>’</w:t>
      </w:r>
      <w:r>
        <w:t>un « mauvais » groupe de modèles présente un défi</w:t>
      </w:r>
      <w:r w:rsidR="00C56C44">
        <w:t xml:space="preserve">. </w:t>
      </w:r>
      <w:r>
        <w:t>La bonne façon de s</w:t>
      </w:r>
      <w:r w:rsidR="001B2BE1">
        <w:t>’</w:t>
      </w:r>
      <w:r>
        <w:t>y prendre est d</w:t>
      </w:r>
      <w:r w:rsidR="001B2BE1">
        <w:t>’</w:t>
      </w:r>
      <w:r>
        <w:t>adopter une approche reposant sur un outil d</w:t>
      </w:r>
      <w:r w:rsidR="001B2BE1">
        <w:t>’</w:t>
      </w:r>
      <w:r>
        <w:t>évaluation des stratégies de gestion (ESG) pour l</w:t>
      </w:r>
      <w:r w:rsidR="001B2BE1">
        <w:t>’</w:t>
      </w:r>
      <w:r>
        <w:t>ensemble des modèles. Ce</w:t>
      </w:r>
      <w:r w:rsidR="00A8105B">
        <w:t>la</w:t>
      </w:r>
      <w:r>
        <w:t xml:space="preserve"> n</w:t>
      </w:r>
      <w:r w:rsidR="001B2BE1">
        <w:t>’</w:t>
      </w:r>
      <w:r>
        <w:t>est pas simple et ne pourrait être fait en un an.</w:t>
      </w:r>
    </w:p>
    <w:p w14:paraId="1060B44E" w14:textId="3D1488BE" w:rsidR="007D7C91" w:rsidRPr="00A0159E" w:rsidRDefault="00C750D8" w:rsidP="002761D7">
      <w:pPr>
        <w:pStyle w:val="BodyText"/>
        <w:rPr>
          <w:rFonts w:cs="Arial"/>
        </w:rPr>
      </w:pPr>
      <w:r>
        <w:t>L</w:t>
      </w:r>
      <w:r w:rsidR="001B2BE1">
        <w:t>’</w:t>
      </w:r>
      <w:r>
        <w:t>approche fondée sur DLMTool n</w:t>
      </w:r>
      <w:r w:rsidR="001B2BE1">
        <w:t>’</w:t>
      </w:r>
      <w:r>
        <w:t>est pas un modèle d</w:t>
      </w:r>
      <w:r w:rsidR="001B2BE1">
        <w:t>’</w:t>
      </w:r>
      <w:r>
        <w:t>évaluation et ne permettra pas d</w:t>
      </w:r>
      <w:r w:rsidR="001B2BE1">
        <w:t>’</w:t>
      </w:r>
      <w:r>
        <w:t>estimer la BSR</w:t>
      </w:r>
      <w:r w:rsidR="00C56C44">
        <w:t xml:space="preserve">. </w:t>
      </w:r>
      <w:r>
        <w:t>Il s</w:t>
      </w:r>
      <w:r w:rsidR="001B2BE1">
        <w:t>’</w:t>
      </w:r>
      <w:r>
        <w:t>agit plutôt d</w:t>
      </w:r>
      <w:r w:rsidR="001B2BE1">
        <w:t>’</w:t>
      </w:r>
      <w:r>
        <w:t>une approche visant à simuler la fourchette d</w:t>
      </w:r>
      <w:r w:rsidR="001B2BE1">
        <w:t>’</w:t>
      </w:r>
      <w:r>
        <w:t>incertitudes et à mettre à l</w:t>
      </w:r>
      <w:r w:rsidR="001B2BE1">
        <w:t>’</w:t>
      </w:r>
      <w:r>
        <w:t>essai des stratégies de récolte afin de déterminer si le rendement est uniforme dans cette fourchette d</w:t>
      </w:r>
      <w:r w:rsidR="001B2BE1">
        <w:t>’</w:t>
      </w:r>
      <w:r>
        <w:t>incertitudes</w:t>
      </w:r>
      <w:r w:rsidR="00C56C44">
        <w:t xml:space="preserve">. </w:t>
      </w:r>
      <w:r>
        <w:t>Pour ce faire, il faut produire des modèles opérationnels à l</w:t>
      </w:r>
      <w:r w:rsidR="001B2BE1">
        <w:t>’</w:t>
      </w:r>
      <w:r>
        <w:t>aide d</w:t>
      </w:r>
      <w:r w:rsidR="001B2BE1">
        <w:t>’</w:t>
      </w:r>
      <w:r>
        <w:t>historiques et de scénarios prédictifs</w:t>
      </w:r>
      <w:r w:rsidR="00C56C44">
        <w:t xml:space="preserve">. </w:t>
      </w:r>
      <w:r>
        <w:t>L</w:t>
      </w:r>
      <w:r w:rsidR="001B2BE1">
        <w:t>’</w:t>
      </w:r>
      <w:r>
        <w:t>approche exige des objectifs de gestion qui ont été fournis par le COGST et d</w:t>
      </w:r>
      <w:r w:rsidR="001B2BE1">
        <w:t>’</w:t>
      </w:r>
      <w:r>
        <w:t>autres organismes de gestion</w:t>
      </w:r>
      <w:r w:rsidR="00C56C44">
        <w:t xml:space="preserve">. </w:t>
      </w:r>
      <w:r>
        <w:t>On risque de ne pas trouver une seule procédure de gestion qui résiste à toutes les incertitudes</w:t>
      </w:r>
      <w:r w:rsidR="00C56C44">
        <w:t xml:space="preserve">. </w:t>
      </w:r>
      <w:r>
        <w:t>L</w:t>
      </w:r>
      <w:r w:rsidR="001B2BE1">
        <w:t>’</w:t>
      </w:r>
      <w:r>
        <w:t>approche présente l</w:t>
      </w:r>
      <w:r w:rsidR="001B2BE1">
        <w:t>’</w:t>
      </w:r>
      <w:r>
        <w:t>avantage de ne pas exiger une seule vision correcte de la dynamique du stock et d</w:t>
      </w:r>
      <w:r w:rsidR="001B2BE1">
        <w:t>’</w:t>
      </w:r>
      <w:r>
        <w:t>intégrer à la fois la science et la gestion des ressources tout au long de l</w:t>
      </w:r>
      <w:r w:rsidR="001B2BE1">
        <w:t>’</w:t>
      </w:r>
      <w:r>
        <w:t>élaboration des procédures de gestion et des mesures d</w:t>
      </w:r>
      <w:r w:rsidR="001B2BE1">
        <w:t>’</w:t>
      </w:r>
      <w:r>
        <w:t>évaluation du rendement</w:t>
      </w:r>
      <w:r w:rsidR="00C56C44">
        <w:t xml:space="preserve">. </w:t>
      </w:r>
      <w:r>
        <w:t>On discute de la façon dont les modèles opérationnels pourraient être ramenés à un nombre gérable. Par exemple, la mortalité naturelle, les déclarations de prises erronées, et une combinaison des deux pourraient être utilisées</w:t>
      </w:r>
      <w:r w:rsidR="00C56C44">
        <w:t xml:space="preserve">. </w:t>
      </w:r>
      <w:r>
        <w:t>L</w:t>
      </w:r>
      <w:r w:rsidR="001B2BE1">
        <w:t>’</w:t>
      </w:r>
      <w:r>
        <w:t>important serait de couvrir les plus grandes incertitudes.</w:t>
      </w:r>
    </w:p>
    <w:p w14:paraId="68F1DD77" w14:textId="2D390D33" w:rsidR="007D7C91" w:rsidRPr="00A0159E" w:rsidRDefault="007D7C91" w:rsidP="002761D7">
      <w:pPr>
        <w:pStyle w:val="BodyText"/>
        <w:rPr>
          <w:rFonts w:cs="Arial"/>
        </w:rPr>
      </w:pPr>
      <w:r>
        <w:t xml:space="preserve">Les approches Rose et DLMTool exigent </w:t>
      </w:r>
      <w:r w:rsidR="008505EF">
        <w:t>beaucoup de travail</w:t>
      </w:r>
      <w:r w:rsidR="00C56C44">
        <w:t xml:space="preserve">. </w:t>
      </w:r>
      <w:r>
        <w:t>L</w:t>
      </w:r>
      <w:r w:rsidR="001B2BE1">
        <w:t>’</w:t>
      </w:r>
      <w:r>
        <w:t>approche Rose entraîne une charge de travail beaucoup plus importante au fil du temps, car elle nécessite l</w:t>
      </w:r>
      <w:r w:rsidR="001B2BE1">
        <w:t>’</w:t>
      </w:r>
      <w:r>
        <w:t>exécution de plusieurs modèles et, si les tendances rétrospectives se manifestent, de nombreuses corrections doivent être apportées</w:t>
      </w:r>
      <w:r w:rsidR="00C56C44">
        <w:t xml:space="preserve">. </w:t>
      </w:r>
      <w:r w:rsidR="008505EF">
        <w:t xml:space="preserve">Toutefois, </w:t>
      </w:r>
      <w:r>
        <w:t>elle permet de fournir des avis sur plusieurs années</w:t>
      </w:r>
      <w:r w:rsidR="00C56C44">
        <w:t xml:space="preserve">. </w:t>
      </w:r>
      <w:r>
        <w:t>L</w:t>
      </w:r>
      <w:r w:rsidR="001B2BE1">
        <w:t>’</w:t>
      </w:r>
      <w:r>
        <w:t>approche DLMTool exige un travail considérable de la part des secteurs des sciences et de la gestion pour élaborer des modèles opérationnels, des procédures de gestion et des règles de contrôle des prises. Une fois en place, on peut l</w:t>
      </w:r>
      <w:r w:rsidR="001B2BE1">
        <w:t>’</w:t>
      </w:r>
      <w:r>
        <w:t>utiliser chaque année pour fournir des avis pour plusieurs années avant qu</w:t>
      </w:r>
      <w:r w:rsidR="001B2BE1">
        <w:t>’</w:t>
      </w:r>
      <w:r>
        <w:t xml:space="preserve">il faille de nouveau revoir les modèles opérationnels, les procédures de gestion et les règles de contrôle des prises. </w:t>
      </w:r>
    </w:p>
    <w:p w14:paraId="21CA02DD" w14:textId="00BC2A55" w:rsidR="00C750D8" w:rsidRPr="00A0159E" w:rsidRDefault="00C750D8" w:rsidP="002761D7">
      <w:pPr>
        <w:pStyle w:val="BodyText"/>
        <w:rPr>
          <w:rFonts w:cs="Arial"/>
        </w:rPr>
      </w:pPr>
      <w:r>
        <w:t>Les examinateurs demandent si les approches sont proposées en tant que solution provisoire pour fournir des avis sur les prises de morue, car les deux</w:t>
      </w:r>
      <w:r w:rsidR="008505EF">
        <w:t> </w:t>
      </w:r>
      <w:r>
        <w:t>approches nécessitent d</w:t>
      </w:r>
      <w:r w:rsidR="001B2BE1">
        <w:t>’</w:t>
      </w:r>
      <w:r>
        <w:t>importants apports d</w:t>
      </w:r>
      <w:r w:rsidR="001B2BE1">
        <w:t>’</w:t>
      </w:r>
      <w:r>
        <w:t>intrants et d</w:t>
      </w:r>
      <w:r w:rsidR="001B2BE1">
        <w:t>’</w:t>
      </w:r>
      <w:r>
        <w:t>autres travaux avant de pouvoir être opérationnelles. On précise que cela ne pourrait pas avoir lieu avant l</w:t>
      </w:r>
      <w:r w:rsidR="001B2BE1">
        <w:t>’</w:t>
      </w:r>
      <w:r>
        <w:t>année prochaine, mais on espère que ce pourrait être une solution provisoire faute d</w:t>
      </w:r>
      <w:r w:rsidR="001B2BE1">
        <w:t>’</w:t>
      </w:r>
      <w:r>
        <w:t>évaluation des points de référence au cours des prochaines années</w:t>
      </w:r>
      <w:r w:rsidR="00C56C44">
        <w:t xml:space="preserve">. </w:t>
      </w:r>
      <w:r>
        <w:t>Ce pourrait toutefois être une solution à plus long terme.</w:t>
      </w:r>
    </w:p>
    <w:p w14:paraId="5DDC8996" w14:textId="77777777" w:rsidR="008B7786" w:rsidRPr="00A0159E" w:rsidRDefault="008B7786" w:rsidP="002805E2">
      <w:pPr>
        <w:ind w:left="360"/>
        <w:rPr>
          <w:i/>
        </w:rPr>
      </w:pPr>
      <w:r>
        <w:rPr>
          <w:i/>
        </w:rPr>
        <w:t>Personnel scientifique, gestionnaires de ressources désignés et coprésidentes du CERT</w:t>
      </w:r>
    </w:p>
    <w:p w14:paraId="70972D42" w14:textId="4DB0B953" w:rsidR="00BE789C" w:rsidRPr="00A0159E" w:rsidRDefault="00BE789C" w:rsidP="002761D7">
      <w:pPr>
        <w:pStyle w:val="BodyText"/>
        <w:rPr>
          <w:rFonts w:cs="Arial"/>
        </w:rPr>
      </w:pPr>
      <w:r>
        <w:t>On discute de nouveau de la charge de travail qu</w:t>
      </w:r>
      <w:r w:rsidR="001B2BE1">
        <w:t>’</w:t>
      </w:r>
      <w:r>
        <w:t>exigent ces deux</w:t>
      </w:r>
      <w:r w:rsidR="008505EF">
        <w:t> </w:t>
      </w:r>
      <w:r>
        <w:t>approches</w:t>
      </w:r>
      <w:r w:rsidR="00C56C44">
        <w:t xml:space="preserve">. </w:t>
      </w:r>
      <w:r>
        <w:t>L</w:t>
      </w:r>
      <w:r w:rsidR="001B2BE1">
        <w:t>’</w:t>
      </w:r>
      <w:r>
        <w:t>approche Rose entraîne une charge de travail plus importante sur une base annuelle et on fait remarquer que l</w:t>
      </w:r>
      <w:r w:rsidR="001B2BE1">
        <w:t>’</w:t>
      </w:r>
      <w:r>
        <w:t>approche DLMtools ne devrait pas être utilisée pendant une longue période sans passer en revue les modèles opérationnels, les procédures de gestion et les règles de contrôle des prises</w:t>
      </w:r>
      <w:r w:rsidR="00C56C44">
        <w:t xml:space="preserve">. </w:t>
      </w:r>
      <w:r>
        <w:t>La participation des gestionnaires de ressources à l</w:t>
      </w:r>
      <w:r w:rsidR="001B2BE1">
        <w:t>’</w:t>
      </w:r>
      <w:r>
        <w:t>approche DLMtool est présentée comme un aspect positif. On indique une fois de plus que la procédure de gestion choisie dans l</w:t>
      </w:r>
      <w:r w:rsidR="001B2BE1">
        <w:t>’</w:t>
      </w:r>
      <w:r>
        <w:t>approche DLMtool serait appliquée annuellement, tandis que l</w:t>
      </w:r>
      <w:r w:rsidR="001B2BE1">
        <w:t>’</w:t>
      </w:r>
      <w:r>
        <w:t xml:space="preserve">approche Rose, avec des </w:t>
      </w:r>
      <w:r>
        <w:lastRenderedPageBreak/>
        <w:t>modèles qui fonctionnent bien, permettrait de fournir des avis sur les prises pour plusieurs années.</w:t>
      </w:r>
    </w:p>
    <w:p w14:paraId="72B04126" w14:textId="31B7489F" w:rsidR="00BE789C" w:rsidRPr="00A0159E" w:rsidRDefault="00BE789C" w:rsidP="002761D7">
      <w:pPr>
        <w:pStyle w:val="BodyText"/>
        <w:rPr>
          <w:rFonts w:cs="Arial"/>
        </w:rPr>
      </w:pPr>
      <w:r>
        <w:t>On constat</w:t>
      </w:r>
      <w:r w:rsidR="008505EF">
        <w:t>e</w:t>
      </w:r>
      <w:r>
        <w:t xml:space="preserve"> que, pour de nombreux stocks pour lesquels une approche axée sur une évaluation des stratégies de gestion a été adoptée, les avis avaient tendance à être très prudents pour résister à un large éventail d</w:t>
      </w:r>
      <w:r w:rsidR="001B2BE1">
        <w:t>’</w:t>
      </w:r>
      <w:r>
        <w:t>incertitudes. On fait remarquer que ce pourrait être le cas de l</w:t>
      </w:r>
      <w:r w:rsidR="001B2BE1">
        <w:t>’</w:t>
      </w:r>
      <w:r>
        <w:t>approche DLMtool pour la morue</w:t>
      </w:r>
      <w:r w:rsidR="00C56C44">
        <w:t xml:space="preserve">. </w:t>
      </w:r>
      <w:r>
        <w:t>Beaucoup de travail pourrait être consacré à la préparation d</w:t>
      </w:r>
      <w:r w:rsidR="001B2BE1">
        <w:t>’</w:t>
      </w:r>
      <w:r>
        <w:t>avis ne pouvant être utilisés</w:t>
      </w:r>
      <w:r w:rsidR="00C56C44">
        <w:t xml:space="preserve">. </w:t>
      </w:r>
      <w:r>
        <w:t>Si les modèles opérationnels, les procédures de gestion et les règles de contrôle des prises sont bien pensés, cela ne devrait pas être le cas.</w:t>
      </w:r>
    </w:p>
    <w:p w14:paraId="6EC03887" w14:textId="2CEFE8F4" w:rsidR="00BE789C" w:rsidRPr="00A0159E" w:rsidRDefault="0025755C" w:rsidP="002761D7">
      <w:pPr>
        <w:pStyle w:val="BodyText"/>
        <w:rPr>
          <w:rFonts w:cs="Arial"/>
        </w:rPr>
      </w:pPr>
      <w:r>
        <w:t>Le président résume la discussion tenue par le personnel scientifique, les gestionnaires de ressources désignés, les examinateurs et les coprésidentes du CERT et il demande au groupe s</w:t>
      </w:r>
      <w:r w:rsidR="001B2BE1">
        <w:t>’</w:t>
      </w:r>
      <w:r>
        <w:t>il est d</w:t>
      </w:r>
      <w:r w:rsidR="001B2BE1">
        <w:t>’</w:t>
      </w:r>
      <w:r>
        <w:t>accord pour dire que les deux</w:t>
      </w:r>
      <w:r w:rsidR="004A5029">
        <w:t> </w:t>
      </w:r>
      <w:r>
        <w:t>approches (Rose et DLMtool) sont valables</w:t>
      </w:r>
      <w:r w:rsidR="00C56C44">
        <w:t xml:space="preserve">. </w:t>
      </w:r>
      <w:r>
        <w:t>Le groupe s</w:t>
      </w:r>
      <w:r w:rsidR="001B2BE1">
        <w:t>’</w:t>
      </w:r>
      <w:r>
        <w:t>entend pour dire que les deux</w:t>
      </w:r>
      <w:r w:rsidR="004A5029">
        <w:t> </w:t>
      </w:r>
      <w:r>
        <w:t>approches sont valables</w:t>
      </w:r>
      <w:r w:rsidR="00C56C44">
        <w:t xml:space="preserve">. </w:t>
      </w:r>
      <w:r>
        <w:t>Le président demande ensuite si une approche est préférable à l</w:t>
      </w:r>
      <w:r w:rsidR="001B2BE1">
        <w:t>’</w:t>
      </w:r>
      <w:r>
        <w:t>autre</w:t>
      </w:r>
      <w:r w:rsidR="00C56C44">
        <w:t xml:space="preserve">. </w:t>
      </w:r>
      <w:r>
        <w:t>Le groupe aime la clarté de l</w:t>
      </w:r>
      <w:r w:rsidR="001B2BE1">
        <w:t>’</w:t>
      </w:r>
      <w:r>
        <w:t>approche DLMtool pour ce qui est de l</w:t>
      </w:r>
      <w:r w:rsidR="001B2BE1">
        <w:t>’</w:t>
      </w:r>
      <w:r>
        <w:t>établissement des objectifs de gestion et pense que si le COGST et d</w:t>
      </w:r>
      <w:r w:rsidR="001B2BE1">
        <w:t>’</w:t>
      </w:r>
      <w:r>
        <w:t>autres organismes sont disposés à faire le travail nécessaire pour la mettre en place et peuvent le faire, cette approche serait préférable et nécessiterait moins d</w:t>
      </w:r>
      <w:r w:rsidR="001B2BE1">
        <w:t>’</w:t>
      </w:r>
      <w:r>
        <w:t>investissement après la première</w:t>
      </w:r>
      <w:r w:rsidR="004A5029">
        <w:t> </w:t>
      </w:r>
      <w:r>
        <w:t>année</w:t>
      </w:r>
      <w:r w:rsidR="00C56C44">
        <w:t xml:space="preserve">. </w:t>
      </w:r>
      <w:r>
        <w:t>La charge de travail selon l</w:t>
      </w:r>
      <w:r w:rsidR="001B2BE1">
        <w:t>’</w:t>
      </w:r>
      <w:r>
        <w:t>approche Rose est lourde et ne diminue pas après la première</w:t>
      </w:r>
      <w:r w:rsidR="004A5029">
        <w:t> </w:t>
      </w:r>
      <w:r>
        <w:t>année; cependant, elle donne des résultats beaucoup plus compréhensibles pour ceux qui n</w:t>
      </w:r>
      <w:r w:rsidR="001B2BE1">
        <w:t>’</w:t>
      </w:r>
      <w:r>
        <w:t>appartiennent pas au milieu scientifique</w:t>
      </w:r>
      <w:r w:rsidR="00C56C44">
        <w:t xml:space="preserve">. </w:t>
      </w:r>
      <w:r>
        <w:t>On convient que l</w:t>
      </w:r>
      <w:r w:rsidR="001B2BE1">
        <w:t>’</w:t>
      </w:r>
      <w:r>
        <w:t>approche DLMTool sera présentée au COGST comme étant l</w:t>
      </w:r>
      <w:r w:rsidR="001B2BE1">
        <w:t>’</w:t>
      </w:r>
      <w:r>
        <w:t>approche privilégiée. Si le COGST et la gestion des ressources ne sont pas en mesure de s</w:t>
      </w:r>
      <w:r w:rsidR="001B2BE1">
        <w:t>’</w:t>
      </w:r>
      <w:r>
        <w:t>engager à respecter le délai exigé pour fournir les intrants nécessaires à l</w:t>
      </w:r>
      <w:r w:rsidR="001B2BE1">
        <w:t>’</w:t>
      </w:r>
      <w:r>
        <w:t>approche DLMTool, alors l</w:t>
      </w:r>
      <w:r w:rsidR="001B2BE1">
        <w:t>’</w:t>
      </w:r>
      <w:r>
        <w:t>approche Rose pourrait être adoptée.</w:t>
      </w:r>
    </w:p>
    <w:p w14:paraId="5F457845" w14:textId="77777777" w:rsidR="008B7786" w:rsidRPr="00A0159E" w:rsidRDefault="008B7786" w:rsidP="002805E2">
      <w:pPr>
        <w:ind w:left="360"/>
        <w:rPr>
          <w:i/>
        </w:rPr>
      </w:pPr>
      <w:r>
        <w:rPr>
          <w:i/>
        </w:rPr>
        <w:t>Autres participants à la réunion</w:t>
      </w:r>
    </w:p>
    <w:p w14:paraId="0723D832" w14:textId="0AC8B269" w:rsidR="00A67EAA" w:rsidRPr="00A0159E" w:rsidRDefault="00644AD2" w:rsidP="002761D7">
      <w:pPr>
        <w:pStyle w:val="BodyText"/>
        <w:rPr>
          <w:rFonts w:cs="Arial"/>
        </w:rPr>
      </w:pPr>
      <w:r>
        <w:t>On mentionne que l</w:t>
      </w:r>
      <w:r w:rsidR="001B2BE1">
        <w:t>’</w:t>
      </w:r>
      <w:r>
        <w:t>élaboration de l</w:t>
      </w:r>
      <w:r w:rsidR="001B2BE1">
        <w:t>’</w:t>
      </w:r>
      <w:r>
        <w:t>une ou l</w:t>
      </w:r>
      <w:r w:rsidR="001B2BE1">
        <w:t>’</w:t>
      </w:r>
      <w:r>
        <w:t>autre de ces approches est un travail qui s</w:t>
      </w:r>
      <w:r w:rsidR="001B2BE1">
        <w:t>’</w:t>
      </w:r>
      <w:r>
        <w:t>apparente davantage à celui qui est lié à une évaluation de référence</w:t>
      </w:r>
      <w:r w:rsidR="00C56C44">
        <w:t xml:space="preserve">. </w:t>
      </w:r>
      <w:r>
        <w:t>Il est admis que ce travail ne pourra pas être achevé à temps pour fournir un avis l</w:t>
      </w:r>
      <w:r w:rsidR="001B2BE1">
        <w:t>’</w:t>
      </w:r>
      <w:r>
        <w:t>année prochaine et qu</w:t>
      </w:r>
      <w:r w:rsidR="001B2BE1">
        <w:t>’</w:t>
      </w:r>
      <w:r>
        <w:t>un objectif à plus long terme, comme une évaluation de référence potentielle dans trois ou quatre</w:t>
      </w:r>
      <w:r w:rsidR="004A5029">
        <w:t> </w:t>
      </w:r>
      <w:r>
        <w:t>ans, est plus approprié. Entre-temps, à moins que les données révèlent quelque chose de radicalement différent, il n</w:t>
      </w:r>
      <w:r w:rsidR="001B2BE1">
        <w:t>’</w:t>
      </w:r>
      <w:r>
        <w:t>est pas nécessaire de modifier l</w:t>
      </w:r>
      <w:r w:rsidR="001B2BE1">
        <w:t>’</w:t>
      </w:r>
      <w:r>
        <w:t>avis sur les prises</w:t>
      </w:r>
      <w:r w:rsidR="00C56C44">
        <w:t xml:space="preserve">. </w:t>
      </w:r>
    </w:p>
    <w:p w14:paraId="0529A393" w14:textId="1BAC148F" w:rsidR="00644AD2" w:rsidRPr="00A0159E" w:rsidRDefault="00644AD2" w:rsidP="002761D7">
      <w:pPr>
        <w:pStyle w:val="BodyText"/>
        <w:rPr>
          <w:rFonts w:cs="Arial"/>
        </w:rPr>
      </w:pPr>
      <w:r>
        <w:t>On demande si l</w:t>
      </w:r>
      <w:r w:rsidR="001B2BE1">
        <w:t>’</w:t>
      </w:r>
      <w:r>
        <w:t>équipe d</w:t>
      </w:r>
      <w:r w:rsidR="001B2BE1">
        <w:t>’</w:t>
      </w:r>
      <w:r>
        <w:t>évaluation envisage d</w:t>
      </w:r>
      <w:r w:rsidR="001B2BE1">
        <w:t>’</w:t>
      </w:r>
      <w:r>
        <w:t>utiliser la stratégie actuelle sur les prises et le point de référence de la mortalité par pêche (F</w:t>
      </w:r>
      <w:r>
        <w:rPr>
          <w:vertAlign w:val="subscript"/>
        </w:rPr>
        <w:t>réf</w:t>
      </w:r>
      <w:r>
        <w:t>) comme point de départ pour l</w:t>
      </w:r>
      <w:r w:rsidR="001B2BE1">
        <w:t>’</w:t>
      </w:r>
      <w:r>
        <w:t>approche DLMTool</w:t>
      </w:r>
      <w:r w:rsidR="00C56C44">
        <w:t xml:space="preserve">. </w:t>
      </w:r>
      <w:r>
        <w:t>DLMTool est une approche de simulation et non un modèle d</w:t>
      </w:r>
      <w:r w:rsidR="001B2BE1">
        <w:t>’</w:t>
      </w:r>
      <w:r>
        <w:t>évaluation des stocks, et donc elle ne fournira pas une mesure qui puisse être comparée au F</w:t>
      </w:r>
      <w:r>
        <w:rPr>
          <w:vertAlign w:val="subscript"/>
        </w:rPr>
        <w:t>réf</w:t>
      </w:r>
      <w:r>
        <w:t xml:space="preserve"> négocié</w:t>
      </w:r>
      <w:r w:rsidR="00C56C44">
        <w:t xml:space="preserve">. </w:t>
      </w:r>
      <w:r>
        <w:t>Elle ne donne pas l</w:t>
      </w:r>
      <w:r w:rsidR="001B2BE1">
        <w:t>’</w:t>
      </w:r>
      <w:r>
        <w:t xml:space="preserve">état des stocks, mais </w:t>
      </w:r>
      <w:r w:rsidR="004A5029">
        <w:t xml:space="preserve">met </w:t>
      </w:r>
      <w:r>
        <w:t xml:space="preserve">plutôt </w:t>
      </w:r>
      <w:r w:rsidR="004A5029">
        <w:t xml:space="preserve">à l’épreuve </w:t>
      </w:r>
      <w:r>
        <w:t>la stratégie sur les prises par rapport aux mesures convenues d</w:t>
      </w:r>
      <w:r w:rsidR="001B2BE1">
        <w:t>’</w:t>
      </w:r>
      <w:r>
        <w:t>avance</w:t>
      </w:r>
      <w:r w:rsidR="00C56C44">
        <w:t xml:space="preserve">. </w:t>
      </w:r>
      <w:r>
        <w:t>Autrement dit, le COGST devra être prêt à accepter un avis qui est présenté différemment de ceux qu</w:t>
      </w:r>
      <w:r w:rsidR="001B2BE1">
        <w:t>’</w:t>
      </w:r>
      <w:r>
        <w:t>il a reçus dans le passé et qui découlaient de l</w:t>
      </w:r>
      <w:r w:rsidR="001B2BE1">
        <w:t>’</w:t>
      </w:r>
      <w:r>
        <w:t>APV et du PESA</w:t>
      </w:r>
      <w:r w:rsidR="00C56C44">
        <w:t xml:space="preserve">. </w:t>
      </w:r>
      <w:r>
        <w:t>On craint que les processus qui s</w:t>
      </w:r>
      <w:r w:rsidR="001B2BE1">
        <w:t>’</w:t>
      </w:r>
      <w:r>
        <w:t>apparentent à l</w:t>
      </w:r>
      <w:r w:rsidR="001B2BE1">
        <w:t>’</w:t>
      </w:r>
      <w:r>
        <w:t>ESG soient généralement longs et laborieux et qu</w:t>
      </w:r>
      <w:r w:rsidR="001B2BE1">
        <w:t>’</w:t>
      </w:r>
      <w:r>
        <w:t>il soit difficile de s</w:t>
      </w:r>
      <w:r w:rsidR="001B2BE1">
        <w:t>’</w:t>
      </w:r>
      <w:r>
        <w:t>entendre sur les objectifs de gestion pour les stocks nationaux, sans parler des stocks internationaux</w:t>
      </w:r>
      <w:r w:rsidR="00C56C44">
        <w:t xml:space="preserve">. </w:t>
      </w:r>
      <w:r>
        <w:t>On s</w:t>
      </w:r>
      <w:r w:rsidR="001B2BE1">
        <w:t>’</w:t>
      </w:r>
      <w:r>
        <w:t>inquiète également du fait qu</w:t>
      </w:r>
      <w:r w:rsidR="001B2BE1">
        <w:t>’</w:t>
      </w:r>
      <w:r>
        <w:t>il faudra plus d</w:t>
      </w:r>
      <w:r w:rsidR="001B2BE1">
        <w:t>’</w:t>
      </w:r>
      <w:r>
        <w:t>un an pour obtenir les intrants nécessaires à l</w:t>
      </w:r>
      <w:r w:rsidR="001B2BE1">
        <w:t>’</w:t>
      </w:r>
      <w:r>
        <w:t>élaboration des procédures de gestion et des modèles opérationnels,</w:t>
      </w:r>
      <w:r w:rsidR="00A0367F">
        <w:t xml:space="preserve"> en vue de</w:t>
      </w:r>
      <w:r>
        <w:t xml:space="preserve"> mettre en marche l</w:t>
      </w:r>
      <w:r w:rsidR="001B2BE1">
        <w:t>’</w:t>
      </w:r>
      <w:r>
        <w:t>approche DLMTool.</w:t>
      </w:r>
    </w:p>
    <w:p w14:paraId="2974F4BA" w14:textId="77777777" w:rsidR="00BC5FCF" w:rsidRPr="00A0159E" w:rsidRDefault="00BC5FCF" w:rsidP="00E607EA">
      <w:pPr>
        <w:pStyle w:val="Heading3"/>
      </w:pPr>
      <w:bookmarkStart w:id="15" w:name="_Toc44059150"/>
      <w:r>
        <w:t>Résumé des conclusions pour la morue</w:t>
      </w:r>
      <w:bookmarkEnd w:id="15"/>
    </w:p>
    <w:p w14:paraId="06DD5180" w14:textId="286CD3C1" w:rsidR="00BC5FCF" w:rsidRPr="00A0159E" w:rsidRDefault="00BC5FCF" w:rsidP="002761D7">
      <w:pPr>
        <w:pStyle w:val="BodyText"/>
        <w:rPr>
          <w:rFonts w:cs="Arial"/>
        </w:rPr>
      </w:pPr>
      <w:r>
        <w:t>En l</w:t>
      </w:r>
      <w:r w:rsidR="001B2BE1">
        <w:t>’</w:t>
      </w:r>
      <w:r>
        <w:t>absence de rapport scientifique du CERT pour la morue, l</w:t>
      </w:r>
      <w:r w:rsidR="001B2BE1">
        <w:t>’</w:t>
      </w:r>
      <w:r>
        <w:t>équipe d</w:t>
      </w:r>
      <w:r w:rsidR="001B2BE1">
        <w:t>’</w:t>
      </w:r>
      <w:r>
        <w:t>évaluation est invitée à résumer l</w:t>
      </w:r>
      <w:r w:rsidR="001B2BE1">
        <w:t>’</w:t>
      </w:r>
      <w:r>
        <w:t>avis et l</w:t>
      </w:r>
      <w:r w:rsidR="001B2BE1">
        <w:t>’</w:t>
      </w:r>
      <w:r>
        <w:t>approche qui seront suivis jusqu</w:t>
      </w:r>
      <w:r w:rsidR="001B2BE1">
        <w:t>’</w:t>
      </w:r>
      <w:r>
        <w:t>à la prochaine évaluation des points de référence pour ce stock. Le résumé est examiné, révisé et accepté par les examinateurs, le personnel scientifique, les gestionnaires désignés et les coprésidentes du CERT à la réunion du CERT</w:t>
      </w:r>
      <w:r w:rsidR="00C56C44">
        <w:t xml:space="preserve">. </w:t>
      </w:r>
      <w:r>
        <w:t>Par ailleurs, tous les autres participants à la réunion acceptent le résumé.</w:t>
      </w:r>
    </w:p>
    <w:p w14:paraId="738C4B60" w14:textId="0FB51178" w:rsidR="00871D62" w:rsidRPr="00A0159E" w:rsidRDefault="00871D62" w:rsidP="002761D7">
      <w:pPr>
        <w:pStyle w:val="BodyText"/>
        <w:rPr>
          <w:rFonts w:cs="Arial"/>
        </w:rPr>
      </w:pPr>
      <w:r>
        <w:lastRenderedPageBreak/>
        <w:t>Il est convenu que</w:t>
      </w:r>
      <w:r w:rsidR="001C5656">
        <w:t> </w:t>
      </w:r>
      <w:r>
        <w:t>:</w:t>
      </w:r>
    </w:p>
    <w:p w14:paraId="6834A4B3" w14:textId="3C3CAABF" w:rsidR="00871D62" w:rsidRPr="00A0159E" w:rsidRDefault="00871D62" w:rsidP="00291412">
      <w:pPr>
        <w:widowControl w:val="0"/>
        <w:tabs>
          <w:tab w:val="left" w:pos="480"/>
          <w:tab w:val="left" w:pos="481"/>
        </w:tabs>
        <w:autoSpaceDE w:val="0"/>
        <w:autoSpaceDN w:val="0"/>
        <w:ind w:left="360" w:right="360"/>
        <w:rPr>
          <w:rFonts w:cs="Arial"/>
        </w:rPr>
      </w:pPr>
      <w:r>
        <w:t>Tant qu</w:t>
      </w:r>
      <w:r w:rsidR="001B2BE1">
        <w:t>’</w:t>
      </w:r>
      <w:r>
        <w:t>une évaluation des points de référence n</w:t>
      </w:r>
      <w:r w:rsidR="001B2BE1">
        <w:t>’</w:t>
      </w:r>
      <w:r>
        <w:t>aura pas été effectuée pour la morue de l</w:t>
      </w:r>
      <w:r w:rsidR="001B2BE1">
        <w:t>’</w:t>
      </w:r>
      <w:r>
        <w:t xml:space="preserve">est du </w:t>
      </w:r>
      <w:r w:rsidR="00E8153D">
        <w:t>banc Georges</w:t>
      </w:r>
      <w:r>
        <w:t>, le CERT mettra à jour chaque année les indicateurs biologiques et halieutiques de l</w:t>
      </w:r>
      <w:r w:rsidR="001B2BE1">
        <w:t>’</w:t>
      </w:r>
      <w:r>
        <w:t>état du stock de morue, y compris le coefficient de condition, les indices de la biomasse du relevé de la zone balayée, les prises de la pêche et du relevé selon la longueur, la valeur F relative, la mortalité totale (Z) et les prises, et il déterminera et commentera tout changement dans ces indicateurs</w:t>
      </w:r>
      <w:r w:rsidR="00C56C44">
        <w:t xml:space="preserve">. </w:t>
      </w:r>
      <w:r>
        <w:t>Un important recrutement qui persiste ou un changement considérable dans les tendances de la biomasse pour les trois</w:t>
      </w:r>
      <w:r w:rsidR="00994645">
        <w:t> </w:t>
      </w:r>
      <w:r>
        <w:t>relevés (relevé du MPO, relevés de l</w:t>
      </w:r>
      <w:r w:rsidR="001B2BE1">
        <w:t>’</w:t>
      </w:r>
      <w:r>
        <w:t>automne et du printemps du NMFS) sur plusieurs années avec preuves à l</w:t>
      </w:r>
      <w:r w:rsidR="001B2BE1">
        <w:t>’</w:t>
      </w:r>
      <w:r>
        <w:t>appui déclencherait une discussion, au CERT, sur l</w:t>
      </w:r>
      <w:r w:rsidR="001B2BE1">
        <w:t>’</w:t>
      </w:r>
      <w:r>
        <w:t>avis sur les prises</w:t>
      </w:r>
      <w:r w:rsidR="00C56C44">
        <w:t xml:space="preserve">. </w:t>
      </w:r>
      <w:r>
        <w:t>Dans le cas contraire, l</w:t>
      </w:r>
      <w:r w:rsidR="001B2BE1">
        <w:t>’</w:t>
      </w:r>
      <w:r>
        <w:t>avis du CERT sur les prises de 2018 restera en vigueur jusqu</w:t>
      </w:r>
      <w:r w:rsidR="001B2BE1">
        <w:t>’</w:t>
      </w:r>
      <w:r>
        <w:t>à ce qu</w:t>
      </w:r>
      <w:r w:rsidR="001B2BE1">
        <w:t>’</w:t>
      </w:r>
      <w:r>
        <w:t>une évaluation des points de référence soit faite.</w:t>
      </w:r>
    </w:p>
    <w:p w14:paraId="469F4690" w14:textId="7E6F41F7" w:rsidR="00871D62" w:rsidRPr="00A0159E" w:rsidRDefault="00871D62" w:rsidP="00291412">
      <w:pPr>
        <w:ind w:left="360" w:right="360"/>
      </w:pPr>
      <w:r>
        <w:t>Entre-temps, l</w:t>
      </w:r>
      <w:r w:rsidR="001B2BE1">
        <w:t>’</w:t>
      </w:r>
      <w:r>
        <w:t>équipe d</w:t>
      </w:r>
      <w:r w:rsidR="001B2BE1">
        <w:t>’</w:t>
      </w:r>
      <w:r>
        <w:t xml:space="preserve">évaluation </w:t>
      </w:r>
      <w:r w:rsidR="00994645">
        <w:t xml:space="preserve">adoptera </w:t>
      </w:r>
      <w:r>
        <w:t>l</w:t>
      </w:r>
      <w:r w:rsidR="001B2BE1">
        <w:t>’</w:t>
      </w:r>
      <w:r>
        <w:t>approche DLMTool pour fournir des avis sur les prises</w:t>
      </w:r>
      <w:r w:rsidR="00C56C44">
        <w:t xml:space="preserve">. </w:t>
      </w:r>
      <w:r>
        <w:t>Le CERT indique que l</w:t>
      </w:r>
      <w:r w:rsidR="001B2BE1">
        <w:t>’</w:t>
      </w:r>
      <w:r>
        <w:t>élaboration de l</w:t>
      </w:r>
      <w:r w:rsidR="001B2BE1">
        <w:t>’</w:t>
      </w:r>
      <w:r>
        <w:t>approche DLMTool exigerait que le COGST établisse des objectifs de gestion quantifiables lors d</w:t>
      </w:r>
      <w:r w:rsidR="001B2BE1">
        <w:t>’</w:t>
      </w:r>
      <w:r>
        <w:t>une réunion intersession en 2019</w:t>
      </w:r>
      <w:r w:rsidR="00C56C44">
        <w:t xml:space="preserve">. </w:t>
      </w:r>
      <w:r>
        <w:t>Si le COGST fournit ces objectifs de gestion, l</w:t>
      </w:r>
      <w:r w:rsidR="001B2BE1">
        <w:t>’</w:t>
      </w:r>
      <w:r>
        <w:t>équipe d</w:t>
      </w:r>
      <w:r w:rsidR="001B2BE1">
        <w:t>’</w:t>
      </w:r>
      <w:r>
        <w:t>évaluation élaborera des procédures de gestion potentielles (règles de contrôle des prises) et des paramètres proposés pour mesurer le rendement au regard des objectifs de gestion</w:t>
      </w:r>
      <w:r w:rsidR="00C56C44">
        <w:t xml:space="preserve">. </w:t>
      </w:r>
      <w:r>
        <w:t>Puis le tout serait ensuite renvoyé au COGST pour approbation</w:t>
      </w:r>
      <w:r w:rsidR="00C56C44">
        <w:t xml:space="preserve">. </w:t>
      </w:r>
      <w:r>
        <w:t>L</w:t>
      </w:r>
      <w:r w:rsidR="001B2BE1">
        <w:t>’</w:t>
      </w:r>
      <w:r>
        <w:t>équipe d</w:t>
      </w:r>
      <w:r w:rsidR="001B2BE1">
        <w:t>’</w:t>
      </w:r>
      <w:r>
        <w:t>évaluation poursuivrait l</w:t>
      </w:r>
      <w:r w:rsidR="001B2BE1">
        <w:t>’</w:t>
      </w:r>
      <w:r>
        <w:t>élaboration de modèles opérationnels pendant toute cette période</w:t>
      </w:r>
      <w:r w:rsidR="00C56C44">
        <w:t xml:space="preserve">. </w:t>
      </w:r>
      <w:r>
        <w:t>Ce processus prendrait plusieurs années, l</w:t>
      </w:r>
      <w:r w:rsidR="001B2BE1">
        <w:t>’</w:t>
      </w:r>
      <w:r>
        <w:t>objectif étant de le mener à bien d</w:t>
      </w:r>
      <w:r w:rsidR="001B2BE1">
        <w:t>’</w:t>
      </w:r>
      <w:r>
        <w:t>ici la prochaine évaluation des points de référence.</w:t>
      </w:r>
    </w:p>
    <w:p w14:paraId="6762CC7D" w14:textId="3766AB37" w:rsidR="00F37A1F" w:rsidRPr="002761D7" w:rsidRDefault="002761D7" w:rsidP="00A740E6">
      <w:pPr>
        <w:pStyle w:val="Heading2"/>
        <w:rPr>
          <w:lang w:val="fr-CA"/>
        </w:rPr>
      </w:pPr>
      <w:bookmarkStart w:id="16" w:name="_Toc44059151"/>
      <w:r w:rsidRPr="002761D7">
        <w:rPr>
          <w:lang w:val="fr-CA"/>
        </w:rPr>
        <w:t>Ébauche dU CADRE DE référence</w:t>
      </w:r>
      <w:r w:rsidR="00C57893" w:rsidRPr="002761D7">
        <w:rPr>
          <w:lang w:val="fr-CA"/>
        </w:rPr>
        <w:t xml:space="preserve"> pour 2020</w:t>
      </w:r>
      <w:bookmarkEnd w:id="16"/>
      <w:r w:rsidR="00C57893" w:rsidRPr="002761D7">
        <w:rPr>
          <w:lang w:val="fr-CA"/>
        </w:rPr>
        <w:t xml:space="preserve"> </w:t>
      </w:r>
    </w:p>
    <w:p w14:paraId="544BD0DE" w14:textId="74301110" w:rsidR="007673D6" w:rsidRPr="009059E9" w:rsidRDefault="00C57893" w:rsidP="002761D7">
      <w:pPr>
        <w:pStyle w:val="BodyText"/>
        <w:rPr>
          <w:szCs w:val="22"/>
          <w:lang w:val="fr-CA"/>
        </w:rPr>
      </w:pPr>
      <w:r w:rsidRPr="009059E9">
        <w:rPr>
          <w:lang w:val="fr-CA"/>
        </w:rPr>
        <w:t>Les coprésidentes du CERT, Kirsten</w:t>
      </w:r>
      <w:r w:rsidR="00994645" w:rsidRPr="009059E9">
        <w:rPr>
          <w:lang w:val="fr-CA"/>
        </w:rPr>
        <w:t> </w:t>
      </w:r>
      <w:r w:rsidRPr="009059E9">
        <w:rPr>
          <w:lang w:val="fr-CA"/>
        </w:rPr>
        <w:t>Clark et Tara</w:t>
      </w:r>
      <w:r w:rsidR="00994645" w:rsidRPr="009059E9">
        <w:rPr>
          <w:lang w:val="fr-CA"/>
        </w:rPr>
        <w:t> </w:t>
      </w:r>
      <w:r w:rsidRPr="009059E9">
        <w:rPr>
          <w:lang w:val="fr-CA"/>
        </w:rPr>
        <w:t>Trinko-Lake</w:t>
      </w:r>
      <w:r w:rsidR="00994645" w:rsidRPr="009059E9">
        <w:rPr>
          <w:lang w:val="fr-CA"/>
        </w:rPr>
        <w:t>,</w:t>
      </w:r>
      <w:r w:rsidRPr="009059E9">
        <w:rPr>
          <w:lang w:val="fr-CA"/>
        </w:rPr>
        <w:t xml:space="preserve"> présentent l</w:t>
      </w:r>
      <w:r w:rsidR="001B2BE1" w:rsidRPr="009059E9">
        <w:rPr>
          <w:lang w:val="fr-CA"/>
        </w:rPr>
        <w:t>’</w:t>
      </w:r>
      <w:r w:rsidRPr="009059E9">
        <w:rPr>
          <w:lang w:val="fr-CA"/>
        </w:rPr>
        <w:t xml:space="preserve">ébauche du </w:t>
      </w:r>
      <w:r w:rsidR="009059E9">
        <w:rPr>
          <w:lang w:val="fr-CA"/>
        </w:rPr>
        <w:t>cadre de r</w:t>
      </w:r>
      <w:r w:rsidR="009059E9" w:rsidRPr="000274FA">
        <w:rPr>
          <w:lang w:val="fr-CA"/>
        </w:rPr>
        <w:t>é</w:t>
      </w:r>
      <w:r w:rsidR="009059E9">
        <w:rPr>
          <w:lang w:val="fr-CA"/>
        </w:rPr>
        <w:t>f</w:t>
      </w:r>
      <w:r w:rsidR="009059E9" w:rsidRPr="000274FA">
        <w:rPr>
          <w:lang w:val="fr-CA"/>
        </w:rPr>
        <w:t>é</w:t>
      </w:r>
      <w:r w:rsidR="009059E9">
        <w:rPr>
          <w:lang w:val="fr-CA"/>
        </w:rPr>
        <w:t>rence</w:t>
      </w:r>
      <w:r w:rsidRPr="009059E9">
        <w:rPr>
          <w:lang w:val="fr-CA"/>
        </w:rPr>
        <w:t xml:space="preserve"> en prévision de la réunion de 2020 du CERT</w:t>
      </w:r>
      <w:r w:rsidR="00C56C44" w:rsidRPr="009059E9">
        <w:rPr>
          <w:lang w:val="fr-CA"/>
        </w:rPr>
        <w:t xml:space="preserve">. </w:t>
      </w:r>
      <w:r>
        <w:t>La réunion est provisoirement prévue du 7 au 9 juillet 2020 à Woods Hole</w:t>
      </w:r>
      <w:r w:rsidR="00994645">
        <w:t xml:space="preserve"> (</w:t>
      </w:r>
      <w:r>
        <w:t>Massachusetts</w:t>
      </w:r>
      <w:r w:rsidR="00994645">
        <w:t>)</w:t>
      </w:r>
      <w:r w:rsidR="001C40F9">
        <w:t>.</w:t>
      </w:r>
      <w:r w:rsidR="00C56C44">
        <w:t xml:space="preserve"> </w:t>
      </w:r>
      <w:r w:rsidRPr="009059E9">
        <w:rPr>
          <w:lang w:val="fr-CA"/>
        </w:rPr>
        <w:t>L</w:t>
      </w:r>
      <w:r w:rsidR="001B2BE1" w:rsidRPr="009059E9">
        <w:rPr>
          <w:lang w:val="fr-CA"/>
        </w:rPr>
        <w:t>’</w:t>
      </w:r>
      <w:r w:rsidRPr="009059E9">
        <w:rPr>
          <w:lang w:val="fr-CA"/>
        </w:rPr>
        <w:t xml:space="preserve">ébauche du </w:t>
      </w:r>
      <w:r w:rsidR="009059E9">
        <w:rPr>
          <w:lang w:val="fr-CA"/>
        </w:rPr>
        <w:t>cadre de r</w:t>
      </w:r>
      <w:r w:rsidR="009059E9" w:rsidRPr="000274FA">
        <w:rPr>
          <w:lang w:val="fr-CA"/>
        </w:rPr>
        <w:t>é</w:t>
      </w:r>
      <w:r w:rsidR="009059E9">
        <w:rPr>
          <w:lang w:val="fr-CA"/>
        </w:rPr>
        <w:t>f</w:t>
      </w:r>
      <w:r w:rsidR="009059E9" w:rsidRPr="000274FA">
        <w:rPr>
          <w:lang w:val="fr-CA"/>
        </w:rPr>
        <w:t>é</w:t>
      </w:r>
      <w:r w:rsidR="009059E9">
        <w:rPr>
          <w:lang w:val="fr-CA"/>
        </w:rPr>
        <w:t>rence</w:t>
      </w:r>
      <w:r w:rsidRPr="009059E9">
        <w:rPr>
          <w:lang w:val="fr-CA"/>
        </w:rPr>
        <w:t xml:space="preserve"> sera présentée au COGST aux fins de révision et d</w:t>
      </w:r>
      <w:r w:rsidR="001B2BE1" w:rsidRPr="009059E9">
        <w:rPr>
          <w:lang w:val="fr-CA"/>
        </w:rPr>
        <w:t>’</w:t>
      </w:r>
      <w:r w:rsidRPr="009059E9">
        <w:rPr>
          <w:lang w:val="fr-CA"/>
        </w:rPr>
        <w:t>approbation.</w:t>
      </w:r>
    </w:p>
    <w:p w14:paraId="7B98BF58" w14:textId="751D3B32" w:rsidR="00973C00" w:rsidRPr="00A0159E" w:rsidRDefault="00973C00" w:rsidP="00912C9F">
      <w:pPr>
        <w:pStyle w:val="Heading2"/>
      </w:pPr>
      <w:bookmarkStart w:id="17" w:name="_Toc44059152"/>
      <w:r>
        <w:t>CONCLUSIONS</w:t>
      </w:r>
      <w:bookmarkEnd w:id="17"/>
      <w:r>
        <w:t xml:space="preserve"> </w:t>
      </w:r>
    </w:p>
    <w:p w14:paraId="2DF185FC" w14:textId="151D9630" w:rsidR="007673D6" w:rsidRDefault="00973C00" w:rsidP="002761D7">
      <w:pPr>
        <w:pStyle w:val="BodyText"/>
      </w:pPr>
      <w:r>
        <w:t xml:space="preserve">Le président de la réunion et les coprésidentes du CERT remercient les participants </w:t>
      </w:r>
      <w:r w:rsidR="00994645">
        <w:t>d’</w:t>
      </w:r>
      <w:r>
        <w:t>avoir assisté à la réunion du CERT de cette année</w:t>
      </w:r>
      <w:r w:rsidR="00C56C44">
        <w:t xml:space="preserve">. </w:t>
      </w:r>
      <w:r w:rsidRPr="002761D7">
        <w:rPr>
          <w:lang w:val="fr-CA"/>
        </w:rPr>
        <w:t>Les rapports scientifiques du CERT pour l</w:t>
      </w:r>
      <w:r w:rsidR="001B2BE1" w:rsidRPr="002761D7">
        <w:rPr>
          <w:lang w:val="fr-CA"/>
        </w:rPr>
        <w:t>’</w:t>
      </w:r>
      <w:r w:rsidRPr="002761D7">
        <w:rPr>
          <w:lang w:val="fr-CA"/>
        </w:rPr>
        <w:t>aiglefin et la limande à queue jaune seront terminés d</w:t>
      </w:r>
      <w:r w:rsidR="001B2BE1" w:rsidRPr="002761D7">
        <w:rPr>
          <w:lang w:val="fr-CA"/>
        </w:rPr>
        <w:t>’</w:t>
      </w:r>
      <w:r w:rsidRPr="002761D7">
        <w:rPr>
          <w:lang w:val="fr-CA"/>
        </w:rPr>
        <w:t>ici l</w:t>
      </w:r>
      <w:r w:rsidR="00994645" w:rsidRPr="002761D7">
        <w:rPr>
          <w:lang w:val="fr-CA"/>
        </w:rPr>
        <w:t xml:space="preserve">e milieu </w:t>
      </w:r>
      <w:r w:rsidRPr="002761D7">
        <w:rPr>
          <w:lang w:val="fr-CA"/>
        </w:rPr>
        <w:t xml:space="preserve">ou la fin de juillet 2019, en fonction des discussions tenues à la réunion, et ils seront mis à la disposition des participants </w:t>
      </w:r>
      <w:hyperlink r:id="rId23" w:history="1">
        <w:r w:rsidRPr="002761D7">
          <w:rPr>
            <w:rStyle w:val="Hyperlink"/>
            <w:lang w:val="fr-CA"/>
          </w:rPr>
          <w:t>sur le site Web du NEFS</w:t>
        </w:r>
        <w:r w:rsidRPr="002761D7">
          <w:rPr>
            <w:rStyle w:val="Hyperlink"/>
            <w:lang w:val="fr-CA"/>
          </w:rPr>
          <w:t>C</w:t>
        </w:r>
      </w:hyperlink>
      <w:r w:rsidR="00994645" w:rsidRPr="002761D7">
        <w:rPr>
          <w:lang w:val="fr-CA"/>
        </w:rPr>
        <w:t xml:space="preserve">. Une fois </w:t>
      </w:r>
      <w:r w:rsidRPr="002761D7">
        <w:rPr>
          <w:lang w:val="fr-CA"/>
        </w:rPr>
        <w:t xml:space="preserve">traduits en français, ils seront </w:t>
      </w:r>
      <w:r w:rsidR="007D48F4" w:rsidRPr="002761D7">
        <w:rPr>
          <w:lang w:val="fr-CA"/>
        </w:rPr>
        <w:t xml:space="preserve">également </w:t>
      </w:r>
      <w:r w:rsidR="00994645" w:rsidRPr="002761D7">
        <w:rPr>
          <w:lang w:val="fr-CA"/>
        </w:rPr>
        <w:t xml:space="preserve">affichés </w:t>
      </w:r>
      <w:hyperlink r:id="rId24" w:history="1">
        <w:r w:rsidRPr="002761D7">
          <w:rPr>
            <w:rStyle w:val="Hyperlink"/>
            <w:lang w:val="fr-CA"/>
          </w:rPr>
          <w:t xml:space="preserve">sur le site Web du MPO </w:t>
        </w:r>
        <w:r w:rsidR="00994645" w:rsidRPr="002761D7">
          <w:rPr>
            <w:rStyle w:val="Hyperlink"/>
            <w:lang w:val="fr-CA"/>
          </w:rPr>
          <w:t xml:space="preserve">réservé au </w:t>
        </w:r>
        <w:r w:rsidRPr="002761D7">
          <w:rPr>
            <w:rStyle w:val="Hyperlink"/>
            <w:lang w:val="fr-CA"/>
          </w:rPr>
          <w:t>CERT</w:t>
        </w:r>
      </w:hyperlink>
      <w:r w:rsidRPr="002761D7">
        <w:rPr>
          <w:lang w:val="fr-CA"/>
        </w:rPr>
        <w:t xml:space="preserve">. </w:t>
      </w:r>
      <w:r>
        <w:t xml:space="preserve">Les rapports scientifiques </w:t>
      </w:r>
      <w:r w:rsidR="007D48F4">
        <w:t xml:space="preserve">et les avis </w:t>
      </w:r>
      <w:r>
        <w:t xml:space="preserve">du CERT pour la morue seront présentés à la réunion du COGST de septembre 2019. Les documents de travail </w:t>
      </w:r>
      <w:r w:rsidR="007D48F4">
        <w:t xml:space="preserve">seront </w:t>
      </w:r>
      <w:r>
        <w:t>révisés, comme on l</w:t>
      </w:r>
      <w:r w:rsidR="001B2BE1">
        <w:t>’</w:t>
      </w:r>
      <w:r>
        <w:t>a recommandé à la réunion, et publiés comme documents de référence du CERT dans les mois à venir.</w:t>
      </w:r>
    </w:p>
    <w:p w14:paraId="2B17605E" w14:textId="26776647" w:rsidR="002761D7" w:rsidRPr="002761D7" w:rsidRDefault="002761D7" w:rsidP="002761D7">
      <w:pPr>
        <w:pStyle w:val="Heading2"/>
        <w:rPr>
          <w:lang w:val="fr-CA"/>
        </w:rPr>
      </w:pPr>
      <w:bookmarkStart w:id="18" w:name="_Toc44059153"/>
      <w:r w:rsidRPr="002761D7">
        <w:rPr>
          <w:lang w:val="fr-CA"/>
        </w:rPr>
        <w:t>RÉFÉRENCE</w:t>
      </w:r>
      <w:r>
        <w:rPr>
          <w:lang w:val="fr-CA"/>
        </w:rPr>
        <w:t>S CIT</w:t>
      </w:r>
      <w:r w:rsidRPr="002761D7">
        <w:rPr>
          <w:lang w:val="fr-CA"/>
        </w:rPr>
        <w:t>É</w:t>
      </w:r>
      <w:r>
        <w:rPr>
          <w:lang w:val="fr-CA"/>
        </w:rPr>
        <w:t>ES</w:t>
      </w:r>
      <w:bookmarkEnd w:id="18"/>
    </w:p>
    <w:p w14:paraId="57867B3D" w14:textId="77777777" w:rsidR="002761D7" w:rsidRDefault="002761D7" w:rsidP="002761D7">
      <w:pPr>
        <w:pStyle w:val="citation"/>
        <w:rPr>
          <w:rFonts w:ascii="Times New Roman" w:hAnsi="Times New Roman"/>
          <w:sz w:val="24"/>
        </w:rPr>
      </w:pPr>
      <w:r w:rsidRPr="002761D7">
        <w:rPr>
          <w:lang w:val="fr-CA"/>
        </w:rPr>
        <w:t xml:space="preserve">Clark, S.H., W.J. Overholtz and R.C. Hennemuth. </w:t>
      </w:r>
      <w:r>
        <w:t>1982. Review and assessment of the Georges Bank and Gulf of Maine haddock fishery. J. Northwest. Atl. Fish. Sci. 3: 1-27.</w:t>
      </w:r>
    </w:p>
    <w:p w14:paraId="1B96A98A" w14:textId="77777777" w:rsidR="00A10C88" w:rsidRPr="002761D7" w:rsidRDefault="00A10C88">
      <w:pPr>
        <w:spacing w:before="0" w:after="0"/>
        <w:rPr>
          <w:szCs w:val="22"/>
          <w:lang w:val="fr-CA"/>
        </w:rPr>
      </w:pPr>
      <w:r w:rsidRPr="002761D7">
        <w:rPr>
          <w:lang w:val="fr-CA"/>
        </w:rPr>
        <w:br w:type="page"/>
      </w:r>
    </w:p>
    <w:p w14:paraId="7DF2C1A9" w14:textId="77777777" w:rsidR="00A10C88" w:rsidRPr="002761D7" w:rsidRDefault="00A10C88" w:rsidP="00A10C88">
      <w:pPr>
        <w:pStyle w:val="Heading1"/>
        <w:rPr>
          <w:lang w:val="fr-CA"/>
        </w:rPr>
      </w:pPr>
      <w:bookmarkStart w:id="19" w:name="_Toc44059154"/>
      <w:r w:rsidRPr="002761D7">
        <w:rPr>
          <w:lang w:val="fr-CA"/>
        </w:rPr>
        <w:lastRenderedPageBreak/>
        <w:t>ANNEXES</w:t>
      </w:r>
      <w:bookmarkEnd w:id="19"/>
    </w:p>
    <w:p w14:paraId="64FC68E1" w14:textId="2DC2FE87" w:rsidR="00CB7289" w:rsidRPr="002761D7" w:rsidRDefault="00A10C88" w:rsidP="00A10C88">
      <w:pPr>
        <w:pStyle w:val="Heading2"/>
        <w:rPr>
          <w:lang w:val="fr-CA"/>
        </w:rPr>
      </w:pPr>
      <w:bookmarkStart w:id="20" w:name="_Appendix_1._"/>
      <w:bookmarkStart w:id="21" w:name="Appendix_1"/>
      <w:bookmarkStart w:id="22" w:name="_Toc44059155"/>
      <w:bookmarkEnd w:id="20"/>
      <w:r w:rsidRPr="002761D7">
        <w:rPr>
          <w:lang w:val="fr-CA"/>
        </w:rPr>
        <w:t>Annexe </w:t>
      </w:r>
      <w:bookmarkEnd w:id="21"/>
      <w:r w:rsidR="00A24F40">
        <w:rPr>
          <w:lang w:val="fr-CA"/>
        </w:rPr>
        <w:t>i.</w:t>
      </w:r>
      <w:r w:rsidRPr="002761D7">
        <w:rPr>
          <w:lang w:val="fr-CA"/>
        </w:rPr>
        <w:t xml:space="preserve"> Liste des participants</w:t>
      </w:r>
      <w:bookmarkEnd w:id="22"/>
    </w:p>
    <w:tbl>
      <w:tblPr>
        <w:tblW w:w="5000" w:type="pct"/>
        <w:tblLook w:val="0000" w:firstRow="0" w:lastRow="0" w:firstColumn="0" w:lastColumn="0" w:noHBand="0" w:noVBand="0"/>
      </w:tblPr>
      <w:tblGrid>
        <w:gridCol w:w="1056"/>
        <w:gridCol w:w="2372"/>
        <w:gridCol w:w="2358"/>
        <w:gridCol w:w="1226"/>
        <w:gridCol w:w="1321"/>
        <w:gridCol w:w="1011"/>
      </w:tblGrid>
      <w:tr w:rsidR="00E45C0B" w:rsidRPr="00A0159E" w14:paraId="23960E07" w14:textId="77777777" w:rsidTr="00271A5C">
        <w:trPr>
          <w:trHeight w:val="593"/>
          <w:tblHeader/>
        </w:trPr>
        <w:tc>
          <w:tcPr>
            <w:tcW w:w="565" w:type="pct"/>
            <w:tcBorders>
              <w:top w:val="single" w:sz="6" w:space="0" w:color="auto"/>
              <w:left w:val="single" w:sz="6" w:space="0" w:color="auto"/>
              <w:bottom w:val="double" w:sz="4" w:space="0" w:color="auto"/>
              <w:right w:val="single" w:sz="6" w:space="0" w:color="auto"/>
            </w:tcBorders>
            <w:vAlign w:val="bottom"/>
          </w:tcPr>
          <w:p w14:paraId="42505C93" w14:textId="77777777" w:rsidR="00A10C88" w:rsidRPr="00A0159E" w:rsidRDefault="00A10C88" w:rsidP="00E45C0B">
            <w:pPr>
              <w:autoSpaceDE w:val="0"/>
              <w:autoSpaceDN w:val="0"/>
              <w:adjustRightInd w:val="0"/>
              <w:spacing w:before="0" w:after="0"/>
              <w:jc w:val="center"/>
              <w:rPr>
                <w:rFonts w:ascii="Calibri" w:hAnsi="Calibri" w:cs="Calibri"/>
                <w:b/>
                <w:bCs/>
                <w:color w:val="000000"/>
                <w:szCs w:val="22"/>
              </w:rPr>
            </w:pPr>
            <w:r>
              <w:rPr>
                <w:rFonts w:ascii="Calibri" w:hAnsi="Calibri"/>
                <w:b/>
                <w:bCs/>
                <w:color w:val="000000"/>
                <w:szCs w:val="22"/>
              </w:rPr>
              <w:t>Pays</w:t>
            </w:r>
          </w:p>
        </w:tc>
        <w:tc>
          <w:tcPr>
            <w:tcW w:w="1269" w:type="pct"/>
            <w:tcBorders>
              <w:top w:val="single" w:sz="6" w:space="0" w:color="auto"/>
              <w:left w:val="single" w:sz="6" w:space="0" w:color="auto"/>
              <w:bottom w:val="double" w:sz="4" w:space="0" w:color="auto"/>
              <w:right w:val="single" w:sz="6" w:space="0" w:color="auto"/>
            </w:tcBorders>
            <w:vAlign w:val="bottom"/>
          </w:tcPr>
          <w:p w14:paraId="1FFC4F44" w14:textId="77777777" w:rsidR="00A10C88" w:rsidRPr="00A0159E" w:rsidRDefault="00A10C88" w:rsidP="00E45C0B">
            <w:pPr>
              <w:autoSpaceDE w:val="0"/>
              <w:autoSpaceDN w:val="0"/>
              <w:adjustRightInd w:val="0"/>
              <w:spacing w:before="0" w:after="0"/>
              <w:jc w:val="center"/>
              <w:rPr>
                <w:rFonts w:ascii="Calibri" w:hAnsi="Calibri" w:cs="Calibri"/>
                <w:b/>
                <w:bCs/>
                <w:color w:val="000000"/>
                <w:szCs w:val="22"/>
              </w:rPr>
            </w:pPr>
            <w:r>
              <w:rPr>
                <w:rFonts w:ascii="Calibri" w:hAnsi="Calibri"/>
                <w:b/>
                <w:bCs/>
                <w:color w:val="000000"/>
                <w:szCs w:val="22"/>
              </w:rPr>
              <w:t>Nom</w:t>
            </w:r>
          </w:p>
        </w:tc>
        <w:tc>
          <w:tcPr>
            <w:tcW w:w="1262" w:type="pct"/>
            <w:tcBorders>
              <w:top w:val="single" w:sz="6" w:space="0" w:color="auto"/>
              <w:left w:val="single" w:sz="6" w:space="0" w:color="auto"/>
              <w:bottom w:val="double" w:sz="4" w:space="0" w:color="auto"/>
              <w:right w:val="single" w:sz="6" w:space="0" w:color="auto"/>
            </w:tcBorders>
            <w:vAlign w:val="bottom"/>
          </w:tcPr>
          <w:p w14:paraId="2D79B1B4" w14:textId="032F741C" w:rsidR="00A10C88" w:rsidRPr="00A0159E" w:rsidRDefault="00271A5C" w:rsidP="00E45C0B">
            <w:pPr>
              <w:autoSpaceDE w:val="0"/>
              <w:autoSpaceDN w:val="0"/>
              <w:adjustRightInd w:val="0"/>
              <w:spacing w:before="0" w:after="0"/>
              <w:jc w:val="center"/>
              <w:rPr>
                <w:rFonts w:ascii="Calibri" w:hAnsi="Calibri" w:cs="Calibri"/>
                <w:b/>
                <w:bCs/>
                <w:color w:val="000000"/>
                <w:szCs w:val="22"/>
              </w:rPr>
            </w:pPr>
            <w:r>
              <w:rPr>
                <w:rFonts w:ascii="Calibri" w:hAnsi="Calibri"/>
                <w:b/>
                <w:bCs/>
                <w:color w:val="000000"/>
                <w:szCs w:val="22"/>
              </w:rPr>
              <w:t>Affiliation</w:t>
            </w:r>
            <w:bookmarkStart w:id="23" w:name="_GoBack"/>
            <w:bookmarkEnd w:id="23"/>
          </w:p>
        </w:tc>
        <w:tc>
          <w:tcPr>
            <w:tcW w:w="656" w:type="pct"/>
            <w:tcBorders>
              <w:top w:val="single" w:sz="6" w:space="0" w:color="auto"/>
              <w:left w:val="single" w:sz="6" w:space="0" w:color="auto"/>
              <w:bottom w:val="double" w:sz="4" w:space="0" w:color="auto"/>
              <w:right w:val="single" w:sz="6" w:space="0" w:color="auto"/>
            </w:tcBorders>
            <w:vAlign w:val="bottom"/>
          </w:tcPr>
          <w:p w14:paraId="30A3239A" w14:textId="79C2CCAE" w:rsidR="00A10C88" w:rsidRPr="00A0159E" w:rsidRDefault="00A10C88" w:rsidP="00E45C0B">
            <w:pPr>
              <w:autoSpaceDE w:val="0"/>
              <w:autoSpaceDN w:val="0"/>
              <w:adjustRightInd w:val="0"/>
              <w:spacing w:before="0" w:after="0"/>
              <w:jc w:val="center"/>
              <w:rPr>
                <w:rFonts w:ascii="Calibri" w:hAnsi="Calibri" w:cs="Calibri"/>
                <w:b/>
                <w:bCs/>
                <w:color w:val="000000"/>
                <w:szCs w:val="22"/>
              </w:rPr>
            </w:pPr>
            <w:r>
              <w:rPr>
                <w:rFonts w:ascii="Calibri" w:hAnsi="Calibri"/>
                <w:b/>
                <w:bCs/>
                <w:color w:val="000000"/>
                <w:szCs w:val="22"/>
              </w:rPr>
              <w:t>Jour</w:t>
            </w:r>
            <w:r w:rsidR="00D80605">
              <w:rPr>
                <w:rFonts w:ascii="Calibri" w:hAnsi="Calibri"/>
                <w:b/>
                <w:bCs/>
                <w:color w:val="000000"/>
                <w:szCs w:val="22"/>
              </w:rPr>
              <w:t> </w:t>
            </w:r>
            <w:r>
              <w:rPr>
                <w:rFonts w:ascii="Calibri" w:hAnsi="Calibri"/>
                <w:b/>
                <w:bCs/>
                <w:color w:val="000000"/>
                <w:szCs w:val="22"/>
              </w:rPr>
              <w:t>1 (mardi)</w:t>
            </w:r>
          </w:p>
        </w:tc>
        <w:tc>
          <w:tcPr>
            <w:tcW w:w="707" w:type="pct"/>
            <w:tcBorders>
              <w:top w:val="single" w:sz="6" w:space="0" w:color="auto"/>
              <w:left w:val="single" w:sz="6" w:space="0" w:color="auto"/>
              <w:bottom w:val="double" w:sz="4" w:space="0" w:color="auto"/>
              <w:right w:val="single" w:sz="6" w:space="0" w:color="auto"/>
            </w:tcBorders>
            <w:vAlign w:val="bottom"/>
          </w:tcPr>
          <w:p w14:paraId="7D99A348" w14:textId="413321DA" w:rsidR="00A10C88" w:rsidRPr="00A0159E" w:rsidRDefault="00A10C88" w:rsidP="00E45C0B">
            <w:pPr>
              <w:autoSpaceDE w:val="0"/>
              <w:autoSpaceDN w:val="0"/>
              <w:adjustRightInd w:val="0"/>
              <w:spacing w:before="0" w:after="0"/>
              <w:jc w:val="center"/>
              <w:rPr>
                <w:rFonts w:ascii="Calibri" w:hAnsi="Calibri" w:cs="Calibri"/>
                <w:b/>
                <w:bCs/>
                <w:color w:val="000000"/>
                <w:szCs w:val="22"/>
              </w:rPr>
            </w:pPr>
            <w:r>
              <w:rPr>
                <w:rFonts w:ascii="Calibri" w:hAnsi="Calibri"/>
                <w:b/>
                <w:bCs/>
                <w:color w:val="000000"/>
                <w:szCs w:val="22"/>
              </w:rPr>
              <w:t>Jour</w:t>
            </w:r>
            <w:r w:rsidR="00D80605">
              <w:rPr>
                <w:rFonts w:ascii="Calibri" w:hAnsi="Calibri"/>
                <w:b/>
                <w:bCs/>
                <w:color w:val="000000"/>
                <w:szCs w:val="22"/>
              </w:rPr>
              <w:t> </w:t>
            </w:r>
            <w:r>
              <w:rPr>
                <w:rFonts w:ascii="Calibri" w:hAnsi="Calibri"/>
                <w:b/>
                <w:bCs/>
                <w:color w:val="000000"/>
                <w:szCs w:val="22"/>
              </w:rPr>
              <w:t>2 (mercredi)</w:t>
            </w:r>
          </w:p>
        </w:tc>
        <w:tc>
          <w:tcPr>
            <w:tcW w:w="541" w:type="pct"/>
            <w:tcBorders>
              <w:top w:val="single" w:sz="6" w:space="0" w:color="auto"/>
              <w:left w:val="single" w:sz="6" w:space="0" w:color="auto"/>
              <w:bottom w:val="double" w:sz="4" w:space="0" w:color="auto"/>
              <w:right w:val="single" w:sz="6" w:space="0" w:color="auto"/>
            </w:tcBorders>
            <w:vAlign w:val="bottom"/>
          </w:tcPr>
          <w:p w14:paraId="0A1A0748" w14:textId="61A67EBC" w:rsidR="00A10C88" w:rsidRPr="00A0159E" w:rsidRDefault="00A10C88" w:rsidP="00E45C0B">
            <w:pPr>
              <w:autoSpaceDE w:val="0"/>
              <w:autoSpaceDN w:val="0"/>
              <w:adjustRightInd w:val="0"/>
              <w:spacing w:before="0" w:after="0"/>
              <w:jc w:val="center"/>
              <w:rPr>
                <w:rFonts w:ascii="Calibri" w:hAnsi="Calibri" w:cs="Calibri"/>
                <w:b/>
                <w:bCs/>
                <w:color w:val="000000"/>
                <w:szCs w:val="22"/>
              </w:rPr>
            </w:pPr>
            <w:r>
              <w:rPr>
                <w:rFonts w:ascii="Calibri" w:hAnsi="Calibri"/>
                <w:b/>
                <w:bCs/>
                <w:color w:val="000000"/>
                <w:szCs w:val="22"/>
              </w:rPr>
              <w:t>Jour</w:t>
            </w:r>
            <w:r w:rsidR="00D80605">
              <w:rPr>
                <w:rFonts w:ascii="Calibri" w:hAnsi="Calibri"/>
                <w:b/>
                <w:bCs/>
                <w:color w:val="000000"/>
                <w:szCs w:val="22"/>
              </w:rPr>
              <w:t> </w:t>
            </w:r>
            <w:r>
              <w:rPr>
                <w:rFonts w:ascii="Calibri" w:hAnsi="Calibri"/>
                <w:b/>
                <w:bCs/>
                <w:color w:val="000000"/>
                <w:szCs w:val="22"/>
              </w:rPr>
              <w:t>3 (jeudi)</w:t>
            </w:r>
          </w:p>
        </w:tc>
      </w:tr>
      <w:tr w:rsidR="00E45C0B" w:rsidRPr="00A0159E" w14:paraId="715742E6" w14:textId="77777777" w:rsidTr="00271A5C">
        <w:trPr>
          <w:trHeight w:val="302"/>
        </w:trPr>
        <w:tc>
          <w:tcPr>
            <w:tcW w:w="565" w:type="pct"/>
            <w:tcBorders>
              <w:top w:val="double" w:sz="4" w:space="0" w:color="auto"/>
              <w:left w:val="single" w:sz="6" w:space="0" w:color="auto"/>
              <w:bottom w:val="single" w:sz="6" w:space="0" w:color="auto"/>
              <w:right w:val="single" w:sz="6" w:space="0" w:color="auto"/>
            </w:tcBorders>
          </w:tcPr>
          <w:p w14:paraId="4EA4F736"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É.-U.</w:t>
            </w:r>
          </w:p>
        </w:tc>
        <w:tc>
          <w:tcPr>
            <w:tcW w:w="1269" w:type="pct"/>
            <w:tcBorders>
              <w:top w:val="double" w:sz="4" w:space="0" w:color="auto"/>
              <w:left w:val="single" w:sz="6" w:space="0" w:color="auto"/>
              <w:bottom w:val="single" w:sz="6" w:space="0" w:color="auto"/>
              <w:right w:val="single" w:sz="6" w:space="0" w:color="auto"/>
            </w:tcBorders>
          </w:tcPr>
          <w:p w14:paraId="29ACB633"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Alexander, Terry</w:t>
            </w:r>
          </w:p>
        </w:tc>
        <w:tc>
          <w:tcPr>
            <w:tcW w:w="1262" w:type="pct"/>
            <w:tcBorders>
              <w:top w:val="double" w:sz="4" w:space="0" w:color="auto"/>
              <w:left w:val="single" w:sz="6" w:space="0" w:color="auto"/>
              <w:bottom w:val="single" w:sz="6" w:space="0" w:color="auto"/>
              <w:right w:val="single" w:sz="6" w:space="0" w:color="auto"/>
            </w:tcBorders>
          </w:tcPr>
          <w:p w14:paraId="61D6855D" w14:textId="77777777" w:rsidR="00A10C88" w:rsidRPr="00A0159E" w:rsidRDefault="00E45C0B">
            <w:pPr>
              <w:autoSpaceDE w:val="0"/>
              <w:autoSpaceDN w:val="0"/>
              <w:adjustRightInd w:val="0"/>
              <w:spacing w:before="0" w:after="0"/>
              <w:rPr>
                <w:rFonts w:ascii="Calibri" w:hAnsi="Calibri" w:cs="Calibri"/>
                <w:color w:val="000000"/>
                <w:szCs w:val="22"/>
              </w:rPr>
            </w:pPr>
            <w:r>
              <w:rPr>
                <w:rFonts w:ascii="Calibri" w:hAnsi="Calibri"/>
                <w:color w:val="000000"/>
                <w:szCs w:val="22"/>
              </w:rPr>
              <w:t>NEFMC</w:t>
            </w:r>
          </w:p>
        </w:tc>
        <w:tc>
          <w:tcPr>
            <w:tcW w:w="656" w:type="pct"/>
            <w:tcBorders>
              <w:top w:val="double" w:sz="4" w:space="0" w:color="auto"/>
              <w:left w:val="single" w:sz="6" w:space="0" w:color="auto"/>
              <w:bottom w:val="single" w:sz="6" w:space="0" w:color="auto"/>
              <w:right w:val="single" w:sz="6" w:space="0" w:color="auto"/>
            </w:tcBorders>
          </w:tcPr>
          <w:p w14:paraId="7DC71B85"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double" w:sz="4" w:space="0" w:color="auto"/>
              <w:left w:val="single" w:sz="6" w:space="0" w:color="auto"/>
              <w:bottom w:val="single" w:sz="6" w:space="0" w:color="auto"/>
              <w:right w:val="single" w:sz="6" w:space="0" w:color="auto"/>
            </w:tcBorders>
          </w:tcPr>
          <w:p w14:paraId="5A77BC3E" w14:textId="77777777" w:rsidR="00A10C88" w:rsidRPr="001B2BE1" w:rsidRDefault="00A10C88">
            <w:pPr>
              <w:autoSpaceDE w:val="0"/>
              <w:autoSpaceDN w:val="0"/>
              <w:adjustRightInd w:val="0"/>
              <w:spacing w:before="0" w:after="0"/>
              <w:jc w:val="center"/>
              <w:rPr>
                <w:rFonts w:cs="Arial"/>
                <w:color w:val="000000"/>
                <w:sz w:val="20"/>
              </w:rPr>
            </w:pPr>
            <w:r w:rsidRPr="00510745">
              <w:rPr>
                <w:color w:val="000000"/>
                <w:sz w:val="20"/>
                <w:lang w:eastAsia="en-CA"/>
              </w:rPr>
              <w:t>x</w:t>
            </w:r>
          </w:p>
        </w:tc>
        <w:tc>
          <w:tcPr>
            <w:tcW w:w="541" w:type="pct"/>
            <w:tcBorders>
              <w:top w:val="double" w:sz="4" w:space="0" w:color="auto"/>
              <w:left w:val="single" w:sz="6" w:space="0" w:color="auto"/>
              <w:bottom w:val="single" w:sz="6" w:space="0" w:color="auto"/>
              <w:right w:val="single" w:sz="6" w:space="0" w:color="auto"/>
            </w:tcBorders>
          </w:tcPr>
          <w:p w14:paraId="3E7D8B56" w14:textId="77777777" w:rsidR="00A10C88" w:rsidRPr="00510745" w:rsidRDefault="00A10C88">
            <w:pPr>
              <w:autoSpaceDE w:val="0"/>
              <w:autoSpaceDN w:val="0"/>
              <w:adjustRightInd w:val="0"/>
              <w:spacing w:before="0" w:after="0"/>
              <w:jc w:val="center"/>
              <w:rPr>
                <w:rFonts w:ascii="Calibri" w:hAnsi="Calibri" w:cs="Calibri"/>
                <w:color w:val="000000"/>
                <w:szCs w:val="22"/>
                <w:lang w:eastAsia="en-CA"/>
              </w:rPr>
            </w:pPr>
          </w:p>
        </w:tc>
      </w:tr>
      <w:tr w:rsidR="00E45C0B" w:rsidRPr="00A0159E" w14:paraId="701B5109"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3BAE5788"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Canada</w:t>
            </w:r>
          </w:p>
        </w:tc>
        <w:tc>
          <w:tcPr>
            <w:tcW w:w="1269" w:type="pct"/>
            <w:tcBorders>
              <w:top w:val="single" w:sz="6" w:space="0" w:color="auto"/>
              <w:left w:val="single" w:sz="6" w:space="0" w:color="auto"/>
              <w:bottom w:val="single" w:sz="6" w:space="0" w:color="auto"/>
              <w:right w:val="single" w:sz="6" w:space="0" w:color="auto"/>
            </w:tcBorders>
          </w:tcPr>
          <w:p w14:paraId="2A60DE7D"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Andrushchenko, Irene</w:t>
            </w:r>
          </w:p>
        </w:tc>
        <w:tc>
          <w:tcPr>
            <w:tcW w:w="1262" w:type="pct"/>
            <w:tcBorders>
              <w:top w:val="single" w:sz="6" w:space="0" w:color="auto"/>
              <w:left w:val="single" w:sz="6" w:space="0" w:color="auto"/>
              <w:bottom w:val="single" w:sz="6" w:space="0" w:color="auto"/>
              <w:right w:val="single" w:sz="6" w:space="0" w:color="auto"/>
            </w:tcBorders>
          </w:tcPr>
          <w:p w14:paraId="61443255"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 xml:space="preserve">MPO – Maritimes </w:t>
            </w:r>
          </w:p>
        </w:tc>
        <w:tc>
          <w:tcPr>
            <w:tcW w:w="656" w:type="pct"/>
            <w:tcBorders>
              <w:top w:val="single" w:sz="6" w:space="0" w:color="auto"/>
              <w:left w:val="single" w:sz="6" w:space="0" w:color="auto"/>
              <w:bottom w:val="single" w:sz="6" w:space="0" w:color="auto"/>
              <w:right w:val="single" w:sz="6" w:space="0" w:color="auto"/>
            </w:tcBorders>
          </w:tcPr>
          <w:p w14:paraId="104BC751"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462A1923"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58131BB8" w14:textId="77777777" w:rsidR="00A10C88" w:rsidRPr="00510745" w:rsidRDefault="00A10C88">
            <w:pPr>
              <w:autoSpaceDE w:val="0"/>
              <w:autoSpaceDN w:val="0"/>
              <w:adjustRightInd w:val="0"/>
              <w:spacing w:before="0" w:after="0"/>
              <w:jc w:val="center"/>
              <w:rPr>
                <w:rFonts w:ascii="Calibri" w:hAnsi="Calibri" w:cs="Calibri"/>
                <w:color w:val="000000"/>
                <w:szCs w:val="22"/>
                <w:lang w:eastAsia="en-CA"/>
              </w:rPr>
            </w:pPr>
          </w:p>
        </w:tc>
      </w:tr>
      <w:tr w:rsidR="00E45C0B" w:rsidRPr="00A0159E" w14:paraId="2AF0D9C1"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6300B563"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Canada</w:t>
            </w:r>
          </w:p>
        </w:tc>
        <w:tc>
          <w:tcPr>
            <w:tcW w:w="1269" w:type="pct"/>
            <w:tcBorders>
              <w:top w:val="single" w:sz="6" w:space="0" w:color="auto"/>
              <w:left w:val="single" w:sz="6" w:space="0" w:color="auto"/>
              <w:bottom w:val="single" w:sz="6" w:space="0" w:color="auto"/>
              <w:right w:val="single" w:sz="6" w:space="0" w:color="auto"/>
            </w:tcBorders>
          </w:tcPr>
          <w:p w14:paraId="2D3B7F31"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Archibald, Devan</w:t>
            </w:r>
          </w:p>
        </w:tc>
        <w:tc>
          <w:tcPr>
            <w:tcW w:w="1262" w:type="pct"/>
            <w:tcBorders>
              <w:top w:val="single" w:sz="6" w:space="0" w:color="auto"/>
              <w:left w:val="single" w:sz="6" w:space="0" w:color="auto"/>
              <w:bottom w:val="single" w:sz="6" w:space="0" w:color="auto"/>
              <w:right w:val="single" w:sz="6" w:space="0" w:color="auto"/>
            </w:tcBorders>
          </w:tcPr>
          <w:p w14:paraId="5E8B47AD"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ONG</w:t>
            </w:r>
          </w:p>
        </w:tc>
        <w:tc>
          <w:tcPr>
            <w:tcW w:w="656" w:type="pct"/>
            <w:tcBorders>
              <w:top w:val="single" w:sz="6" w:space="0" w:color="auto"/>
              <w:left w:val="single" w:sz="6" w:space="0" w:color="auto"/>
              <w:bottom w:val="single" w:sz="6" w:space="0" w:color="auto"/>
              <w:right w:val="single" w:sz="6" w:space="0" w:color="auto"/>
            </w:tcBorders>
          </w:tcPr>
          <w:p w14:paraId="20499FA0" w14:textId="77777777" w:rsidR="00A10C88" w:rsidRPr="00C76A56" w:rsidRDefault="00A10C88">
            <w:pPr>
              <w:autoSpaceDE w:val="0"/>
              <w:autoSpaceDN w:val="0"/>
              <w:adjustRightInd w:val="0"/>
              <w:spacing w:before="0" w:after="0"/>
              <w:jc w:val="center"/>
              <w:rPr>
                <w:rFonts w:ascii="Calibri" w:hAnsi="Calibri" w:cs="Calibri"/>
                <w:vanish/>
                <w:color w:val="000000"/>
                <w:szCs w:val="22"/>
                <w:lang w:eastAsia="en-CA"/>
              </w:rPr>
            </w:pPr>
          </w:p>
        </w:tc>
        <w:tc>
          <w:tcPr>
            <w:tcW w:w="707" w:type="pct"/>
            <w:tcBorders>
              <w:top w:val="single" w:sz="6" w:space="0" w:color="auto"/>
              <w:left w:val="single" w:sz="6" w:space="0" w:color="auto"/>
              <w:bottom w:val="single" w:sz="6" w:space="0" w:color="auto"/>
              <w:right w:val="single" w:sz="6" w:space="0" w:color="auto"/>
            </w:tcBorders>
          </w:tcPr>
          <w:p w14:paraId="437D868E" w14:textId="77777777" w:rsidR="00A10C88" w:rsidRPr="001B2BE1" w:rsidRDefault="00A10C88">
            <w:pPr>
              <w:autoSpaceDE w:val="0"/>
              <w:autoSpaceDN w:val="0"/>
              <w:adjustRightInd w:val="0"/>
              <w:spacing w:before="0" w:after="0"/>
              <w:jc w:val="center"/>
              <w:rPr>
                <w:rFonts w:ascii="Calibri" w:hAnsi="Calibri" w:cs="Calibri"/>
                <w:color w:val="000000"/>
                <w:szCs w:val="22"/>
                <w:lang w:eastAsia="en-CA"/>
              </w:rPr>
            </w:pPr>
          </w:p>
        </w:tc>
        <w:tc>
          <w:tcPr>
            <w:tcW w:w="541" w:type="pct"/>
            <w:tcBorders>
              <w:top w:val="single" w:sz="6" w:space="0" w:color="auto"/>
              <w:left w:val="single" w:sz="6" w:space="0" w:color="auto"/>
              <w:bottom w:val="single" w:sz="6" w:space="0" w:color="auto"/>
              <w:right w:val="single" w:sz="6" w:space="0" w:color="auto"/>
            </w:tcBorders>
          </w:tcPr>
          <w:p w14:paraId="419FCFBA" w14:textId="77777777" w:rsidR="00A10C88" w:rsidRPr="00510745"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r>
      <w:tr w:rsidR="00E45C0B" w:rsidRPr="00A0159E" w14:paraId="18759B1A"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74DE8A04"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Canada</w:t>
            </w:r>
          </w:p>
        </w:tc>
        <w:tc>
          <w:tcPr>
            <w:tcW w:w="1269" w:type="pct"/>
            <w:tcBorders>
              <w:top w:val="single" w:sz="6" w:space="0" w:color="auto"/>
              <w:left w:val="single" w:sz="6" w:space="0" w:color="auto"/>
              <w:bottom w:val="single" w:sz="6" w:space="0" w:color="auto"/>
              <w:right w:val="single" w:sz="6" w:space="0" w:color="auto"/>
            </w:tcBorders>
          </w:tcPr>
          <w:p w14:paraId="1861B18B"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Barrett, Melanie</w:t>
            </w:r>
          </w:p>
        </w:tc>
        <w:tc>
          <w:tcPr>
            <w:tcW w:w="1262" w:type="pct"/>
            <w:tcBorders>
              <w:top w:val="single" w:sz="6" w:space="0" w:color="auto"/>
              <w:left w:val="single" w:sz="6" w:space="0" w:color="auto"/>
              <w:bottom w:val="single" w:sz="6" w:space="0" w:color="auto"/>
              <w:right w:val="single" w:sz="6" w:space="0" w:color="auto"/>
            </w:tcBorders>
          </w:tcPr>
          <w:p w14:paraId="76E4DF29"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 xml:space="preserve">MPO – Maritimes </w:t>
            </w:r>
          </w:p>
        </w:tc>
        <w:tc>
          <w:tcPr>
            <w:tcW w:w="656" w:type="pct"/>
            <w:tcBorders>
              <w:top w:val="single" w:sz="6" w:space="0" w:color="auto"/>
              <w:left w:val="single" w:sz="6" w:space="0" w:color="auto"/>
              <w:bottom w:val="single" w:sz="6" w:space="0" w:color="auto"/>
              <w:right w:val="single" w:sz="6" w:space="0" w:color="auto"/>
            </w:tcBorders>
          </w:tcPr>
          <w:p w14:paraId="4552148A"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78EADAA8"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64D347C7" w14:textId="77777777" w:rsidR="00A10C88" w:rsidRPr="00510745"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r>
      <w:tr w:rsidR="00E45C0B" w:rsidRPr="00A0159E" w14:paraId="625E6386"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72CBE6F2"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Canada</w:t>
            </w:r>
          </w:p>
        </w:tc>
        <w:tc>
          <w:tcPr>
            <w:tcW w:w="1269" w:type="pct"/>
            <w:tcBorders>
              <w:top w:val="single" w:sz="6" w:space="0" w:color="auto"/>
              <w:left w:val="single" w:sz="6" w:space="0" w:color="auto"/>
              <w:bottom w:val="single" w:sz="6" w:space="0" w:color="auto"/>
              <w:right w:val="single" w:sz="6" w:space="0" w:color="auto"/>
            </w:tcBorders>
          </w:tcPr>
          <w:p w14:paraId="1367BC17"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Belliveau, Ray</w:t>
            </w:r>
          </w:p>
        </w:tc>
        <w:tc>
          <w:tcPr>
            <w:tcW w:w="1262" w:type="pct"/>
            <w:tcBorders>
              <w:top w:val="single" w:sz="6" w:space="0" w:color="auto"/>
              <w:left w:val="single" w:sz="6" w:space="0" w:color="auto"/>
              <w:bottom w:val="single" w:sz="6" w:space="0" w:color="auto"/>
              <w:right w:val="single" w:sz="6" w:space="0" w:color="auto"/>
            </w:tcBorders>
          </w:tcPr>
          <w:p w14:paraId="0DA780AC"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Industrie</w:t>
            </w:r>
          </w:p>
        </w:tc>
        <w:tc>
          <w:tcPr>
            <w:tcW w:w="656" w:type="pct"/>
            <w:tcBorders>
              <w:top w:val="single" w:sz="6" w:space="0" w:color="auto"/>
              <w:left w:val="single" w:sz="6" w:space="0" w:color="auto"/>
              <w:bottom w:val="single" w:sz="6" w:space="0" w:color="auto"/>
              <w:right w:val="single" w:sz="6" w:space="0" w:color="auto"/>
            </w:tcBorders>
          </w:tcPr>
          <w:p w14:paraId="6DFFF071"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0EB81477"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46F5E4FC" w14:textId="77777777" w:rsidR="00A10C88" w:rsidRPr="00510745"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r>
      <w:tr w:rsidR="00E45C0B" w:rsidRPr="00A0159E" w14:paraId="5ED910C0"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5A1CEC90"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É.-U.</w:t>
            </w:r>
          </w:p>
        </w:tc>
        <w:tc>
          <w:tcPr>
            <w:tcW w:w="1269" w:type="pct"/>
            <w:tcBorders>
              <w:top w:val="single" w:sz="6" w:space="0" w:color="auto"/>
              <w:left w:val="single" w:sz="6" w:space="0" w:color="auto"/>
              <w:bottom w:val="single" w:sz="6" w:space="0" w:color="auto"/>
              <w:right w:val="single" w:sz="6" w:space="0" w:color="auto"/>
            </w:tcBorders>
          </w:tcPr>
          <w:p w14:paraId="22AC24D5"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Brooks, Liz</w:t>
            </w:r>
          </w:p>
        </w:tc>
        <w:tc>
          <w:tcPr>
            <w:tcW w:w="1262" w:type="pct"/>
            <w:tcBorders>
              <w:top w:val="single" w:sz="6" w:space="0" w:color="auto"/>
              <w:left w:val="single" w:sz="6" w:space="0" w:color="auto"/>
              <w:bottom w:val="single" w:sz="6" w:space="0" w:color="auto"/>
              <w:right w:val="single" w:sz="6" w:space="0" w:color="auto"/>
            </w:tcBorders>
          </w:tcPr>
          <w:p w14:paraId="410DD506"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NOAA/NFMS/NEFSC</w:t>
            </w:r>
          </w:p>
        </w:tc>
        <w:tc>
          <w:tcPr>
            <w:tcW w:w="656" w:type="pct"/>
            <w:tcBorders>
              <w:top w:val="single" w:sz="6" w:space="0" w:color="auto"/>
              <w:left w:val="single" w:sz="6" w:space="0" w:color="auto"/>
              <w:bottom w:val="single" w:sz="6" w:space="0" w:color="auto"/>
              <w:right w:val="single" w:sz="6" w:space="0" w:color="auto"/>
            </w:tcBorders>
          </w:tcPr>
          <w:p w14:paraId="4AB21242"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2C7347F8"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5D9CAE56" w14:textId="77777777" w:rsidR="00A10C88" w:rsidRPr="00510745"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r>
      <w:tr w:rsidR="00E45C0B" w:rsidRPr="00A0159E" w14:paraId="1884D66C"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48648B16"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É.-U.</w:t>
            </w:r>
          </w:p>
        </w:tc>
        <w:tc>
          <w:tcPr>
            <w:tcW w:w="1269" w:type="pct"/>
            <w:tcBorders>
              <w:top w:val="single" w:sz="6" w:space="0" w:color="auto"/>
              <w:left w:val="single" w:sz="6" w:space="0" w:color="auto"/>
              <w:bottom w:val="single" w:sz="6" w:space="0" w:color="auto"/>
              <w:right w:val="single" w:sz="6" w:space="0" w:color="auto"/>
            </w:tcBorders>
          </w:tcPr>
          <w:p w14:paraId="5438B610"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Christopher, Pete</w:t>
            </w:r>
          </w:p>
        </w:tc>
        <w:tc>
          <w:tcPr>
            <w:tcW w:w="1262" w:type="pct"/>
            <w:tcBorders>
              <w:top w:val="single" w:sz="6" w:space="0" w:color="auto"/>
              <w:left w:val="single" w:sz="6" w:space="0" w:color="auto"/>
              <w:bottom w:val="single" w:sz="6" w:space="0" w:color="auto"/>
              <w:right w:val="single" w:sz="6" w:space="0" w:color="auto"/>
            </w:tcBorders>
          </w:tcPr>
          <w:p w14:paraId="1EAD734F"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NOAA (Web)</w:t>
            </w:r>
          </w:p>
        </w:tc>
        <w:tc>
          <w:tcPr>
            <w:tcW w:w="656" w:type="pct"/>
            <w:tcBorders>
              <w:top w:val="single" w:sz="6" w:space="0" w:color="auto"/>
              <w:left w:val="single" w:sz="6" w:space="0" w:color="auto"/>
              <w:bottom w:val="single" w:sz="6" w:space="0" w:color="auto"/>
              <w:right w:val="single" w:sz="6" w:space="0" w:color="auto"/>
            </w:tcBorders>
          </w:tcPr>
          <w:p w14:paraId="7F2D5BF6" w14:textId="77777777" w:rsidR="00A10C88" w:rsidRPr="00C76A56" w:rsidRDefault="00A10C88">
            <w:pPr>
              <w:autoSpaceDE w:val="0"/>
              <w:autoSpaceDN w:val="0"/>
              <w:adjustRightInd w:val="0"/>
              <w:spacing w:before="0" w:after="0"/>
              <w:jc w:val="center"/>
              <w:rPr>
                <w:rFonts w:ascii="Calibri" w:hAnsi="Calibri" w:cs="Calibri"/>
                <w:vanish/>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0A2DEA66" w14:textId="77777777" w:rsidR="00A10C88" w:rsidRPr="001B2BE1" w:rsidRDefault="00A10C88">
            <w:pPr>
              <w:autoSpaceDE w:val="0"/>
              <w:autoSpaceDN w:val="0"/>
              <w:adjustRightInd w:val="0"/>
              <w:spacing w:before="0" w:after="0"/>
              <w:jc w:val="center"/>
              <w:rPr>
                <w:rFonts w:ascii="Calibri" w:hAnsi="Calibri" w:cs="Calibri"/>
                <w:color w:val="000000"/>
                <w:szCs w:val="22"/>
                <w:lang w:eastAsia="en-CA"/>
              </w:rPr>
            </w:pPr>
          </w:p>
        </w:tc>
        <w:tc>
          <w:tcPr>
            <w:tcW w:w="541" w:type="pct"/>
            <w:tcBorders>
              <w:top w:val="single" w:sz="6" w:space="0" w:color="auto"/>
              <w:left w:val="single" w:sz="6" w:space="0" w:color="auto"/>
              <w:bottom w:val="single" w:sz="6" w:space="0" w:color="auto"/>
              <w:right w:val="single" w:sz="6" w:space="0" w:color="auto"/>
            </w:tcBorders>
          </w:tcPr>
          <w:p w14:paraId="1E86129D" w14:textId="77777777" w:rsidR="00A10C88" w:rsidRPr="00510745" w:rsidRDefault="00A10C88">
            <w:pPr>
              <w:autoSpaceDE w:val="0"/>
              <w:autoSpaceDN w:val="0"/>
              <w:adjustRightInd w:val="0"/>
              <w:spacing w:before="0" w:after="0"/>
              <w:jc w:val="center"/>
              <w:rPr>
                <w:rFonts w:ascii="Calibri" w:hAnsi="Calibri" w:cs="Calibri"/>
                <w:color w:val="000000"/>
                <w:szCs w:val="22"/>
                <w:lang w:eastAsia="en-CA"/>
              </w:rPr>
            </w:pPr>
          </w:p>
        </w:tc>
      </w:tr>
      <w:tr w:rsidR="00E45C0B" w:rsidRPr="00A0159E" w14:paraId="259B29C7"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3B22A85A"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Canada</w:t>
            </w:r>
          </w:p>
        </w:tc>
        <w:tc>
          <w:tcPr>
            <w:tcW w:w="1269" w:type="pct"/>
            <w:tcBorders>
              <w:top w:val="single" w:sz="6" w:space="0" w:color="auto"/>
              <w:left w:val="single" w:sz="6" w:space="0" w:color="auto"/>
              <w:bottom w:val="single" w:sz="6" w:space="0" w:color="auto"/>
              <w:right w:val="single" w:sz="6" w:space="0" w:color="auto"/>
            </w:tcBorders>
          </w:tcPr>
          <w:p w14:paraId="3BA16A99"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Clark, Kirsten</w:t>
            </w:r>
          </w:p>
        </w:tc>
        <w:tc>
          <w:tcPr>
            <w:tcW w:w="1262" w:type="pct"/>
            <w:tcBorders>
              <w:top w:val="single" w:sz="6" w:space="0" w:color="auto"/>
              <w:left w:val="single" w:sz="6" w:space="0" w:color="auto"/>
              <w:bottom w:val="single" w:sz="6" w:space="0" w:color="auto"/>
              <w:right w:val="single" w:sz="6" w:space="0" w:color="auto"/>
            </w:tcBorders>
          </w:tcPr>
          <w:p w14:paraId="3A834A9F"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MPO – Maritimes</w:t>
            </w:r>
          </w:p>
        </w:tc>
        <w:tc>
          <w:tcPr>
            <w:tcW w:w="656" w:type="pct"/>
            <w:tcBorders>
              <w:top w:val="single" w:sz="6" w:space="0" w:color="auto"/>
              <w:left w:val="single" w:sz="6" w:space="0" w:color="auto"/>
              <w:bottom w:val="single" w:sz="6" w:space="0" w:color="auto"/>
              <w:right w:val="single" w:sz="6" w:space="0" w:color="auto"/>
            </w:tcBorders>
          </w:tcPr>
          <w:p w14:paraId="59D283D6"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7C188CEB"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54E30DF4" w14:textId="77777777" w:rsidR="00A10C88" w:rsidRPr="00510745"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r>
      <w:tr w:rsidR="00E45C0B" w:rsidRPr="00A0159E" w14:paraId="6141C909"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4C9E6C7E"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Canada</w:t>
            </w:r>
          </w:p>
        </w:tc>
        <w:tc>
          <w:tcPr>
            <w:tcW w:w="1269" w:type="pct"/>
            <w:tcBorders>
              <w:top w:val="single" w:sz="6" w:space="0" w:color="auto"/>
              <w:left w:val="single" w:sz="6" w:space="0" w:color="auto"/>
              <w:bottom w:val="single" w:sz="6" w:space="0" w:color="auto"/>
              <w:right w:val="single" w:sz="6" w:space="0" w:color="auto"/>
            </w:tcBorders>
          </w:tcPr>
          <w:p w14:paraId="74B4F643"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Cooper-MacDonald, Kathy</w:t>
            </w:r>
          </w:p>
        </w:tc>
        <w:tc>
          <w:tcPr>
            <w:tcW w:w="1262" w:type="pct"/>
            <w:tcBorders>
              <w:top w:val="single" w:sz="6" w:space="0" w:color="auto"/>
              <w:left w:val="single" w:sz="6" w:space="0" w:color="auto"/>
              <w:bottom w:val="single" w:sz="6" w:space="0" w:color="auto"/>
              <w:right w:val="single" w:sz="6" w:space="0" w:color="auto"/>
            </w:tcBorders>
          </w:tcPr>
          <w:p w14:paraId="5D585609"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MPO – Maritimes</w:t>
            </w:r>
          </w:p>
        </w:tc>
        <w:tc>
          <w:tcPr>
            <w:tcW w:w="656" w:type="pct"/>
            <w:tcBorders>
              <w:top w:val="single" w:sz="6" w:space="0" w:color="auto"/>
              <w:left w:val="single" w:sz="6" w:space="0" w:color="auto"/>
              <w:bottom w:val="single" w:sz="6" w:space="0" w:color="auto"/>
              <w:right w:val="single" w:sz="6" w:space="0" w:color="auto"/>
            </w:tcBorders>
          </w:tcPr>
          <w:p w14:paraId="20E96E1D"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36321605"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3A837C3B" w14:textId="77777777" w:rsidR="00A10C88" w:rsidRPr="00510745"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r>
      <w:tr w:rsidR="00E45C0B" w:rsidRPr="00A0159E" w14:paraId="02A6AB49"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33CA43CC"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É.-U.</w:t>
            </w:r>
          </w:p>
        </w:tc>
        <w:tc>
          <w:tcPr>
            <w:tcW w:w="1269" w:type="pct"/>
            <w:tcBorders>
              <w:top w:val="single" w:sz="6" w:space="0" w:color="auto"/>
              <w:left w:val="single" w:sz="6" w:space="0" w:color="auto"/>
              <w:bottom w:val="single" w:sz="6" w:space="0" w:color="auto"/>
              <w:right w:val="single" w:sz="6" w:space="0" w:color="auto"/>
            </w:tcBorders>
          </w:tcPr>
          <w:p w14:paraId="7197C7AB"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Cournane, Jamie</w:t>
            </w:r>
          </w:p>
        </w:tc>
        <w:tc>
          <w:tcPr>
            <w:tcW w:w="1262" w:type="pct"/>
            <w:tcBorders>
              <w:top w:val="single" w:sz="6" w:space="0" w:color="auto"/>
              <w:left w:val="single" w:sz="6" w:space="0" w:color="auto"/>
              <w:bottom w:val="single" w:sz="6" w:space="0" w:color="auto"/>
              <w:right w:val="single" w:sz="6" w:space="0" w:color="auto"/>
            </w:tcBorders>
          </w:tcPr>
          <w:p w14:paraId="66D3CDCD" w14:textId="77777777" w:rsidR="00A10C88" w:rsidRPr="00A0159E" w:rsidRDefault="00E45C0B">
            <w:pPr>
              <w:autoSpaceDE w:val="0"/>
              <w:autoSpaceDN w:val="0"/>
              <w:adjustRightInd w:val="0"/>
              <w:spacing w:before="0" w:after="0"/>
              <w:rPr>
                <w:rFonts w:ascii="Calibri" w:hAnsi="Calibri" w:cs="Calibri"/>
                <w:color w:val="000000"/>
                <w:szCs w:val="22"/>
              </w:rPr>
            </w:pPr>
            <w:r>
              <w:rPr>
                <w:rFonts w:ascii="Calibri" w:hAnsi="Calibri"/>
                <w:color w:val="000000"/>
                <w:szCs w:val="22"/>
              </w:rPr>
              <w:t>NEFMC</w:t>
            </w:r>
          </w:p>
        </w:tc>
        <w:tc>
          <w:tcPr>
            <w:tcW w:w="656" w:type="pct"/>
            <w:tcBorders>
              <w:top w:val="single" w:sz="6" w:space="0" w:color="auto"/>
              <w:left w:val="single" w:sz="6" w:space="0" w:color="auto"/>
              <w:bottom w:val="single" w:sz="6" w:space="0" w:color="auto"/>
              <w:right w:val="single" w:sz="6" w:space="0" w:color="auto"/>
            </w:tcBorders>
          </w:tcPr>
          <w:p w14:paraId="668B13DA"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00857EFF"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1C65A639" w14:textId="77777777" w:rsidR="00A10C88" w:rsidRPr="00510745"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r>
      <w:tr w:rsidR="00E45C0B" w:rsidRPr="00A0159E" w14:paraId="004893A9"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4F05AE94"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Canada</w:t>
            </w:r>
          </w:p>
        </w:tc>
        <w:tc>
          <w:tcPr>
            <w:tcW w:w="1269" w:type="pct"/>
            <w:tcBorders>
              <w:top w:val="single" w:sz="6" w:space="0" w:color="auto"/>
              <w:left w:val="single" w:sz="6" w:space="0" w:color="auto"/>
              <w:bottom w:val="single" w:sz="6" w:space="0" w:color="auto"/>
              <w:right w:val="single" w:sz="6" w:space="0" w:color="auto"/>
            </w:tcBorders>
          </w:tcPr>
          <w:p w14:paraId="2807358E"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Couture, John</w:t>
            </w:r>
          </w:p>
        </w:tc>
        <w:tc>
          <w:tcPr>
            <w:tcW w:w="1262" w:type="pct"/>
            <w:tcBorders>
              <w:top w:val="single" w:sz="6" w:space="0" w:color="auto"/>
              <w:left w:val="single" w:sz="6" w:space="0" w:color="auto"/>
              <w:bottom w:val="single" w:sz="6" w:space="0" w:color="auto"/>
              <w:right w:val="single" w:sz="6" w:space="0" w:color="auto"/>
            </w:tcBorders>
          </w:tcPr>
          <w:p w14:paraId="379E49D9"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 xml:space="preserve">COGST </w:t>
            </w:r>
          </w:p>
        </w:tc>
        <w:tc>
          <w:tcPr>
            <w:tcW w:w="656" w:type="pct"/>
            <w:tcBorders>
              <w:top w:val="single" w:sz="6" w:space="0" w:color="auto"/>
              <w:left w:val="single" w:sz="6" w:space="0" w:color="auto"/>
              <w:bottom w:val="single" w:sz="6" w:space="0" w:color="auto"/>
              <w:right w:val="single" w:sz="6" w:space="0" w:color="auto"/>
            </w:tcBorders>
          </w:tcPr>
          <w:p w14:paraId="4E83EBB0"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35F5A152"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2B3A8D39" w14:textId="77777777" w:rsidR="00A10C88" w:rsidRPr="00510745" w:rsidRDefault="00A10C88">
            <w:pPr>
              <w:autoSpaceDE w:val="0"/>
              <w:autoSpaceDN w:val="0"/>
              <w:adjustRightInd w:val="0"/>
              <w:spacing w:before="0" w:after="0"/>
              <w:jc w:val="center"/>
              <w:rPr>
                <w:rFonts w:ascii="Calibri" w:hAnsi="Calibri" w:cs="Calibri"/>
                <w:color w:val="000000"/>
                <w:szCs w:val="22"/>
                <w:lang w:eastAsia="en-CA"/>
              </w:rPr>
            </w:pPr>
          </w:p>
        </w:tc>
      </w:tr>
      <w:tr w:rsidR="00E45C0B" w:rsidRPr="00A0159E" w14:paraId="45B08242"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7B556699"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Canada</w:t>
            </w:r>
          </w:p>
        </w:tc>
        <w:tc>
          <w:tcPr>
            <w:tcW w:w="1269" w:type="pct"/>
            <w:tcBorders>
              <w:top w:val="single" w:sz="6" w:space="0" w:color="auto"/>
              <w:left w:val="single" w:sz="6" w:space="0" w:color="auto"/>
              <w:bottom w:val="single" w:sz="6" w:space="0" w:color="auto"/>
              <w:right w:val="single" w:sz="6" w:space="0" w:color="auto"/>
            </w:tcBorders>
          </w:tcPr>
          <w:p w14:paraId="164E023C" w14:textId="05A4E815"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d</w:t>
            </w:r>
            <w:r w:rsidR="001B2BE1">
              <w:rPr>
                <w:rFonts w:ascii="Calibri" w:hAnsi="Calibri"/>
                <w:color w:val="000000"/>
                <w:szCs w:val="22"/>
              </w:rPr>
              <w:t>’</w:t>
            </w:r>
            <w:r>
              <w:rPr>
                <w:rFonts w:ascii="Calibri" w:hAnsi="Calibri"/>
                <w:color w:val="000000"/>
                <w:szCs w:val="22"/>
              </w:rPr>
              <w:t>Entremont, Alain</w:t>
            </w:r>
          </w:p>
        </w:tc>
        <w:tc>
          <w:tcPr>
            <w:tcW w:w="1262" w:type="pct"/>
            <w:tcBorders>
              <w:top w:val="single" w:sz="6" w:space="0" w:color="auto"/>
              <w:left w:val="single" w:sz="6" w:space="0" w:color="auto"/>
              <w:bottom w:val="single" w:sz="6" w:space="0" w:color="auto"/>
              <w:right w:val="single" w:sz="6" w:space="0" w:color="auto"/>
            </w:tcBorders>
          </w:tcPr>
          <w:p w14:paraId="49B86308"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Coprésident du COGST</w:t>
            </w:r>
          </w:p>
        </w:tc>
        <w:tc>
          <w:tcPr>
            <w:tcW w:w="656" w:type="pct"/>
            <w:tcBorders>
              <w:top w:val="single" w:sz="6" w:space="0" w:color="auto"/>
              <w:left w:val="single" w:sz="6" w:space="0" w:color="auto"/>
              <w:bottom w:val="single" w:sz="6" w:space="0" w:color="auto"/>
              <w:right w:val="single" w:sz="6" w:space="0" w:color="auto"/>
            </w:tcBorders>
          </w:tcPr>
          <w:p w14:paraId="41BBFC54"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63CBF4DC"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227D8DAA" w14:textId="77777777" w:rsidR="00A10C88" w:rsidRPr="00510745"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r>
      <w:tr w:rsidR="00E45C0B" w:rsidRPr="00A0159E" w14:paraId="63DBB5A4"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1F81ED1A"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É.-U.</w:t>
            </w:r>
          </w:p>
        </w:tc>
        <w:tc>
          <w:tcPr>
            <w:tcW w:w="1269" w:type="pct"/>
            <w:tcBorders>
              <w:top w:val="single" w:sz="6" w:space="0" w:color="auto"/>
              <w:left w:val="single" w:sz="6" w:space="0" w:color="auto"/>
              <w:bottom w:val="single" w:sz="6" w:space="0" w:color="auto"/>
              <w:right w:val="single" w:sz="6" w:space="0" w:color="auto"/>
            </w:tcBorders>
          </w:tcPr>
          <w:p w14:paraId="5671D117"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Etrie, Libby</w:t>
            </w:r>
          </w:p>
        </w:tc>
        <w:tc>
          <w:tcPr>
            <w:tcW w:w="1262" w:type="pct"/>
            <w:tcBorders>
              <w:top w:val="single" w:sz="6" w:space="0" w:color="auto"/>
              <w:left w:val="single" w:sz="6" w:space="0" w:color="auto"/>
              <w:bottom w:val="single" w:sz="6" w:space="0" w:color="auto"/>
              <w:right w:val="single" w:sz="6" w:space="0" w:color="auto"/>
            </w:tcBorders>
          </w:tcPr>
          <w:p w14:paraId="676F469B"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Industrie</w:t>
            </w:r>
          </w:p>
        </w:tc>
        <w:tc>
          <w:tcPr>
            <w:tcW w:w="656" w:type="pct"/>
            <w:tcBorders>
              <w:top w:val="single" w:sz="6" w:space="0" w:color="auto"/>
              <w:left w:val="single" w:sz="6" w:space="0" w:color="auto"/>
              <w:bottom w:val="single" w:sz="6" w:space="0" w:color="auto"/>
              <w:right w:val="single" w:sz="6" w:space="0" w:color="auto"/>
            </w:tcBorders>
          </w:tcPr>
          <w:p w14:paraId="32F48DB0"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6AEC698F" w14:textId="77777777" w:rsidR="00A10C88" w:rsidRPr="001B2BE1" w:rsidRDefault="00A10C88">
            <w:pPr>
              <w:autoSpaceDE w:val="0"/>
              <w:autoSpaceDN w:val="0"/>
              <w:adjustRightInd w:val="0"/>
              <w:spacing w:before="0" w:after="0"/>
              <w:jc w:val="center"/>
              <w:rPr>
                <w:rFonts w:cs="Arial"/>
                <w:color w:val="000000"/>
                <w:sz w:val="20"/>
              </w:rPr>
            </w:pPr>
            <w:r w:rsidRPr="00510745">
              <w:rPr>
                <w:color w:val="000000"/>
                <w:sz w:val="20"/>
                <w:lang w:eastAsia="en-CA"/>
              </w:rPr>
              <w:t>x</w:t>
            </w:r>
          </w:p>
        </w:tc>
        <w:tc>
          <w:tcPr>
            <w:tcW w:w="541" w:type="pct"/>
            <w:tcBorders>
              <w:top w:val="single" w:sz="6" w:space="0" w:color="auto"/>
              <w:left w:val="single" w:sz="6" w:space="0" w:color="auto"/>
              <w:bottom w:val="single" w:sz="6" w:space="0" w:color="auto"/>
              <w:right w:val="single" w:sz="6" w:space="0" w:color="auto"/>
            </w:tcBorders>
          </w:tcPr>
          <w:p w14:paraId="0A9A7DE0" w14:textId="77777777" w:rsidR="00A10C88" w:rsidRPr="00510745"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r>
      <w:tr w:rsidR="00E45C0B" w:rsidRPr="00A0159E" w14:paraId="319ACDD0"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7ED4486A"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Canada</w:t>
            </w:r>
          </w:p>
        </w:tc>
        <w:tc>
          <w:tcPr>
            <w:tcW w:w="1269" w:type="pct"/>
            <w:tcBorders>
              <w:top w:val="single" w:sz="6" w:space="0" w:color="auto"/>
              <w:left w:val="single" w:sz="6" w:space="0" w:color="auto"/>
              <w:bottom w:val="single" w:sz="6" w:space="0" w:color="auto"/>
              <w:right w:val="single" w:sz="6" w:space="0" w:color="auto"/>
            </w:tcBorders>
          </w:tcPr>
          <w:p w14:paraId="30EB03AB"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Faure, Anne</w:t>
            </w:r>
          </w:p>
        </w:tc>
        <w:tc>
          <w:tcPr>
            <w:tcW w:w="1262" w:type="pct"/>
            <w:tcBorders>
              <w:top w:val="single" w:sz="6" w:space="0" w:color="auto"/>
              <w:left w:val="single" w:sz="6" w:space="0" w:color="auto"/>
              <w:bottom w:val="single" w:sz="6" w:space="0" w:color="auto"/>
              <w:right w:val="single" w:sz="6" w:space="0" w:color="auto"/>
            </w:tcBorders>
          </w:tcPr>
          <w:p w14:paraId="42F88605"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ONG</w:t>
            </w:r>
          </w:p>
        </w:tc>
        <w:tc>
          <w:tcPr>
            <w:tcW w:w="656" w:type="pct"/>
            <w:tcBorders>
              <w:top w:val="single" w:sz="6" w:space="0" w:color="auto"/>
              <w:left w:val="single" w:sz="6" w:space="0" w:color="auto"/>
              <w:bottom w:val="single" w:sz="6" w:space="0" w:color="auto"/>
              <w:right w:val="single" w:sz="6" w:space="0" w:color="auto"/>
            </w:tcBorders>
          </w:tcPr>
          <w:p w14:paraId="533A51EB"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7F6597FB"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778482CC" w14:textId="77777777" w:rsidR="00A10C88" w:rsidRPr="00510745"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r>
      <w:tr w:rsidR="00E45C0B" w:rsidRPr="00A0159E" w14:paraId="00FDE297"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1AD6683A"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Canada</w:t>
            </w:r>
          </w:p>
        </w:tc>
        <w:tc>
          <w:tcPr>
            <w:tcW w:w="1269" w:type="pct"/>
            <w:tcBorders>
              <w:top w:val="single" w:sz="6" w:space="0" w:color="auto"/>
              <w:left w:val="single" w:sz="6" w:space="0" w:color="auto"/>
              <w:bottom w:val="single" w:sz="6" w:space="0" w:color="auto"/>
              <w:right w:val="single" w:sz="6" w:space="0" w:color="auto"/>
            </w:tcBorders>
          </w:tcPr>
          <w:p w14:paraId="2E692D5F"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Finley, Monica</w:t>
            </w:r>
          </w:p>
        </w:tc>
        <w:tc>
          <w:tcPr>
            <w:tcW w:w="1262" w:type="pct"/>
            <w:tcBorders>
              <w:top w:val="single" w:sz="6" w:space="0" w:color="auto"/>
              <w:left w:val="single" w:sz="6" w:space="0" w:color="auto"/>
              <w:bottom w:val="single" w:sz="6" w:space="0" w:color="auto"/>
              <w:right w:val="single" w:sz="6" w:space="0" w:color="auto"/>
            </w:tcBorders>
          </w:tcPr>
          <w:p w14:paraId="13FE671D"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MPO – Maritimes</w:t>
            </w:r>
          </w:p>
        </w:tc>
        <w:tc>
          <w:tcPr>
            <w:tcW w:w="656" w:type="pct"/>
            <w:tcBorders>
              <w:top w:val="single" w:sz="6" w:space="0" w:color="auto"/>
              <w:left w:val="single" w:sz="6" w:space="0" w:color="auto"/>
              <w:bottom w:val="single" w:sz="6" w:space="0" w:color="auto"/>
              <w:right w:val="single" w:sz="6" w:space="0" w:color="auto"/>
            </w:tcBorders>
          </w:tcPr>
          <w:p w14:paraId="21C66F98"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54B3EC90"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1587420E" w14:textId="77777777" w:rsidR="00A10C88" w:rsidRPr="00510745"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r>
      <w:tr w:rsidR="00E45C0B" w:rsidRPr="00A0159E" w14:paraId="7082E08B"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26EA639E"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Canada</w:t>
            </w:r>
          </w:p>
        </w:tc>
        <w:tc>
          <w:tcPr>
            <w:tcW w:w="1269" w:type="pct"/>
            <w:tcBorders>
              <w:top w:val="single" w:sz="6" w:space="0" w:color="auto"/>
              <w:left w:val="single" w:sz="6" w:space="0" w:color="auto"/>
              <w:bottom w:val="single" w:sz="6" w:space="0" w:color="auto"/>
              <w:right w:val="single" w:sz="6" w:space="0" w:color="auto"/>
            </w:tcBorders>
          </w:tcPr>
          <w:p w14:paraId="08FC770D"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Ford, Jennifer</w:t>
            </w:r>
          </w:p>
        </w:tc>
        <w:tc>
          <w:tcPr>
            <w:tcW w:w="1262" w:type="pct"/>
            <w:tcBorders>
              <w:top w:val="single" w:sz="6" w:space="0" w:color="auto"/>
              <w:left w:val="single" w:sz="6" w:space="0" w:color="auto"/>
              <w:bottom w:val="single" w:sz="6" w:space="0" w:color="auto"/>
              <w:right w:val="single" w:sz="6" w:space="0" w:color="auto"/>
            </w:tcBorders>
          </w:tcPr>
          <w:p w14:paraId="586FD3BF"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MPO – Maritimes</w:t>
            </w:r>
          </w:p>
        </w:tc>
        <w:tc>
          <w:tcPr>
            <w:tcW w:w="656" w:type="pct"/>
            <w:tcBorders>
              <w:top w:val="single" w:sz="6" w:space="0" w:color="auto"/>
              <w:left w:val="single" w:sz="6" w:space="0" w:color="auto"/>
              <w:bottom w:val="single" w:sz="6" w:space="0" w:color="auto"/>
              <w:right w:val="single" w:sz="6" w:space="0" w:color="auto"/>
            </w:tcBorders>
          </w:tcPr>
          <w:p w14:paraId="551B3A6A"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109CC595"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6954AD22" w14:textId="77777777" w:rsidR="00A10C88" w:rsidRPr="00510745"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r>
      <w:tr w:rsidR="00E45C0B" w:rsidRPr="00A0159E" w14:paraId="3BB8C8E2"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67ED239D"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Canada</w:t>
            </w:r>
          </w:p>
        </w:tc>
        <w:tc>
          <w:tcPr>
            <w:tcW w:w="1269" w:type="pct"/>
            <w:tcBorders>
              <w:top w:val="single" w:sz="6" w:space="0" w:color="auto"/>
              <w:left w:val="single" w:sz="6" w:space="0" w:color="auto"/>
              <w:bottom w:val="single" w:sz="6" w:space="0" w:color="auto"/>
              <w:right w:val="single" w:sz="6" w:space="0" w:color="auto"/>
            </w:tcBorders>
          </w:tcPr>
          <w:p w14:paraId="0F7C2644"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Greenlaw, Michelle</w:t>
            </w:r>
          </w:p>
        </w:tc>
        <w:tc>
          <w:tcPr>
            <w:tcW w:w="1262" w:type="pct"/>
            <w:tcBorders>
              <w:top w:val="single" w:sz="6" w:space="0" w:color="auto"/>
              <w:left w:val="single" w:sz="6" w:space="0" w:color="auto"/>
              <w:bottom w:val="single" w:sz="6" w:space="0" w:color="auto"/>
              <w:right w:val="single" w:sz="6" w:space="0" w:color="auto"/>
            </w:tcBorders>
          </w:tcPr>
          <w:p w14:paraId="28D4A538"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MPO – Maritimes</w:t>
            </w:r>
          </w:p>
        </w:tc>
        <w:tc>
          <w:tcPr>
            <w:tcW w:w="656" w:type="pct"/>
            <w:tcBorders>
              <w:top w:val="single" w:sz="6" w:space="0" w:color="auto"/>
              <w:left w:val="single" w:sz="6" w:space="0" w:color="auto"/>
              <w:bottom w:val="single" w:sz="6" w:space="0" w:color="auto"/>
              <w:right w:val="single" w:sz="6" w:space="0" w:color="auto"/>
            </w:tcBorders>
          </w:tcPr>
          <w:p w14:paraId="00D316C3"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3D1CD9E8"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16E0736D" w14:textId="77777777" w:rsidR="00A10C88" w:rsidRPr="00510745"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r>
      <w:tr w:rsidR="00E45C0B" w:rsidRPr="00A0159E" w14:paraId="36EE436C"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3AFF46FD"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Canada</w:t>
            </w:r>
          </w:p>
        </w:tc>
        <w:tc>
          <w:tcPr>
            <w:tcW w:w="1269" w:type="pct"/>
            <w:tcBorders>
              <w:top w:val="single" w:sz="6" w:space="0" w:color="auto"/>
              <w:left w:val="single" w:sz="6" w:space="0" w:color="auto"/>
              <w:bottom w:val="single" w:sz="6" w:space="0" w:color="auto"/>
              <w:right w:val="single" w:sz="6" w:space="0" w:color="auto"/>
            </w:tcBorders>
          </w:tcPr>
          <w:p w14:paraId="6E533D49"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Irvine, Fonya</w:t>
            </w:r>
          </w:p>
        </w:tc>
        <w:tc>
          <w:tcPr>
            <w:tcW w:w="1262" w:type="pct"/>
            <w:tcBorders>
              <w:top w:val="single" w:sz="6" w:space="0" w:color="auto"/>
              <w:left w:val="single" w:sz="6" w:space="0" w:color="auto"/>
              <w:bottom w:val="single" w:sz="6" w:space="0" w:color="auto"/>
              <w:right w:val="single" w:sz="6" w:space="0" w:color="auto"/>
            </w:tcBorders>
          </w:tcPr>
          <w:p w14:paraId="0A631082"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MPO – Maritimes</w:t>
            </w:r>
          </w:p>
        </w:tc>
        <w:tc>
          <w:tcPr>
            <w:tcW w:w="656" w:type="pct"/>
            <w:tcBorders>
              <w:top w:val="single" w:sz="6" w:space="0" w:color="auto"/>
              <w:left w:val="single" w:sz="6" w:space="0" w:color="auto"/>
              <w:bottom w:val="single" w:sz="6" w:space="0" w:color="auto"/>
              <w:right w:val="single" w:sz="6" w:space="0" w:color="auto"/>
            </w:tcBorders>
          </w:tcPr>
          <w:p w14:paraId="157D0FCA"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79D37393"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4005BB46" w14:textId="77777777" w:rsidR="00A10C88" w:rsidRPr="00510745"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r>
      <w:tr w:rsidR="00E45C0B" w:rsidRPr="00A0159E" w14:paraId="74F8685B"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6D9D5BA6"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Canada</w:t>
            </w:r>
          </w:p>
        </w:tc>
        <w:tc>
          <w:tcPr>
            <w:tcW w:w="1269" w:type="pct"/>
            <w:tcBorders>
              <w:top w:val="single" w:sz="6" w:space="0" w:color="auto"/>
              <w:left w:val="single" w:sz="6" w:space="0" w:color="auto"/>
              <w:bottom w:val="single" w:sz="6" w:space="0" w:color="auto"/>
              <w:right w:val="single" w:sz="6" w:space="0" w:color="auto"/>
            </w:tcBorders>
          </w:tcPr>
          <w:p w14:paraId="48D1F234"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Karbowski, Chelsey</w:t>
            </w:r>
          </w:p>
        </w:tc>
        <w:tc>
          <w:tcPr>
            <w:tcW w:w="1262" w:type="pct"/>
            <w:tcBorders>
              <w:top w:val="single" w:sz="6" w:space="0" w:color="auto"/>
              <w:left w:val="single" w:sz="6" w:space="0" w:color="auto"/>
              <w:bottom w:val="single" w:sz="6" w:space="0" w:color="auto"/>
              <w:right w:val="single" w:sz="6" w:space="0" w:color="auto"/>
            </w:tcBorders>
          </w:tcPr>
          <w:p w14:paraId="39459B51"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ONG</w:t>
            </w:r>
          </w:p>
        </w:tc>
        <w:tc>
          <w:tcPr>
            <w:tcW w:w="656" w:type="pct"/>
            <w:tcBorders>
              <w:top w:val="single" w:sz="6" w:space="0" w:color="auto"/>
              <w:left w:val="single" w:sz="6" w:space="0" w:color="auto"/>
              <w:bottom w:val="single" w:sz="6" w:space="0" w:color="auto"/>
              <w:right w:val="single" w:sz="6" w:space="0" w:color="auto"/>
            </w:tcBorders>
          </w:tcPr>
          <w:p w14:paraId="3E6457E1"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2A8C2A55"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5E40BF51" w14:textId="77777777" w:rsidR="00A10C88" w:rsidRPr="00510745"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r>
      <w:tr w:rsidR="00E45C0B" w:rsidRPr="00A0159E" w14:paraId="600F5FDC"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78C85468"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Canada</w:t>
            </w:r>
          </w:p>
        </w:tc>
        <w:tc>
          <w:tcPr>
            <w:tcW w:w="1269" w:type="pct"/>
            <w:tcBorders>
              <w:top w:val="single" w:sz="6" w:space="0" w:color="auto"/>
              <w:left w:val="single" w:sz="6" w:space="0" w:color="auto"/>
              <w:bottom w:val="single" w:sz="6" w:space="0" w:color="auto"/>
              <w:right w:val="single" w:sz="6" w:space="0" w:color="auto"/>
            </w:tcBorders>
          </w:tcPr>
          <w:p w14:paraId="385B029B"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Keith, David</w:t>
            </w:r>
          </w:p>
        </w:tc>
        <w:tc>
          <w:tcPr>
            <w:tcW w:w="1262" w:type="pct"/>
            <w:tcBorders>
              <w:top w:val="single" w:sz="6" w:space="0" w:color="auto"/>
              <w:left w:val="single" w:sz="6" w:space="0" w:color="auto"/>
              <w:bottom w:val="single" w:sz="6" w:space="0" w:color="auto"/>
              <w:right w:val="single" w:sz="6" w:space="0" w:color="auto"/>
            </w:tcBorders>
          </w:tcPr>
          <w:p w14:paraId="167FD2A5"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MPO – Maritimes (examinateur)</w:t>
            </w:r>
          </w:p>
        </w:tc>
        <w:tc>
          <w:tcPr>
            <w:tcW w:w="656" w:type="pct"/>
            <w:tcBorders>
              <w:top w:val="single" w:sz="6" w:space="0" w:color="auto"/>
              <w:left w:val="single" w:sz="6" w:space="0" w:color="auto"/>
              <w:bottom w:val="single" w:sz="6" w:space="0" w:color="auto"/>
              <w:right w:val="single" w:sz="6" w:space="0" w:color="auto"/>
            </w:tcBorders>
          </w:tcPr>
          <w:p w14:paraId="40C0D1B8"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403A4826"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16EEBE83" w14:textId="77777777" w:rsidR="00A10C88" w:rsidRPr="00510745"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r>
      <w:tr w:rsidR="00E45C0B" w:rsidRPr="00A0159E" w14:paraId="7DB81FE0"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48DD6492"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É.-U.</w:t>
            </w:r>
          </w:p>
        </w:tc>
        <w:tc>
          <w:tcPr>
            <w:tcW w:w="1269" w:type="pct"/>
            <w:tcBorders>
              <w:top w:val="single" w:sz="6" w:space="0" w:color="auto"/>
              <w:left w:val="single" w:sz="6" w:space="0" w:color="auto"/>
              <w:bottom w:val="single" w:sz="6" w:space="0" w:color="auto"/>
              <w:right w:val="single" w:sz="6" w:space="0" w:color="auto"/>
            </w:tcBorders>
          </w:tcPr>
          <w:p w14:paraId="70681339" w14:textId="674AED6B"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Trinko</w:t>
            </w:r>
            <w:r w:rsidR="00EF1BED">
              <w:rPr>
                <w:rFonts w:ascii="Calibri" w:hAnsi="Calibri"/>
                <w:color w:val="000000"/>
                <w:szCs w:val="22"/>
              </w:rPr>
              <w:t>-Lake</w:t>
            </w:r>
            <w:r>
              <w:rPr>
                <w:rFonts w:ascii="Calibri" w:hAnsi="Calibri"/>
                <w:color w:val="000000"/>
                <w:szCs w:val="22"/>
              </w:rPr>
              <w:t>, Tara</w:t>
            </w:r>
          </w:p>
        </w:tc>
        <w:tc>
          <w:tcPr>
            <w:tcW w:w="1262" w:type="pct"/>
            <w:tcBorders>
              <w:top w:val="single" w:sz="6" w:space="0" w:color="auto"/>
              <w:left w:val="single" w:sz="6" w:space="0" w:color="auto"/>
              <w:bottom w:val="single" w:sz="6" w:space="0" w:color="auto"/>
              <w:right w:val="single" w:sz="6" w:space="0" w:color="auto"/>
            </w:tcBorders>
          </w:tcPr>
          <w:p w14:paraId="63B657E8"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NOAA/NFMS/NEFSC</w:t>
            </w:r>
          </w:p>
        </w:tc>
        <w:tc>
          <w:tcPr>
            <w:tcW w:w="656" w:type="pct"/>
            <w:tcBorders>
              <w:top w:val="single" w:sz="6" w:space="0" w:color="auto"/>
              <w:left w:val="single" w:sz="6" w:space="0" w:color="auto"/>
              <w:bottom w:val="single" w:sz="6" w:space="0" w:color="auto"/>
              <w:right w:val="single" w:sz="6" w:space="0" w:color="auto"/>
            </w:tcBorders>
          </w:tcPr>
          <w:p w14:paraId="65575631"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629279C1"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2855C6CB" w14:textId="77777777" w:rsidR="00A10C88" w:rsidRPr="00510745"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r>
      <w:tr w:rsidR="00E45C0B" w:rsidRPr="00A0159E" w14:paraId="7E434ED6"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1BABD52E"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É.-U.</w:t>
            </w:r>
          </w:p>
        </w:tc>
        <w:tc>
          <w:tcPr>
            <w:tcW w:w="1269" w:type="pct"/>
            <w:tcBorders>
              <w:top w:val="single" w:sz="6" w:space="0" w:color="auto"/>
              <w:left w:val="single" w:sz="6" w:space="0" w:color="auto"/>
              <w:bottom w:val="single" w:sz="6" w:space="0" w:color="auto"/>
              <w:right w:val="single" w:sz="6" w:space="0" w:color="auto"/>
            </w:tcBorders>
          </w:tcPr>
          <w:p w14:paraId="2A1E027B"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Legault, Chris</w:t>
            </w:r>
          </w:p>
        </w:tc>
        <w:tc>
          <w:tcPr>
            <w:tcW w:w="1262" w:type="pct"/>
            <w:tcBorders>
              <w:top w:val="single" w:sz="6" w:space="0" w:color="auto"/>
              <w:left w:val="single" w:sz="6" w:space="0" w:color="auto"/>
              <w:bottom w:val="single" w:sz="6" w:space="0" w:color="auto"/>
              <w:right w:val="single" w:sz="6" w:space="0" w:color="auto"/>
            </w:tcBorders>
          </w:tcPr>
          <w:p w14:paraId="5C51E812"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NOAA/NFMS/NEFSC</w:t>
            </w:r>
          </w:p>
        </w:tc>
        <w:tc>
          <w:tcPr>
            <w:tcW w:w="656" w:type="pct"/>
            <w:tcBorders>
              <w:top w:val="single" w:sz="6" w:space="0" w:color="auto"/>
              <w:left w:val="single" w:sz="6" w:space="0" w:color="auto"/>
              <w:bottom w:val="single" w:sz="6" w:space="0" w:color="auto"/>
              <w:right w:val="single" w:sz="6" w:space="0" w:color="auto"/>
            </w:tcBorders>
          </w:tcPr>
          <w:p w14:paraId="4D40EE01"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4EF772AE"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05F760A5" w14:textId="77777777" w:rsidR="00A10C88" w:rsidRPr="00510745"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r>
      <w:tr w:rsidR="00E45C0B" w:rsidRPr="00A0159E" w14:paraId="340A7C00"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77347115"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Canada</w:t>
            </w:r>
          </w:p>
        </w:tc>
        <w:tc>
          <w:tcPr>
            <w:tcW w:w="1269" w:type="pct"/>
            <w:tcBorders>
              <w:top w:val="single" w:sz="6" w:space="0" w:color="auto"/>
              <w:left w:val="single" w:sz="6" w:space="0" w:color="auto"/>
              <w:bottom w:val="single" w:sz="6" w:space="0" w:color="auto"/>
              <w:right w:val="single" w:sz="6" w:space="0" w:color="auto"/>
            </w:tcBorders>
          </w:tcPr>
          <w:p w14:paraId="31E330E2"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Martin, Ryan</w:t>
            </w:r>
          </w:p>
        </w:tc>
        <w:tc>
          <w:tcPr>
            <w:tcW w:w="1262" w:type="pct"/>
            <w:tcBorders>
              <w:top w:val="single" w:sz="6" w:space="0" w:color="auto"/>
              <w:left w:val="single" w:sz="6" w:space="0" w:color="auto"/>
              <w:bottom w:val="single" w:sz="6" w:space="0" w:color="auto"/>
              <w:right w:val="single" w:sz="6" w:space="0" w:color="auto"/>
            </w:tcBorders>
          </w:tcPr>
          <w:p w14:paraId="73D72A7C"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MPO – Maritimes</w:t>
            </w:r>
          </w:p>
        </w:tc>
        <w:tc>
          <w:tcPr>
            <w:tcW w:w="656" w:type="pct"/>
            <w:tcBorders>
              <w:top w:val="single" w:sz="6" w:space="0" w:color="auto"/>
              <w:left w:val="single" w:sz="6" w:space="0" w:color="auto"/>
              <w:bottom w:val="single" w:sz="6" w:space="0" w:color="auto"/>
              <w:right w:val="single" w:sz="6" w:space="0" w:color="auto"/>
            </w:tcBorders>
          </w:tcPr>
          <w:p w14:paraId="2085D5D4"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4968E661"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585AF233" w14:textId="77777777" w:rsidR="00A10C88" w:rsidRPr="00510745" w:rsidRDefault="00A10C88">
            <w:pPr>
              <w:autoSpaceDE w:val="0"/>
              <w:autoSpaceDN w:val="0"/>
              <w:adjustRightInd w:val="0"/>
              <w:spacing w:before="0" w:after="0"/>
              <w:jc w:val="center"/>
              <w:rPr>
                <w:rFonts w:ascii="Calibri" w:hAnsi="Calibri" w:cs="Calibri"/>
                <w:color w:val="000000"/>
                <w:szCs w:val="22"/>
                <w:lang w:eastAsia="en-CA"/>
              </w:rPr>
            </w:pPr>
          </w:p>
        </w:tc>
      </w:tr>
      <w:tr w:rsidR="00E45C0B" w:rsidRPr="00A0159E" w14:paraId="6AA35960"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1143CDF1"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É.-U.</w:t>
            </w:r>
          </w:p>
        </w:tc>
        <w:tc>
          <w:tcPr>
            <w:tcW w:w="1269" w:type="pct"/>
            <w:tcBorders>
              <w:top w:val="single" w:sz="6" w:space="0" w:color="auto"/>
              <w:left w:val="single" w:sz="6" w:space="0" w:color="auto"/>
              <w:bottom w:val="single" w:sz="6" w:space="0" w:color="auto"/>
              <w:right w:val="single" w:sz="6" w:space="0" w:color="auto"/>
            </w:tcBorders>
          </w:tcPr>
          <w:p w14:paraId="71404408"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McBride, Richard</w:t>
            </w:r>
          </w:p>
        </w:tc>
        <w:tc>
          <w:tcPr>
            <w:tcW w:w="1262" w:type="pct"/>
            <w:tcBorders>
              <w:top w:val="single" w:sz="6" w:space="0" w:color="auto"/>
              <w:left w:val="single" w:sz="6" w:space="0" w:color="auto"/>
              <w:bottom w:val="single" w:sz="6" w:space="0" w:color="auto"/>
              <w:right w:val="single" w:sz="6" w:space="0" w:color="auto"/>
            </w:tcBorders>
          </w:tcPr>
          <w:p w14:paraId="497ECA90"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NOAA (Web)</w:t>
            </w:r>
          </w:p>
        </w:tc>
        <w:tc>
          <w:tcPr>
            <w:tcW w:w="656" w:type="pct"/>
            <w:tcBorders>
              <w:top w:val="single" w:sz="6" w:space="0" w:color="auto"/>
              <w:left w:val="single" w:sz="6" w:space="0" w:color="auto"/>
              <w:bottom w:val="single" w:sz="6" w:space="0" w:color="auto"/>
              <w:right w:val="single" w:sz="6" w:space="0" w:color="auto"/>
            </w:tcBorders>
          </w:tcPr>
          <w:p w14:paraId="202DC045" w14:textId="77777777" w:rsidR="00A10C88" w:rsidRPr="001B2BE1" w:rsidRDefault="00A10C88">
            <w:pPr>
              <w:autoSpaceDE w:val="0"/>
              <w:autoSpaceDN w:val="0"/>
              <w:adjustRightInd w:val="0"/>
              <w:spacing w:before="0" w:after="0"/>
              <w:jc w:val="center"/>
              <w:rPr>
                <w:rFonts w:ascii="Calibri" w:hAnsi="Calibri" w:cs="Calibri"/>
                <w:color w:val="000000"/>
                <w:szCs w:val="22"/>
                <w:lang w:eastAsia="en-CA"/>
              </w:rPr>
            </w:pPr>
          </w:p>
        </w:tc>
        <w:tc>
          <w:tcPr>
            <w:tcW w:w="707" w:type="pct"/>
            <w:tcBorders>
              <w:top w:val="single" w:sz="6" w:space="0" w:color="auto"/>
              <w:left w:val="single" w:sz="6" w:space="0" w:color="auto"/>
              <w:bottom w:val="single" w:sz="6" w:space="0" w:color="auto"/>
              <w:right w:val="single" w:sz="6" w:space="0" w:color="auto"/>
            </w:tcBorders>
          </w:tcPr>
          <w:p w14:paraId="1635D543"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2A4315AD" w14:textId="77777777" w:rsidR="00A10C88" w:rsidRPr="00510745" w:rsidRDefault="00A10C88">
            <w:pPr>
              <w:autoSpaceDE w:val="0"/>
              <w:autoSpaceDN w:val="0"/>
              <w:adjustRightInd w:val="0"/>
              <w:spacing w:before="0" w:after="0"/>
              <w:jc w:val="center"/>
              <w:rPr>
                <w:rFonts w:ascii="Calibri" w:hAnsi="Calibri" w:cs="Calibri"/>
                <w:color w:val="000000"/>
                <w:szCs w:val="22"/>
                <w:lang w:eastAsia="en-CA"/>
              </w:rPr>
            </w:pPr>
          </w:p>
        </w:tc>
      </w:tr>
      <w:tr w:rsidR="00E45C0B" w:rsidRPr="00A0159E" w14:paraId="0DA4FA89"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17A89550"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Canada</w:t>
            </w:r>
          </w:p>
        </w:tc>
        <w:tc>
          <w:tcPr>
            <w:tcW w:w="1269" w:type="pct"/>
            <w:tcBorders>
              <w:top w:val="single" w:sz="6" w:space="0" w:color="auto"/>
              <w:left w:val="single" w:sz="6" w:space="0" w:color="auto"/>
              <w:bottom w:val="single" w:sz="6" w:space="0" w:color="auto"/>
              <w:right w:val="single" w:sz="6" w:space="0" w:color="auto"/>
            </w:tcBorders>
          </w:tcPr>
          <w:p w14:paraId="3974E4F2"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McCurdy, Quinn</w:t>
            </w:r>
          </w:p>
        </w:tc>
        <w:tc>
          <w:tcPr>
            <w:tcW w:w="1262" w:type="pct"/>
            <w:tcBorders>
              <w:top w:val="single" w:sz="6" w:space="0" w:color="auto"/>
              <w:left w:val="single" w:sz="6" w:space="0" w:color="auto"/>
              <w:bottom w:val="single" w:sz="6" w:space="0" w:color="auto"/>
              <w:right w:val="single" w:sz="6" w:space="0" w:color="auto"/>
            </w:tcBorders>
          </w:tcPr>
          <w:p w14:paraId="547FEB4F"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MPO – Maritimes</w:t>
            </w:r>
          </w:p>
        </w:tc>
        <w:tc>
          <w:tcPr>
            <w:tcW w:w="656" w:type="pct"/>
            <w:tcBorders>
              <w:top w:val="single" w:sz="6" w:space="0" w:color="auto"/>
              <w:left w:val="single" w:sz="6" w:space="0" w:color="auto"/>
              <w:bottom w:val="single" w:sz="6" w:space="0" w:color="auto"/>
              <w:right w:val="single" w:sz="6" w:space="0" w:color="auto"/>
            </w:tcBorders>
          </w:tcPr>
          <w:p w14:paraId="4A7315E8"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3C1C47D0"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23FBCAEF" w14:textId="77777777" w:rsidR="00A10C88" w:rsidRPr="00510745"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r>
      <w:tr w:rsidR="00E45C0B" w:rsidRPr="00A0159E" w14:paraId="0829D65F"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0D2C06BB"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É.-U.</w:t>
            </w:r>
          </w:p>
        </w:tc>
        <w:tc>
          <w:tcPr>
            <w:tcW w:w="1269" w:type="pct"/>
            <w:tcBorders>
              <w:top w:val="single" w:sz="6" w:space="0" w:color="auto"/>
              <w:left w:val="single" w:sz="6" w:space="0" w:color="auto"/>
              <w:bottom w:val="single" w:sz="6" w:space="0" w:color="auto"/>
              <w:right w:val="single" w:sz="6" w:space="0" w:color="auto"/>
            </w:tcBorders>
          </w:tcPr>
          <w:p w14:paraId="6D0AE6CF"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McNamee, Jason</w:t>
            </w:r>
          </w:p>
        </w:tc>
        <w:tc>
          <w:tcPr>
            <w:tcW w:w="1262" w:type="pct"/>
            <w:tcBorders>
              <w:top w:val="single" w:sz="6" w:space="0" w:color="auto"/>
              <w:left w:val="single" w:sz="6" w:space="0" w:color="auto"/>
              <w:bottom w:val="single" w:sz="6" w:space="0" w:color="auto"/>
              <w:right w:val="single" w:sz="6" w:space="0" w:color="auto"/>
            </w:tcBorders>
          </w:tcPr>
          <w:p w14:paraId="564579DA"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NDAA/SSC (examinateur)</w:t>
            </w:r>
          </w:p>
        </w:tc>
        <w:tc>
          <w:tcPr>
            <w:tcW w:w="656" w:type="pct"/>
            <w:tcBorders>
              <w:top w:val="single" w:sz="6" w:space="0" w:color="auto"/>
              <w:left w:val="single" w:sz="6" w:space="0" w:color="auto"/>
              <w:bottom w:val="single" w:sz="6" w:space="0" w:color="auto"/>
              <w:right w:val="single" w:sz="6" w:space="0" w:color="auto"/>
            </w:tcBorders>
          </w:tcPr>
          <w:p w14:paraId="42607457"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095C06C6"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2A7C9340" w14:textId="77777777" w:rsidR="00A10C88" w:rsidRPr="00510745"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r>
      <w:tr w:rsidR="00E45C0B" w:rsidRPr="00A0159E" w14:paraId="6B25770F"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48119F00"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É.-U.</w:t>
            </w:r>
          </w:p>
        </w:tc>
        <w:tc>
          <w:tcPr>
            <w:tcW w:w="1269" w:type="pct"/>
            <w:tcBorders>
              <w:top w:val="single" w:sz="6" w:space="0" w:color="auto"/>
              <w:left w:val="single" w:sz="6" w:space="0" w:color="auto"/>
              <w:bottom w:val="single" w:sz="6" w:space="0" w:color="auto"/>
              <w:right w:val="single" w:sz="6" w:space="0" w:color="auto"/>
            </w:tcBorders>
          </w:tcPr>
          <w:p w14:paraId="670DAE72"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Minkiewicz, Drew</w:t>
            </w:r>
          </w:p>
        </w:tc>
        <w:tc>
          <w:tcPr>
            <w:tcW w:w="1262" w:type="pct"/>
            <w:tcBorders>
              <w:top w:val="single" w:sz="6" w:space="0" w:color="auto"/>
              <w:left w:val="single" w:sz="6" w:space="0" w:color="auto"/>
              <w:bottom w:val="single" w:sz="6" w:space="0" w:color="auto"/>
              <w:right w:val="single" w:sz="6" w:space="0" w:color="auto"/>
            </w:tcBorders>
          </w:tcPr>
          <w:p w14:paraId="12EA3764"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Industrie</w:t>
            </w:r>
          </w:p>
        </w:tc>
        <w:tc>
          <w:tcPr>
            <w:tcW w:w="656" w:type="pct"/>
            <w:tcBorders>
              <w:top w:val="single" w:sz="6" w:space="0" w:color="auto"/>
              <w:left w:val="single" w:sz="6" w:space="0" w:color="auto"/>
              <w:bottom w:val="single" w:sz="6" w:space="0" w:color="auto"/>
              <w:right w:val="single" w:sz="6" w:space="0" w:color="auto"/>
            </w:tcBorders>
          </w:tcPr>
          <w:p w14:paraId="3E5BA0FD"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5C3BE373" w14:textId="77777777" w:rsidR="00A10C88" w:rsidRPr="001B2BE1" w:rsidRDefault="00A10C88">
            <w:pPr>
              <w:autoSpaceDE w:val="0"/>
              <w:autoSpaceDN w:val="0"/>
              <w:adjustRightInd w:val="0"/>
              <w:spacing w:before="0" w:after="0"/>
              <w:jc w:val="center"/>
              <w:rPr>
                <w:rFonts w:cs="Arial"/>
                <w:color w:val="000000"/>
                <w:sz w:val="20"/>
              </w:rPr>
            </w:pPr>
            <w:r w:rsidRPr="00510745">
              <w:rPr>
                <w:color w:val="000000"/>
                <w:sz w:val="20"/>
                <w:lang w:eastAsia="en-CA"/>
              </w:rPr>
              <w:t>x</w:t>
            </w:r>
          </w:p>
        </w:tc>
        <w:tc>
          <w:tcPr>
            <w:tcW w:w="541" w:type="pct"/>
            <w:tcBorders>
              <w:top w:val="single" w:sz="6" w:space="0" w:color="auto"/>
              <w:left w:val="single" w:sz="6" w:space="0" w:color="auto"/>
              <w:bottom w:val="single" w:sz="6" w:space="0" w:color="auto"/>
              <w:right w:val="single" w:sz="6" w:space="0" w:color="auto"/>
            </w:tcBorders>
          </w:tcPr>
          <w:p w14:paraId="00918EF1" w14:textId="77777777" w:rsidR="00A10C88" w:rsidRPr="00510745"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r>
      <w:tr w:rsidR="00E45C0B" w:rsidRPr="00A0159E" w14:paraId="1DEB971E"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17556D8B"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Canada</w:t>
            </w:r>
          </w:p>
        </w:tc>
        <w:tc>
          <w:tcPr>
            <w:tcW w:w="1269" w:type="pct"/>
            <w:tcBorders>
              <w:top w:val="single" w:sz="6" w:space="0" w:color="auto"/>
              <w:left w:val="single" w:sz="6" w:space="0" w:color="auto"/>
              <w:bottom w:val="single" w:sz="6" w:space="0" w:color="auto"/>
              <w:right w:val="single" w:sz="6" w:space="0" w:color="auto"/>
            </w:tcBorders>
          </w:tcPr>
          <w:p w14:paraId="43582C83"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Neilson, John</w:t>
            </w:r>
          </w:p>
        </w:tc>
        <w:tc>
          <w:tcPr>
            <w:tcW w:w="1262" w:type="pct"/>
            <w:tcBorders>
              <w:top w:val="single" w:sz="6" w:space="0" w:color="auto"/>
              <w:left w:val="single" w:sz="6" w:space="0" w:color="auto"/>
              <w:bottom w:val="single" w:sz="6" w:space="0" w:color="auto"/>
              <w:right w:val="single" w:sz="6" w:space="0" w:color="auto"/>
            </w:tcBorders>
          </w:tcPr>
          <w:p w14:paraId="28B06E37"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Président de la réunion</w:t>
            </w:r>
          </w:p>
        </w:tc>
        <w:tc>
          <w:tcPr>
            <w:tcW w:w="656" w:type="pct"/>
            <w:tcBorders>
              <w:top w:val="single" w:sz="6" w:space="0" w:color="auto"/>
              <w:left w:val="single" w:sz="6" w:space="0" w:color="auto"/>
              <w:bottom w:val="single" w:sz="6" w:space="0" w:color="auto"/>
              <w:right w:val="single" w:sz="6" w:space="0" w:color="auto"/>
            </w:tcBorders>
          </w:tcPr>
          <w:p w14:paraId="1380F88B"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55CBA7B0"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00ECF7D0" w14:textId="77777777" w:rsidR="00A10C88" w:rsidRPr="00510745"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r>
      <w:tr w:rsidR="00E45C0B" w:rsidRPr="00A0159E" w14:paraId="1F0B180D"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72112859"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É.-U.</w:t>
            </w:r>
          </w:p>
        </w:tc>
        <w:tc>
          <w:tcPr>
            <w:tcW w:w="1269" w:type="pct"/>
            <w:tcBorders>
              <w:top w:val="single" w:sz="6" w:space="0" w:color="auto"/>
              <w:left w:val="single" w:sz="6" w:space="0" w:color="auto"/>
              <w:bottom w:val="single" w:sz="6" w:space="0" w:color="auto"/>
              <w:right w:val="single" w:sz="6" w:space="0" w:color="auto"/>
            </w:tcBorders>
          </w:tcPr>
          <w:p w14:paraId="1745CA7E"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Nies, Tom</w:t>
            </w:r>
          </w:p>
        </w:tc>
        <w:tc>
          <w:tcPr>
            <w:tcW w:w="1262" w:type="pct"/>
            <w:tcBorders>
              <w:top w:val="single" w:sz="6" w:space="0" w:color="auto"/>
              <w:left w:val="single" w:sz="6" w:space="0" w:color="auto"/>
              <w:bottom w:val="single" w:sz="6" w:space="0" w:color="auto"/>
              <w:right w:val="single" w:sz="6" w:space="0" w:color="auto"/>
            </w:tcBorders>
          </w:tcPr>
          <w:p w14:paraId="6B761212" w14:textId="77777777" w:rsidR="00A10C88" w:rsidRPr="00A0159E" w:rsidRDefault="00E45C0B">
            <w:pPr>
              <w:autoSpaceDE w:val="0"/>
              <w:autoSpaceDN w:val="0"/>
              <w:adjustRightInd w:val="0"/>
              <w:spacing w:before="0" w:after="0"/>
              <w:rPr>
                <w:rFonts w:ascii="Calibri" w:hAnsi="Calibri" w:cs="Calibri"/>
                <w:color w:val="000000"/>
                <w:szCs w:val="22"/>
              </w:rPr>
            </w:pPr>
            <w:r>
              <w:rPr>
                <w:rFonts w:ascii="Calibri" w:hAnsi="Calibri"/>
                <w:color w:val="000000"/>
                <w:szCs w:val="22"/>
              </w:rPr>
              <w:t>NEFMC</w:t>
            </w:r>
          </w:p>
        </w:tc>
        <w:tc>
          <w:tcPr>
            <w:tcW w:w="656" w:type="pct"/>
            <w:tcBorders>
              <w:top w:val="single" w:sz="6" w:space="0" w:color="auto"/>
              <w:left w:val="single" w:sz="6" w:space="0" w:color="auto"/>
              <w:bottom w:val="single" w:sz="6" w:space="0" w:color="auto"/>
              <w:right w:val="single" w:sz="6" w:space="0" w:color="auto"/>
            </w:tcBorders>
          </w:tcPr>
          <w:p w14:paraId="2BA035A0" w14:textId="77777777" w:rsidR="00A10C88" w:rsidRPr="00C76A56" w:rsidRDefault="00A10C88">
            <w:pPr>
              <w:autoSpaceDE w:val="0"/>
              <w:autoSpaceDN w:val="0"/>
              <w:adjustRightInd w:val="0"/>
              <w:spacing w:before="0" w:after="0"/>
              <w:jc w:val="center"/>
              <w:rPr>
                <w:rFonts w:ascii="Calibri" w:hAnsi="Calibri" w:cs="Calibri"/>
                <w:vanish/>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3C3602FB" w14:textId="77777777" w:rsidR="00A10C88" w:rsidRPr="001B2BE1" w:rsidRDefault="00A10C88">
            <w:pPr>
              <w:autoSpaceDE w:val="0"/>
              <w:autoSpaceDN w:val="0"/>
              <w:adjustRightInd w:val="0"/>
              <w:spacing w:before="0" w:after="0"/>
              <w:jc w:val="center"/>
              <w:rPr>
                <w:rFonts w:cs="Arial"/>
                <w:color w:val="000000"/>
                <w:sz w:val="20"/>
                <w:lang w:eastAsia="en-CA"/>
              </w:rPr>
            </w:pPr>
          </w:p>
        </w:tc>
        <w:tc>
          <w:tcPr>
            <w:tcW w:w="541" w:type="pct"/>
            <w:tcBorders>
              <w:top w:val="single" w:sz="6" w:space="0" w:color="auto"/>
              <w:left w:val="single" w:sz="6" w:space="0" w:color="auto"/>
              <w:bottom w:val="single" w:sz="6" w:space="0" w:color="auto"/>
              <w:right w:val="single" w:sz="6" w:space="0" w:color="auto"/>
            </w:tcBorders>
          </w:tcPr>
          <w:p w14:paraId="7F1D3870" w14:textId="77777777" w:rsidR="00A10C88" w:rsidRPr="00510745" w:rsidRDefault="00A10C88">
            <w:pPr>
              <w:autoSpaceDE w:val="0"/>
              <w:autoSpaceDN w:val="0"/>
              <w:adjustRightInd w:val="0"/>
              <w:spacing w:before="0" w:after="0"/>
              <w:jc w:val="center"/>
              <w:rPr>
                <w:rFonts w:ascii="Calibri" w:hAnsi="Calibri" w:cs="Calibri"/>
                <w:color w:val="000000"/>
                <w:szCs w:val="22"/>
                <w:lang w:eastAsia="en-CA"/>
              </w:rPr>
            </w:pPr>
          </w:p>
        </w:tc>
      </w:tr>
      <w:tr w:rsidR="00E45C0B" w:rsidRPr="00A0159E" w14:paraId="2CDB4757"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07A66BD7"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É.-U.</w:t>
            </w:r>
          </w:p>
        </w:tc>
        <w:tc>
          <w:tcPr>
            <w:tcW w:w="1269" w:type="pct"/>
            <w:tcBorders>
              <w:top w:val="single" w:sz="6" w:space="0" w:color="auto"/>
              <w:left w:val="single" w:sz="6" w:space="0" w:color="auto"/>
              <w:bottom w:val="single" w:sz="6" w:space="0" w:color="auto"/>
              <w:right w:val="single" w:sz="6" w:space="0" w:color="auto"/>
            </w:tcBorders>
          </w:tcPr>
          <w:p w14:paraId="1683C4AA"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Peros, Jonathan</w:t>
            </w:r>
          </w:p>
        </w:tc>
        <w:tc>
          <w:tcPr>
            <w:tcW w:w="1262" w:type="pct"/>
            <w:tcBorders>
              <w:top w:val="single" w:sz="6" w:space="0" w:color="auto"/>
              <w:left w:val="single" w:sz="6" w:space="0" w:color="auto"/>
              <w:bottom w:val="single" w:sz="6" w:space="0" w:color="auto"/>
              <w:right w:val="single" w:sz="6" w:space="0" w:color="auto"/>
            </w:tcBorders>
          </w:tcPr>
          <w:p w14:paraId="581C7204"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NOAA (Web)</w:t>
            </w:r>
          </w:p>
        </w:tc>
        <w:tc>
          <w:tcPr>
            <w:tcW w:w="656" w:type="pct"/>
            <w:tcBorders>
              <w:top w:val="single" w:sz="6" w:space="0" w:color="auto"/>
              <w:left w:val="single" w:sz="6" w:space="0" w:color="auto"/>
              <w:bottom w:val="single" w:sz="6" w:space="0" w:color="auto"/>
              <w:right w:val="single" w:sz="6" w:space="0" w:color="auto"/>
            </w:tcBorders>
          </w:tcPr>
          <w:p w14:paraId="564EEF80"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2D46D87E"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11EC2F32" w14:textId="77777777" w:rsidR="00A10C88" w:rsidRPr="00510745"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r>
      <w:tr w:rsidR="00E45C0B" w:rsidRPr="00A0159E" w14:paraId="5CF09375"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734C9497"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É.-U.</w:t>
            </w:r>
          </w:p>
        </w:tc>
        <w:tc>
          <w:tcPr>
            <w:tcW w:w="1269" w:type="pct"/>
            <w:tcBorders>
              <w:top w:val="single" w:sz="6" w:space="0" w:color="auto"/>
              <w:left w:val="single" w:sz="6" w:space="0" w:color="auto"/>
              <w:bottom w:val="single" w:sz="6" w:space="0" w:color="auto"/>
              <w:right w:val="single" w:sz="6" w:space="0" w:color="auto"/>
            </w:tcBorders>
          </w:tcPr>
          <w:p w14:paraId="5BED69B4"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Roman, Sally</w:t>
            </w:r>
          </w:p>
        </w:tc>
        <w:tc>
          <w:tcPr>
            <w:tcW w:w="1262" w:type="pct"/>
            <w:tcBorders>
              <w:top w:val="single" w:sz="6" w:space="0" w:color="auto"/>
              <w:left w:val="single" w:sz="6" w:space="0" w:color="auto"/>
              <w:bottom w:val="single" w:sz="6" w:space="0" w:color="auto"/>
              <w:right w:val="single" w:sz="6" w:space="0" w:color="auto"/>
            </w:tcBorders>
          </w:tcPr>
          <w:p w14:paraId="3DFCFA2E"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Milieu universitaire</w:t>
            </w:r>
          </w:p>
        </w:tc>
        <w:tc>
          <w:tcPr>
            <w:tcW w:w="656" w:type="pct"/>
            <w:tcBorders>
              <w:top w:val="single" w:sz="6" w:space="0" w:color="auto"/>
              <w:left w:val="single" w:sz="6" w:space="0" w:color="auto"/>
              <w:bottom w:val="single" w:sz="6" w:space="0" w:color="auto"/>
              <w:right w:val="single" w:sz="6" w:space="0" w:color="auto"/>
            </w:tcBorders>
          </w:tcPr>
          <w:p w14:paraId="2D167DBF" w14:textId="77777777" w:rsidR="00A10C88" w:rsidRPr="00C76A56" w:rsidRDefault="00A10C88">
            <w:pPr>
              <w:autoSpaceDE w:val="0"/>
              <w:autoSpaceDN w:val="0"/>
              <w:adjustRightInd w:val="0"/>
              <w:spacing w:before="0" w:after="0"/>
              <w:jc w:val="center"/>
              <w:rPr>
                <w:rFonts w:ascii="Calibri" w:hAnsi="Calibri" w:cs="Calibri"/>
                <w:vanish/>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52E2C35B" w14:textId="77777777" w:rsidR="00A10C88" w:rsidRPr="001B2BE1" w:rsidRDefault="00A10C88">
            <w:pPr>
              <w:autoSpaceDE w:val="0"/>
              <w:autoSpaceDN w:val="0"/>
              <w:adjustRightInd w:val="0"/>
              <w:spacing w:before="0" w:after="0"/>
              <w:jc w:val="center"/>
              <w:rPr>
                <w:rFonts w:ascii="Calibri" w:hAnsi="Calibri" w:cs="Calibri"/>
                <w:color w:val="000000"/>
                <w:szCs w:val="22"/>
                <w:lang w:eastAsia="en-CA"/>
              </w:rPr>
            </w:pPr>
          </w:p>
        </w:tc>
        <w:tc>
          <w:tcPr>
            <w:tcW w:w="541" w:type="pct"/>
            <w:tcBorders>
              <w:top w:val="single" w:sz="6" w:space="0" w:color="auto"/>
              <w:left w:val="single" w:sz="6" w:space="0" w:color="auto"/>
              <w:bottom w:val="single" w:sz="6" w:space="0" w:color="auto"/>
              <w:right w:val="single" w:sz="6" w:space="0" w:color="auto"/>
            </w:tcBorders>
          </w:tcPr>
          <w:p w14:paraId="606D5206" w14:textId="77777777" w:rsidR="00A10C88" w:rsidRPr="00510745" w:rsidRDefault="00A10C88">
            <w:pPr>
              <w:autoSpaceDE w:val="0"/>
              <w:autoSpaceDN w:val="0"/>
              <w:adjustRightInd w:val="0"/>
              <w:spacing w:before="0" w:after="0"/>
              <w:jc w:val="center"/>
              <w:rPr>
                <w:rFonts w:ascii="Calibri" w:hAnsi="Calibri" w:cs="Calibri"/>
                <w:color w:val="000000"/>
                <w:szCs w:val="22"/>
                <w:lang w:eastAsia="en-CA"/>
              </w:rPr>
            </w:pPr>
          </w:p>
        </w:tc>
      </w:tr>
      <w:tr w:rsidR="00E45C0B" w:rsidRPr="00A0159E" w14:paraId="757A2720"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1455E332"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É.-U.</w:t>
            </w:r>
          </w:p>
        </w:tc>
        <w:tc>
          <w:tcPr>
            <w:tcW w:w="1269" w:type="pct"/>
            <w:tcBorders>
              <w:top w:val="single" w:sz="6" w:space="0" w:color="auto"/>
              <w:left w:val="single" w:sz="6" w:space="0" w:color="auto"/>
              <w:bottom w:val="single" w:sz="6" w:space="0" w:color="auto"/>
              <w:right w:val="single" w:sz="6" w:space="0" w:color="auto"/>
            </w:tcBorders>
          </w:tcPr>
          <w:p w14:paraId="3DF9BA06"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Simpkins, Mike</w:t>
            </w:r>
          </w:p>
        </w:tc>
        <w:tc>
          <w:tcPr>
            <w:tcW w:w="1262" w:type="pct"/>
            <w:tcBorders>
              <w:top w:val="single" w:sz="6" w:space="0" w:color="auto"/>
              <w:left w:val="single" w:sz="6" w:space="0" w:color="auto"/>
              <w:bottom w:val="single" w:sz="6" w:space="0" w:color="auto"/>
              <w:right w:val="single" w:sz="6" w:space="0" w:color="auto"/>
            </w:tcBorders>
          </w:tcPr>
          <w:p w14:paraId="30624F3F"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NEFSC - NOAA</w:t>
            </w:r>
          </w:p>
        </w:tc>
        <w:tc>
          <w:tcPr>
            <w:tcW w:w="656" w:type="pct"/>
            <w:tcBorders>
              <w:top w:val="single" w:sz="6" w:space="0" w:color="auto"/>
              <w:left w:val="single" w:sz="6" w:space="0" w:color="auto"/>
              <w:bottom w:val="single" w:sz="6" w:space="0" w:color="auto"/>
              <w:right w:val="single" w:sz="6" w:space="0" w:color="auto"/>
            </w:tcBorders>
          </w:tcPr>
          <w:p w14:paraId="46870046"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442255D8" w14:textId="77777777" w:rsidR="00A10C88" w:rsidRPr="001B2BE1" w:rsidRDefault="00A10C88">
            <w:pPr>
              <w:autoSpaceDE w:val="0"/>
              <w:autoSpaceDN w:val="0"/>
              <w:adjustRightInd w:val="0"/>
              <w:spacing w:before="0" w:after="0"/>
              <w:jc w:val="center"/>
              <w:rPr>
                <w:rFonts w:cs="Arial"/>
                <w:color w:val="000000"/>
                <w:sz w:val="20"/>
              </w:rPr>
            </w:pPr>
            <w:r w:rsidRPr="00510745">
              <w:rPr>
                <w:color w:val="000000"/>
                <w:sz w:val="20"/>
                <w:lang w:eastAsia="en-CA"/>
              </w:rPr>
              <w:t>x</w:t>
            </w:r>
          </w:p>
        </w:tc>
        <w:tc>
          <w:tcPr>
            <w:tcW w:w="541" w:type="pct"/>
            <w:tcBorders>
              <w:top w:val="single" w:sz="6" w:space="0" w:color="auto"/>
              <w:left w:val="single" w:sz="6" w:space="0" w:color="auto"/>
              <w:bottom w:val="single" w:sz="6" w:space="0" w:color="auto"/>
              <w:right w:val="single" w:sz="6" w:space="0" w:color="auto"/>
            </w:tcBorders>
          </w:tcPr>
          <w:p w14:paraId="74442631" w14:textId="77777777" w:rsidR="00A10C88" w:rsidRPr="00510745"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r>
      <w:tr w:rsidR="00E45C0B" w:rsidRPr="00A0159E" w14:paraId="6AF0E970"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6A3BE43E"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Canada</w:t>
            </w:r>
          </w:p>
        </w:tc>
        <w:tc>
          <w:tcPr>
            <w:tcW w:w="1269" w:type="pct"/>
            <w:tcBorders>
              <w:top w:val="single" w:sz="6" w:space="0" w:color="auto"/>
              <w:left w:val="single" w:sz="6" w:space="0" w:color="auto"/>
              <w:bottom w:val="single" w:sz="6" w:space="0" w:color="auto"/>
              <w:right w:val="single" w:sz="6" w:space="0" w:color="auto"/>
            </w:tcBorders>
          </w:tcPr>
          <w:p w14:paraId="16B014D7"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Smedbol, Kent</w:t>
            </w:r>
          </w:p>
        </w:tc>
        <w:tc>
          <w:tcPr>
            <w:tcW w:w="1262" w:type="pct"/>
            <w:tcBorders>
              <w:top w:val="single" w:sz="6" w:space="0" w:color="auto"/>
              <w:left w:val="single" w:sz="6" w:space="0" w:color="auto"/>
              <w:bottom w:val="single" w:sz="6" w:space="0" w:color="auto"/>
              <w:right w:val="single" w:sz="6" w:space="0" w:color="auto"/>
            </w:tcBorders>
          </w:tcPr>
          <w:p w14:paraId="7C1C284F"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MPO – Maritimes</w:t>
            </w:r>
          </w:p>
        </w:tc>
        <w:tc>
          <w:tcPr>
            <w:tcW w:w="656" w:type="pct"/>
            <w:tcBorders>
              <w:top w:val="single" w:sz="6" w:space="0" w:color="auto"/>
              <w:left w:val="single" w:sz="6" w:space="0" w:color="auto"/>
              <w:bottom w:val="single" w:sz="6" w:space="0" w:color="auto"/>
              <w:right w:val="single" w:sz="6" w:space="0" w:color="auto"/>
            </w:tcBorders>
          </w:tcPr>
          <w:p w14:paraId="5F436558"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3793CA8B"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3BCE0DB7" w14:textId="77777777" w:rsidR="00A10C88" w:rsidRPr="00510745" w:rsidRDefault="00A10C88">
            <w:pPr>
              <w:autoSpaceDE w:val="0"/>
              <w:autoSpaceDN w:val="0"/>
              <w:adjustRightInd w:val="0"/>
              <w:spacing w:before="0" w:after="0"/>
              <w:jc w:val="center"/>
              <w:rPr>
                <w:rFonts w:ascii="Calibri" w:hAnsi="Calibri" w:cs="Calibri"/>
                <w:color w:val="000000"/>
                <w:szCs w:val="22"/>
                <w:lang w:eastAsia="en-CA"/>
              </w:rPr>
            </w:pPr>
          </w:p>
        </w:tc>
      </w:tr>
      <w:tr w:rsidR="00E45C0B" w:rsidRPr="00A0159E" w14:paraId="3C6AB566"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3738643A"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É.-U.</w:t>
            </w:r>
          </w:p>
        </w:tc>
        <w:tc>
          <w:tcPr>
            <w:tcW w:w="1269" w:type="pct"/>
            <w:tcBorders>
              <w:top w:val="single" w:sz="6" w:space="0" w:color="auto"/>
              <w:left w:val="single" w:sz="6" w:space="0" w:color="auto"/>
              <w:bottom w:val="single" w:sz="6" w:space="0" w:color="auto"/>
              <w:right w:val="single" w:sz="6" w:space="0" w:color="auto"/>
            </w:tcBorders>
          </w:tcPr>
          <w:p w14:paraId="0969C656"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Stockwell, Terry</w:t>
            </w:r>
          </w:p>
        </w:tc>
        <w:tc>
          <w:tcPr>
            <w:tcW w:w="1262" w:type="pct"/>
            <w:tcBorders>
              <w:top w:val="single" w:sz="6" w:space="0" w:color="auto"/>
              <w:left w:val="single" w:sz="6" w:space="0" w:color="auto"/>
              <w:bottom w:val="single" w:sz="6" w:space="0" w:color="auto"/>
              <w:right w:val="single" w:sz="6" w:space="0" w:color="auto"/>
            </w:tcBorders>
          </w:tcPr>
          <w:p w14:paraId="39EA8CBC"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Coprésident du COGST (Web)</w:t>
            </w:r>
          </w:p>
        </w:tc>
        <w:tc>
          <w:tcPr>
            <w:tcW w:w="656" w:type="pct"/>
            <w:tcBorders>
              <w:top w:val="single" w:sz="6" w:space="0" w:color="auto"/>
              <w:left w:val="single" w:sz="6" w:space="0" w:color="auto"/>
              <w:bottom w:val="single" w:sz="6" w:space="0" w:color="auto"/>
              <w:right w:val="single" w:sz="6" w:space="0" w:color="auto"/>
            </w:tcBorders>
          </w:tcPr>
          <w:p w14:paraId="7625EAAD" w14:textId="77777777" w:rsidR="00A10C88" w:rsidRPr="00C76A56" w:rsidRDefault="00A10C88">
            <w:pPr>
              <w:autoSpaceDE w:val="0"/>
              <w:autoSpaceDN w:val="0"/>
              <w:adjustRightInd w:val="0"/>
              <w:spacing w:before="0" w:after="0"/>
              <w:jc w:val="center"/>
              <w:rPr>
                <w:rFonts w:ascii="Calibri" w:hAnsi="Calibri" w:cs="Calibri"/>
                <w:vanish/>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27A8DBA5" w14:textId="77777777" w:rsidR="00A10C88" w:rsidRPr="001B2BE1" w:rsidRDefault="00A10C88">
            <w:pPr>
              <w:autoSpaceDE w:val="0"/>
              <w:autoSpaceDN w:val="0"/>
              <w:adjustRightInd w:val="0"/>
              <w:spacing w:before="0" w:after="0"/>
              <w:jc w:val="center"/>
              <w:rPr>
                <w:rFonts w:ascii="Calibri" w:hAnsi="Calibri" w:cs="Calibri"/>
                <w:color w:val="000000"/>
                <w:szCs w:val="22"/>
                <w:lang w:eastAsia="en-CA"/>
              </w:rPr>
            </w:pPr>
          </w:p>
        </w:tc>
        <w:tc>
          <w:tcPr>
            <w:tcW w:w="541" w:type="pct"/>
            <w:tcBorders>
              <w:top w:val="single" w:sz="6" w:space="0" w:color="auto"/>
              <w:left w:val="single" w:sz="6" w:space="0" w:color="auto"/>
              <w:bottom w:val="single" w:sz="6" w:space="0" w:color="auto"/>
              <w:right w:val="single" w:sz="6" w:space="0" w:color="auto"/>
            </w:tcBorders>
          </w:tcPr>
          <w:p w14:paraId="13FF18E5" w14:textId="77777777" w:rsidR="00A10C88" w:rsidRPr="00510745" w:rsidRDefault="00A10C88">
            <w:pPr>
              <w:autoSpaceDE w:val="0"/>
              <w:autoSpaceDN w:val="0"/>
              <w:adjustRightInd w:val="0"/>
              <w:spacing w:before="0" w:after="0"/>
              <w:jc w:val="center"/>
              <w:rPr>
                <w:rFonts w:ascii="Calibri" w:hAnsi="Calibri" w:cs="Calibri"/>
                <w:color w:val="000000"/>
                <w:szCs w:val="22"/>
                <w:lang w:eastAsia="en-CA"/>
              </w:rPr>
            </w:pPr>
          </w:p>
        </w:tc>
      </w:tr>
      <w:tr w:rsidR="00E45C0B" w:rsidRPr="00A0159E" w14:paraId="0679E6E5"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64BDEA56"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lastRenderedPageBreak/>
              <w:t>É.-U.</w:t>
            </w:r>
          </w:p>
        </w:tc>
        <w:tc>
          <w:tcPr>
            <w:tcW w:w="1269" w:type="pct"/>
            <w:tcBorders>
              <w:top w:val="single" w:sz="6" w:space="0" w:color="auto"/>
              <w:left w:val="single" w:sz="6" w:space="0" w:color="auto"/>
              <w:bottom w:val="single" w:sz="6" w:space="0" w:color="auto"/>
              <w:right w:val="single" w:sz="6" w:space="0" w:color="auto"/>
            </w:tcBorders>
          </w:tcPr>
          <w:p w14:paraId="64D3CEBD"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Talmage, Spencer</w:t>
            </w:r>
          </w:p>
        </w:tc>
        <w:tc>
          <w:tcPr>
            <w:tcW w:w="1262" w:type="pct"/>
            <w:tcBorders>
              <w:top w:val="single" w:sz="6" w:space="0" w:color="auto"/>
              <w:left w:val="single" w:sz="6" w:space="0" w:color="auto"/>
              <w:bottom w:val="single" w:sz="6" w:space="0" w:color="auto"/>
              <w:right w:val="single" w:sz="6" w:space="0" w:color="auto"/>
            </w:tcBorders>
          </w:tcPr>
          <w:p w14:paraId="2CAF1F46"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NOAA (Web)</w:t>
            </w:r>
          </w:p>
        </w:tc>
        <w:tc>
          <w:tcPr>
            <w:tcW w:w="656" w:type="pct"/>
            <w:tcBorders>
              <w:top w:val="single" w:sz="6" w:space="0" w:color="auto"/>
              <w:left w:val="single" w:sz="6" w:space="0" w:color="auto"/>
              <w:bottom w:val="single" w:sz="6" w:space="0" w:color="auto"/>
              <w:right w:val="single" w:sz="6" w:space="0" w:color="auto"/>
            </w:tcBorders>
          </w:tcPr>
          <w:p w14:paraId="554F8882"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6734D963"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718495F6" w14:textId="77777777" w:rsidR="00A10C88" w:rsidRPr="00510745"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r>
      <w:tr w:rsidR="00E45C0B" w:rsidRPr="00A0159E" w14:paraId="063C69D7"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0D9BA1A8"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Canada</w:t>
            </w:r>
          </w:p>
        </w:tc>
        <w:tc>
          <w:tcPr>
            <w:tcW w:w="1269" w:type="pct"/>
            <w:tcBorders>
              <w:top w:val="single" w:sz="6" w:space="0" w:color="auto"/>
              <w:left w:val="single" w:sz="6" w:space="0" w:color="auto"/>
              <w:bottom w:val="single" w:sz="6" w:space="0" w:color="auto"/>
              <w:right w:val="single" w:sz="6" w:space="0" w:color="auto"/>
            </w:tcBorders>
          </w:tcPr>
          <w:p w14:paraId="269561EE"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Vascotto, Kris</w:t>
            </w:r>
          </w:p>
        </w:tc>
        <w:tc>
          <w:tcPr>
            <w:tcW w:w="1262" w:type="pct"/>
            <w:tcBorders>
              <w:top w:val="single" w:sz="6" w:space="0" w:color="auto"/>
              <w:left w:val="single" w:sz="6" w:space="0" w:color="auto"/>
              <w:bottom w:val="single" w:sz="6" w:space="0" w:color="auto"/>
              <w:right w:val="single" w:sz="6" w:space="0" w:color="auto"/>
            </w:tcBorders>
          </w:tcPr>
          <w:p w14:paraId="4BDAAE45"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Industrie</w:t>
            </w:r>
          </w:p>
        </w:tc>
        <w:tc>
          <w:tcPr>
            <w:tcW w:w="656" w:type="pct"/>
            <w:tcBorders>
              <w:top w:val="single" w:sz="6" w:space="0" w:color="auto"/>
              <w:left w:val="single" w:sz="6" w:space="0" w:color="auto"/>
              <w:bottom w:val="single" w:sz="6" w:space="0" w:color="auto"/>
              <w:right w:val="single" w:sz="6" w:space="0" w:color="auto"/>
            </w:tcBorders>
          </w:tcPr>
          <w:p w14:paraId="1F5C597F"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34E21B1A"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6136969A" w14:textId="77777777" w:rsidR="00A10C88" w:rsidRPr="00510745"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r>
      <w:tr w:rsidR="00E45C0B" w:rsidRPr="00A0159E" w14:paraId="7EA91C5F" w14:textId="77777777" w:rsidTr="00271A5C">
        <w:trPr>
          <w:trHeight w:val="290"/>
        </w:trPr>
        <w:tc>
          <w:tcPr>
            <w:tcW w:w="565" w:type="pct"/>
            <w:tcBorders>
              <w:top w:val="single" w:sz="6" w:space="0" w:color="auto"/>
              <w:left w:val="single" w:sz="6" w:space="0" w:color="auto"/>
              <w:bottom w:val="single" w:sz="6" w:space="0" w:color="auto"/>
              <w:right w:val="single" w:sz="6" w:space="0" w:color="auto"/>
            </w:tcBorders>
          </w:tcPr>
          <w:p w14:paraId="56B5130E"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Canada</w:t>
            </w:r>
          </w:p>
        </w:tc>
        <w:tc>
          <w:tcPr>
            <w:tcW w:w="1269" w:type="pct"/>
            <w:tcBorders>
              <w:top w:val="single" w:sz="6" w:space="0" w:color="auto"/>
              <w:left w:val="single" w:sz="6" w:space="0" w:color="auto"/>
              <w:bottom w:val="single" w:sz="6" w:space="0" w:color="auto"/>
              <w:right w:val="single" w:sz="6" w:space="0" w:color="auto"/>
            </w:tcBorders>
          </w:tcPr>
          <w:p w14:paraId="7BA8D188"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Wang, Yanjun</w:t>
            </w:r>
          </w:p>
        </w:tc>
        <w:tc>
          <w:tcPr>
            <w:tcW w:w="1262" w:type="pct"/>
            <w:tcBorders>
              <w:top w:val="single" w:sz="6" w:space="0" w:color="auto"/>
              <w:left w:val="single" w:sz="6" w:space="0" w:color="auto"/>
              <w:bottom w:val="single" w:sz="6" w:space="0" w:color="auto"/>
              <w:right w:val="single" w:sz="6" w:space="0" w:color="auto"/>
            </w:tcBorders>
          </w:tcPr>
          <w:p w14:paraId="167B3942" w14:textId="77777777" w:rsidR="00A10C88" w:rsidRPr="00A0159E" w:rsidRDefault="00A10C88">
            <w:pPr>
              <w:autoSpaceDE w:val="0"/>
              <w:autoSpaceDN w:val="0"/>
              <w:adjustRightInd w:val="0"/>
              <w:spacing w:before="0" w:after="0"/>
              <w:rPr>
                <w:rFonts w:ascii="Calibri" w:hAnsi="Calibri" w:cs="Calibri"/>
                <w:color w:val="000000"/>
                <w:szCs w:val="22"/>
              </w:rPr>
            </w:pPr>
            <w:r>
              <w:rPr>
                <w:rFonts w:ascii="Calibri" w:hAnsi="Calibri"/>
                <w:color w:val="000000"/>
                <w:szCs w:val="22"/>
              </w:rPr>
              <w:t>MPO – Maritimes</w:t>
            </w:r>
          </w:p>
        </w:tc>
        <w:tc>
          <w:tcPr>
            <w:tcW w:w="656" w:type="pct"/>
            <w:tcBorders>
              <w:top w:val="single" w:sz="6" w:space="0" w:color="auto"/>
              <w:left w:val="single" w:sz="6" w:space="0" w:color="auto"/>
              <w:bottom w:val="single" w:sz="6" w:space="0" w:color="auto"/>
              <w:right w:val="single" w:sz="6" w:space="0" w:color="auto"/>
            </w:tcBorders>
          </w:tcPr>
          <w:p w14:paraId="10504D5B"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707" w:type="pct"/>
            <w:tcBorders>
              <w:top w:val="single" w:sz="6" w:space="0" w:color="auto"/>
              <w:left w:val="single" w:sz="6" w:space="0" w:color="auto"/>
              <w:bottom w:val="single" w:sz="6" w:space="0" w:color="auto"/>
              <w:right w:val="single" w:sz="6" w:space="0" w:color="auto"/>
            </w:tcBorders>
          </w:tcPr>
          <w:p w14:paraId="73B44E42" w14:textId="77777777" w:rsidR="00A10C88" w:rsidRPr="001B2BE1"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c>
          <w:tcPr>
            <w:tcW w:w="541" w:type="pct"/>
            <w:tcBorders>
              <w:top w:val="single" w:sz="6" w:space="0" w:color="auto"/>
              <w:left w:val="single" w:sz="6" w:space="0" w:color="auto"/>
              <w:bottom w:val="single" w:sz="6" w:space="0" w:color="auto"/>
              <w:right w:val="single" w:sz="6" w:space="0" w:color="auto"/>
            </w:tcBorders>
          </w:tcPr>
          <w:p w14:paraId="672B2EA3" w14:textId="77777777" w:rsidR="00A10C88" w:rsidRPr="00510745" w:rsidRDefault="00A10C88">
            <w:pPr>
              <w:autoSpaceDE w:val="0"/>
              <w:autoSpaceDN w:val="0"/>
              <w:adjustRightInd w:val="0"/>
              <w:spacing w:before="0" w:after="0"/>
              <w:jc w:val="center"/>
              <w:rPr>
                <w:rFonts w:ascii="Calibri" w:hAnsi="Calibri" w:cs="Calibri"/>
                <w:color w:val="000000"/>
                <w:szCs w:val="22"/>
              </w:rPr>
            </w:pPr>
            <w:r w:rsidRPr="00510745">
              <w:rPr>
                <w:rFonts w:ascii="Calibri" w:hAnsi="Calibri"/>
                <w:color w:val="000000"/>
                <w:szCs w:val="22"/>
                <w:lang w:eastAsia="en-CA"/>
              </w:rPr>
              <w:t>x</w:t>
            </w:r>
          </w:p>
        </w:tc>
      </w:tr>
    </w:tbl>
    <w:p w14:paraId="2DC1792A" w14:textId="77777777" w:rsidR="00E45C0B" w:rsidRPr="00A0159E" w:rsidRDefault="00E45C0B">
      <w:pPr>
        <w:spacing w:before="0" w:after="0"/>
        <w:rPr>
          <w:b/>
          <w:caps/>
          <w:sz w:val="24"/>
          <w:szCs w:val="24"/>
        </w:rPr>
      </w:pPr>
      <w:r>
        <w:br w:type="page"/>
      </w:r>
    </w:p>
    <w:p w14:paraId="725211A1" w14:textId="2A9BBF47" w:rsidR="00A10C88" w:rsidRPr="00A24F40" w:rsidRDefault="00A24F40" w:rsidP="00E45C0B">
      <w:pPr>
        <w:pStyle w:val="Heading2"/>
        <w:rPr>
          <w:lang w:val="fr-CA"/>
        </w:rPr>
      </w:pPr>
      <w:bookmarkStart w:id="24" w:name="_Toc44059156"/>
      <w:r>
        <w:rPr>
          <w:lang w:val="fr-CA"/>
        </w:rPr>
        <w:lastRenderedPageBreak/>
        <w:t>Annexe ii</w:t>
      </w:r>
      <w:r w:rsidRPr="00A24F40">
        <w:rPr>
          <w:lang w:val="fr-CA"/>
        </w:rPr>
        <w:t xml:space="preserve">. CADRE DE </w:t>
      </w:r>
      <w:r w:rsidRPr="002761D7">
        <w:rPr>
          <w:lang w:val="fr-CA"/>
        </w:rPr>
        <w:t>RÉFÉRENCE</w:t>
      </w:r>
      <w:r w:rsidR="00A10C88" w:rsidRPr="00A24F40">
        <w:rPr>
          <w:lang w:val="fr-CA"/>
        </w:rPr>
        <w:t xml:space="preserve"> de 2019</w:t>
      </w:r>
      <w:bookmarkEnd w:id="24"/>
    </w:p>
    <w:p w14:paraId="517B315E" w14:textId="2D2E17C1" w:rsidR="00E45C0B" w:rsidRPr="00A0159E" w:rsidRDefault="00E45C0B" w:rsidP="00704AAA">
      <w:pPr>
        <w:pStyle w:val="BodyText"/>
        <w:jc w:val="center"/>
        <w:rPr>
          <w:b/>
          <w:sz w:val="24"/>
          <w:szCs w:val="24"/>
        </w:rPr>
      </w:pPr>
      <w:r>
        <w:rPr>
          <w:b/>
          <w:sz w:val="24"/>
          <w:szCs w:val="24"/>
        </w:rPr>
        <w:t>Comité d</w:t>
      </w:r>
      <w:r w:rsidR="001B2BE1">
        <w:rPr>
          <w:b/>
          <w:sz w:val="24"/>
          <w:szCs w:val="24"/>
        </w:rPr>
        <w:t>’</w:t>
      </w:r>
      <w:r>
        <w:rPr>
          <w:b/>
          <w:sz w:val="24"/>
          <w:szCs w:val="24"/>
        </w:rPr>
        <w:t>évaluation des ressources transfrontalières (CERT)</w:t>
      </w:r>
      <w:r>
        <w:rPr>
          <w:b/>
          <w:sz w:val="24"/>
          <w:szCs w:val="24"/>
        </w:rPr>
        <w:br/>
        <w:t>Évaluation de la morue et de l</w:t>
      </w:r>
      <w:r w:rsidR="001B2BE1">
        <w:rPr>
          <w:b/>
          <w:sz w:val="24"/>
          <w:szCs w:val="24"/>
        </w:rPr>
        <w:t>’</w:t>
      </w:r>
      <w:r>
        <w:rPr>
          <w:b/>
          <w:sz w:val="24"/>
          <w:szCs w:val="24"/>
        </w:rPr>
        <w:t>aiglefin de l</w:t>
      </w:r>
      <w:r w:rsidR="001B2BE1">
        <w:rPr>
          <w:b/>
          <w:sz w:val="24"/>
          <w:szCs w:val="24"/>
        </w:rPr>
        <w:t>’</w:t>
      </w:r>
      <w:r>
        <w:rPr>
          <w:b/>
          <w:sz w:val="24"/>
          <w:szCs w:val="24"/>
        </w:rPr>
        <w:t xml:space="preserve">est du </w:t>
      </w:r>
      <w:r w:rsidR="00E8153D">
        <w:rPr>
          <w:b/>
          <w:sz w:val="24"/>
          <w:szCs w:val="24"/>
        </w:rPr>
        <w:t>banc Georges</w:t>
      </w:r>
      <w:r>
        <w:rPr>
          <w:b/>
          <w:sz w:val="24"/>
          <w:szCs w:val="24"/>
        </w:rPr>
        <w:t xml:space="preserve"> et de la limande à queue jaune du </w:t>
      </w:r>
      <w:r w:rsidR="00E8153D">
        <w:rPr>
          <w:b/>
          <w:sz w:val="24"/>
          <w:szCs w:val="24"/>
        </w:rPr>
        <w:t>banc Georges</w:t>
      </w:r>
    </w:p>
    <w:p w14:paraId="7E21C1EE" w14:textId="498F372A" w:rsidR="00E45C0B" w:rsidRPr="00A0159E" w:rsidRDefault="0081767C" w:rsidP="00912C9F">
      <w:pPr>
        <w:pStyle w:val="BodyText"/>
        <w:spacing w:before="240" w:after="0"/>
        <w:rPr>
          <w:b/>
        </w:rPr>
      </w:pPr>
      <w:r>
        <w:rPr>
          <w:b/>
        </w:rPr>
        <w:t xml:space="preserve">Du </w:t>
      </w:r>
      <w:r w:rsidR="00E45C0B">
        <w:rPr>
          <w:b/>
        </w:rPr>
        <w:t>9 au 11 juillet 2019</w:t>
      </w:r>
    </w:p>
    <w:p w14:paraId="7019BF0B" w14:textId="77777777" w:rsidR="00E45C0B" w:rsidRPr="00A0159E" w:rsidRDefault="00E45C0B" w:rsidP="00E45C0B">
      <w:pPr>
        <w:pStyle w:val="BodyText"/>
        <w:spacing w:before="0" w:after="0"/>
        <w:rPr>
          <w:b/>
        </w:rPr>
      </w:pPr>
      <w:r>
        <w:rPr>
          <w:b/>
        </w:rPr>
        <w:t>St. Andrews (N.-B.)</w:t>
      </w:r>
    </w:p>
    <w:p w14:paraId="26C3054E" w14:textId="77777777" w:rsidR="00E45C0B" w:rsidRPr="00A0159E" w:rsidRDefault="00E45C0B" w:rsidP="00E45C0B">
      <w:pPr>
        <w:pStyle w:val="BodyText"/>
        <w:spacing w:before="0" w:after="0"/>
        <w:rPr>
          <w:b/>
        </w:rPr>
      </w:pPr>
      <w:r>
        <w:rPr>
          <w:b/>
        </w:rPr>
        <w:t>Canada</w:t>
      </w:r>
    </w:p>
    <w:p w14:paraId="22AF4200" w14:textId="519112CF" w:rsidR="00E45C0B" w:rsidRPr="00A0159E" w:rsidRDefault="00E45C0B" w:rsidP="00E45C0B">
      <w:pPr>
        <w:pStyle w:val="BodyText"/>
      </w:pPr>
      <w:r>
        <w:t>Président de la réunion :</w:t>
      </w:r>
      <w:r w:rsidR="0081767C">
        <w:t xml:space="preserve"> </w:t>
      </w:r>
      <w:r>
        <w:t>John</w:t>
      </w:r>
      <w:r w:rsidR="0081767C">
        <w:t> </w:t>
      </w:r>
      <w:r>
        <w:t>Neilson</w:t>
      </w:r>
    </w:p>
    <w:p w14:paraId="3883CA79" w14:textId="11D90455" w:rsidR="00E45C0B" w:rsidRPr="00A0159E" w:rsidRDefault="00E45C0B" w:rsidP="00E45C0B">
      <w:pPr>
        <w:pStyle w:val="BodyText"/>
      </w:pPr>
      <w:r>
        <w:t>Coprésidentes du CERT : Kirsten</w:t>
      </w:r>
      <w:r w:rsidR="0081767C">
        <w:t> </w:t>
      </w:r>
      <w:r>
        <w:t>Clark (Canada) et Tara</w:t>
      </w:r>
      <w:r w:rsidR="0081767C">
        <w:t> </w:t>
      </w:r>
      <w:r>
        <w:t>Trinko-Lake (États-Unis d</w:t>
      </w:r>
      <w:r w:rsidR="001B2BE1">
        <w:t>’</w:t>
      </w:r>
      <w:r>
        <w:t xml:space="preserve">Amérique) </w:t>
      </w:r>
    </w:p>
    <w:p w14:paraId="32FB60F2" w14:textId="77777777" w:rsidR="00E45C0B" w:rsidRPr="00A0159E" w:rsidRDefault="00E45C0B" w:rsidP="00E45C0B">
      <w:pPr>
        <w:pStyle w:val="Heading4"/>
      </w:pPr>
      <w:r>
        <w:t>Objectifs</w:t>
      </w:r>
    </w:p>
    <w:p w14:paraId="70C2E759" w14:textId="1523B79C" w:rsidR="00E45C0B" w:rsidRPr="00A0159E" w:rsidRDefault="00E45C0B" w:rsidP="00E45C0B">
      <w:pPr>
        <w:pStyle w:val="BodyText"/>
      </w:pPr>
      <w:r>
        <w:t>Le CERT reçoit chaque année des demandes d</w:t>
      </w:r>
      <w:r w:rsidR="001B2BE1">
        <w:t>’</w:t>
      </w:r>
      <w:r>
        <w:t>avis sur les ressources transfrontalières de la part du Comité d</w:t>
      </w:r>
      <w:r w:rsidR="001B2BE1">
        <w:t>’</w:t>
      </w:r>
      <w:r>
        <w:t>orientation de la gestion des stocks transfrontaliers (COGST)</w:t>
      </w:r>
      <w:r w:rsidR="0081767C">
        <w:t xml:space="preserve"> p</w:t>
      </w:r>
      <w:r>
        <w:t>our les ressources suivantes : la morue de l</w:t>
      </w:r>
      <w:r w:rsidR="001B2BE1">
        <w:t>’</w:t>
      </w:r>
      <w:r>
        <w:t xml:space="preserve">est du </w:t>
      </w:r>
      <w:r w:rsidR="00E8153D">
        <w:t>banc Georges</w:t>
      </w:r>
      <w:r>
        <w:t>, l</w:t>
      </w:r>
      <w:r w:rsidR="001B2BE1">
        <w:t>’</w:t>
      </w:r>
      <w:r>
        <w:t>aiglefin de l</w:t>
      </w:r>
      <w:r w:rsidR="001B2BE1">
        <w:t>’</w:t>
      </w:r>
      <w:r>
        <w:t xml:space="preserve">est du </w:t>
      </w:r>
      <w:r w:rsidR="00E8153D">
        <w:t>banc Georges</w:t>
      </w:r>
      <w:r>
        <w:t xml:space="preserve"> et la limande à queue jaune du </w:t>
      </w:r>
      <w:r w:rsidR="00E8153D">
        <w:t>banc Georges</w:t>
      </w:r>
      <w:r w:rsidR="0081767C">
        <w:t>.</w:t>
      </w:r>
    </w:p>
    <w:p w14:paraId="00322D75" w14:textId="1647875C" w:rsidR="00E45C0B" w:rsidRPr="00A0159E" w:rsidRDefault="00E45C0B" w:rsidP="00E45C0B">
      <w:pPr>
        <w:pStyle w:val="ListBullet"/>
        <w:numPr>
          <w:ilvl w:val="0"/>
          <w:numId w:val="0"/>
        </w:numPr>
        <w:rPr>
          <w:b/>
        </w:rPr>
      </w:pPr>
      <w:r>
        <w:rPr>
          <w:b/>
          <w:u w:val="single"/>
        </w:rPr>
        <w:t>Morue</w:t>
      </w:r>
    </w:p>
    <w:p w14:paraId="2006992E" w14:textId="512083ED" w:rsidR="00E45C0B" w:rsidRPr="00A0159E" w:rsidRDefault="00E45C0B" w:rsidP="00A24F40">
      <w:pPr>
        <w:pStyle w:val="ListBullet"/>
        <w:rPr>
          <w:rFonts w:cs="Arial"/>
        </w:rPr>
      </w:pPr>
      <w:r>
        <w:t>Mettre à jour les indicateurs biologiques et halieutiques suivants de l</w:t>
      </w:r>
      <w:r w:rsidR="001B2BE1">
        <w:t>’</w:t>
      </w:r>
      <w:r>
        <w:t>état du stock de morue dans la zone de gestion de l</w:t>
      </w:r>
      <w:r w:rsidR="001B2BE1">
        <w:t>’</w:t>
      </w:r>
      <w:r>
        <w:t xml:space="preserve">est du </w:t>
      </w:r>
      <w:r w:rsidR="00E8153D">
        <w:t>banc Georges</w:t>
      </w:r>
      <w:r>
        <w:t xml:space="preserve"> au moyen des données de 2018-2019 : coefficient de condition, indices de la biomasse du relevé de la zone balayée, prises de la pêche et du relevé selon la longueur, valeur F relative, mortalité totale (Z) et prises.</w:t>
      </w:r>
    </w:p>
    <w:p w14:paraId="382F2B9E" w14:textId="77777777" w:rsidR="00E45C0B" w:rsidRPr="00A0159E" w:rsidRDefault="00E45C0B" w:rsidP="00A24F40">
      <w:pPr>
        <w:pStyle w:val="ListBullet"/>
        <w:rPr>
          <w:rFonts w:cs="Arial"/>
        </w:rPr>
      </w:pPr>
      <w:r>
        <w:t>Cerner et commenter les changements dans les indicateurs du relevé et de la pêche (par rapport aux indicateurs du CERT de 2018).</w:t>
      </w:r>
    </w:p>
    <w:p w14:paraId="04A90D37" w14:textId="25BA001F" w:rsidR="00E45C0B" w:rsidRPr="00A0159E" w:rsidRDefault="00E45C0B" w:rsidP="00A24F40">
      <w:pPr>
        <w:pStyle w:val="ListBullet"/>
        <w:rPr>
          <w:rFonts w:cs="Arial"/>
          <w:szCs w:val="22"/>
        </w:rPr>
      </w:pPr>
      <w:r>
        <w:t>Étudier d</w:t>
      </w:r>
      <w:r w:rsidR="001B2BE1">
        <w:t>’</w:t>
      </w:r>
      <w:r>
        <w:t>autres méthodes de prestation des avis sur les prises et rendre compte des approches les plus prometteuses</w:t>
      </w:r>
      <w:r w:rsidR="00C56C44">
        <w:t xml:space="preserve">. </w:t>
      </w:r>
      <w:r>
        <w:t>Décrire les plans en vue d</w:t>
      </w:r>
      <w:r w:rsidR="001B2BE1">
        <w:t>’</w:t>
      </w:r>
      <w:r>
        <w:t>un examen plus approfondi de l</w:t>
      </w:r>
      <w:r w:rsidR="001B2BE1">
        <w:t>’</w:t>
      </w:r>
      <w:r>
        <w:t>approche retenue, qui sera passée en revue lors de la réunion du CERT de 2020 et permettra ensuite de fournir des avis sur les prises jusqu</w:t>
      </w:r>
      <w:r w:rsidR="001B2BE1">
        <w:t>’</w:t>
      </w:r>
      <w:r>
        <w:t>à ce qu</w:t>
      </w:r>
      <w:r w:rsidR="001B2BE1">
        <w:t>’</w:t>
      </w:r>
      <w:r>
        <w:t xml:space="preserve">une évaluation des points de référence puisse être effectuée pour cette ressource. </w:t>
      </w:r>
    </w:p>
    <w:p w14:paraId="646CAF06" w14:textId="6771FB14" w:rsidR="00E45C0B" w:rsidRPr="00A0159E" w:rsidRDefault="00E45C0B" w:rsidP="00704AAA">
      <w:pPr>
        <w:pStyle w:val="BodyText"/>
        <w:rPr>
          <w:b/>
          <w:u w:val="single"/>
        </w:rPr>
      </w:pPr>
      <w:r>
        <w:rPr>
          <w:b/>
          <w:u w:val="single"/>
        </w:rPr>
        <w:t>Aiglefin</w:t>
      </w:r>
    </w:p>
    <w:p w14:paraId="3883744A" w14:textId="7522057B" w:rsidR="00E45C0B" w:rsidRPr="00A24F40" w:rsidRDefault="00E45C0B" w:rsidP="00A24F40">
      <w:pPr>
        <w:pStyle w:val="ListBullet"/>
        <w:rPr>
          <w:rFonts w:cs="Arial"/>
          <w:lang w:val="fr-CA"/>
        </w:rPr>
      </w:pPr>
      <w:r w:rsidRPr="00A24F40">
        <w:rPr>
          <w:lang w:val="fr-CA"/>
        </w:rPr>
        <w:t>Appliquer l</w:t>
      </w:r>
      <w:r w:rsidR="001B2BE1" w:rsidRPr="00A24F40">
        <w:rPr>
          <w:lang w:val="fr-CA"/>
        </w:rPr>
        <w:t>’</w:t>
      </w:r>
      <w:r w:rsidRPr="00A24F40">
        <w:rPr>
          <w:lang w:val="fr-CA"/>
        </w:rPr>
        <w:t>évaluation des points de référence pour l</w:t>
      </w:r>
      <w:r w:rsidR="001B2BE1" w:rsidRPr="00A24F40">
        <w:rPr>
          <w:lang w:val="fr-CA"/>
        </w:rPr>
        <w:t>’</w:t>
      </w:r>
      <w:r w:rsidRPr="00A24F40">
        <w:rPr>
          <w:lang w:val="fr-CA"/>
        </w:rPr>
        <w:t>aiglefin pour rendre compte de l</w:t>
      </w:r>
      <w:r w:rsidR="001B2BE1" w:rsidRPr="00A24F40">
        <w:rPr>
          <w:lang w:val="fr-CA"/>
        </w:rPr>
        <w:t>’</w:t>
      </w:r>
      <w:r w:rsidRPr="00A24F40">
        <w:rPr>
          <w:lang w:val="fr-CA"/>
        </w:rPr>
        <w:t>état du stock, en mettant à jour les résultats concernant les renseignements les plus récents provenant des pêches, y compris les estimations de rejets et les relevés de recherche, et caractériser les incertitudes relatives aux estimations.</w:t>
      </w:r>
    </w:p>
    <w:p w14:paraId="2610FF12" w14:textId="701E1B97" w:rsidR="00E45C0B" w:rsidRPr="00A0159E" w:rsidRDefault="00E45C0B" w:rsidP="00A24F40">
      <w:pPr>
        <w:pStyle w:val="ListBullet"/>
        <w:rPr>
          <w:rFonts w:cs="Arial"/>
        </w:rPr>
      </w:pPr>
      <w:r>
        <w:t>Décrire tout ajustement apporté au modèle d</w:t>
      </w:r>
      <w:r w:rsidR="001B2BE1">
        <w:t>’</w:t>
      </w:r>
      <w:r>
        <w:t>évaluation des points de référence durant la réunion du CERT, ce qui comprend les incidences sur les avis donnés au COGST.</w:t>
      </w:r>
    </w:p>
    <w:p w14:paraId="75161440" w14:textId="29DBA1CB" w:rsidR="00E45C0B" w:rsidRPr="00A0159E" w:rsidRDefault="00E45C0B" w:rsidP="00A24F40">
      <w:pPr>
        <w:pStyle w:val="ListBullet"/>
        <w:rPr>
          <w:rFonts w:cs="Arial"/>
        </w:rPr>
      </w:pPr>
      <w:r>
        <w:t>Évaluer et quantifier, dans la mesure du possible, l</w:t>
      </w:r>
      <w:r w:rsidR="001B2BE1">
        <w:t>’</w:t>
      </w:r>
      <w:r>
        <w:t>incertitude scientifique des résultats de l</w:t>
      </w:r>
      <w:r w:rsidR="001B2BE1">
        <w:t>’</w:t>
      </w:r>
      <w:r>
        <w:t>évaluation (détermination de l</w:t>
      </w:r>
      <w:r w:rsidR="001B2BE1">
        <w:t>’</w:t>
      </w:r>
      <w:r>
        <w:t>état du stock et projection des prises), et pour ce faire discuter des pratiques actuelles de caractérisation et des autres méthodes d</w:t>
      </w:r>
      <w:r w:rsidR="001B2BE1">
        <w:t>’</w:t>
      </w:r>
      <w:r>
        <w:t>évaluation.</w:t>
      </w:r>
    </w:p>
    <w:p w14:paraId="6B13DCB9" w14:textId="1ABA2242" w:rsidR="00E45C0B" w:rsidRPr="00A0159E" w:rsidRDefault="00E45C0B" w:rsidP="00A24F40">
      <w:pPr>
        <w:pStyle w:val="ListBullet"/>
        <w:rPr>
          <w:rFonts w:cs="Arial"/>
        </w:rPr>
      </w:pPr>
      <w:r>
        <w:t>Fournir des analyses pour tenir compte du biais rétrospectif sur la biomasse du stock ainsi que des estimations de la mortalité par pêche pour l</w:t>
      </w:r>
      <w:r w:rsidR="001B2BE1">
        <w:t>’</w:t>
      </w:r>
      <w:r>
        <w:t>aiglefin, le cas échéant.</w:t>
      </w:r>
    </w:p>
    <w:p w14:paraId="7407A09C" w14:textId="6438B3BF" w:rsidR="00E45C0B" w:rsidRPr="00A0159E" w:rsidRDefault="00E45C0B" w:rsidP="00A24F40">
      <w:pPr>
        <w:pStyle w:val="ListBullet"/>
        <w:rPr>
          <w:rFonts w:cs="Arial"/>
        </w:rPr>
      </w:pPr>
      <w:r>
        <w:t>Pour un éventail des valeurs des prises totales de 2020 et 2021, évaluer le risque que le taux de mortalité par pêche respectif dépasse la valeur F</w:t>
      </w:r>
      <w:r>
        <w:rPr>
          <w:vertAlign w:val="subscript"/>
        </w:rPr>
        <w:t>réf</w:t>
      </w:r>
      <w:r>
        <w:t xml:space="preserve"> de 0,26 pour l</w:t>
      </w:r>
      <w:r w:rsidR="001B2BE1">
        <w:t>’</w:t>
      </w:r>
      <w:r>
        <w:t>aiglefin. Inclure un tableau montrant les prises de 2020 et 2021 correspondant à une probabilité faible (25 %), neutre (50 %) et élevée (75 %) que la valeur F dépasse la valeur F</w:t>
      </w:r>
      <w:r>
        <w:rPr>
          <w:vertAlign w:val="subscript"/>
        </w:rPr>
        <w:t>réf</w:t>
      </w:r>
      <w:r>
        <w:t xml:space="preserve"> de 0,26 pour l</w:t>
      </w:r>
      <w:r w:rsidR="001B2BE1">
        <w:t>’</w:t>
      </w:r>
      <w:r>
        <w:t>aiglefin.</w:t>
      </w:r>
    </w:p>
    <w:p w14:paraId="63A9872B" w14:textId="130434EB" w:rsidR="00E45C0B" w:rsidRPr="00A0159E" w:rsidRDefault="00E45C0B" w:rsidP="00A24F40">
      <w:pPr>
        <w:pStyle w:val="ListBullet"/>
        <w:rPr>
          <w:rFonts w:cs="Arial"/>
        </w:rPr>
      </w:pPr>
      <w:r>
        <w:lastRenderedPageBreak/>
        <w:t>Pour un éventail de valeurs de prises totales de 2020 et 2021, évaluer le risque que la biomasse au début des années</w:t>
      </w:r>
      <w:r w:rsidR="00D80605">
        <w:t> </w:t>
      </w:r>
      <w:r>
        <w:t>2021 et 2022 n</w:t>
      </w:r>
      <w:r w:rsidR="001B2BE1">
        <w:t>’</w:t>
      </w:r>
      <w:r>
        <w:t>atteigne pas une augmentation de 0 %, de 10 % ou de 20 % comparativement au début des années</w:t>
      </w:r>
      <w:r w:rsidR="00D80605">
        <w:t> </w:t>
      </w:r>
      <w:r>
        <w:t>2020 et 2021 pour l</w:t>
      </w:r>
      <w:r w:rsidR="001B2BE1">
        <w:t>’</w:t>
      </w:r>
      <w:r>
        <w:t>aiglefin.</w:t>
      </w:r>
    </w:p>
    <w:p w14:paraId="5431C35A" w14:textId="236ED30B" w:rsidR="001A5513" w:rsidRPr="00DD0B3A" w:rsidRDefault="00E45C0B" w:rsidP="00A24F40">
      <w:pPr>
        <w:pStyle w:val="ListBullet"/>
        <w:rPr>
          <w:rFonts w:cs="Arial"/>
        </w:rPr>
      </w:pPr>
      <w:r>
        <w:t>Compte tenu des diagnostics et de l</w:t>
      </w:r>
      <w:r w:rsidR="001B2BE1">
        <w:t>’</w:t>
      </w:r>
      <w:r>
        <w:t>incertitude du modèle, commenter la pertinence d</w:t>
      </w:r>
      <w:r w:rsidR="001B2BE1">
        <w:t>’</w:t>
      </w:r>
      <w:r>
        <w:t>un avis de deux</w:t>
      </w:r>
      <w:r w:rsidR="002A0631">
        <w:t> </w:t>
      </w:r>
      <w:r>
        <w:t>ans.</w:t>
      </w:r>
    </w:p>
    <w:p w14:paraId="704DBB6F" w14:textId="6DA32542" w:rsidR="00E45C0B" w:rsidRPr="008E5670" w:rsidRDefault="00E45C0B" w:rsidP="008E5670">
      <w:pPr>
        <w:pStyle w:val="BodyText"/>
        <w:rPr>
          <w:b/>
          <w:u w:val="single"/>
        </w:rPr>
      </w:pPr>
      <w:r>
        <w:rPr>
          <w:b/>
          <w:u w:val="single"/>
        </w:rPr>
        <w:t>Limande à queue jaune</w:t>
      </w:r>
    </w:p>
    <w:p w14:paraId="711C7B0C" w14:textId="5576E16C" w:rsidR="00E45C0B" w:rsidRPr="00A24F40" w:rsidRDefault="00E45C0B" w:rsidP="00A24F40">
      <w:pPr>
        <w:pStyle w:val="ListBullet"/>
      </w:pPr>
      <w:r w:rsidRPr="00A24F40">
        <w:t>Appliquer l</w:t>
      </w:r>
      <w:r w:rsidR="001B2BE1" w:rsidRPr="00A24F40">
        <w:t>’</w:t>
      </w:r>
      <w:r w:rsidRPr="00A24F40">
        <w:t>évaluation des points de référence (p. ex. l</w:t>
      </w:r>
      <w:r w:rsidR="001B2BE1" w:rsidRPr="00A24F40">
        <w:t>’</w:t>
      </w:r>
      <w:r w:rsidRPr="00A24F40">
        <w:t>approche empirique) pour la limande à queue jaune, mettre à jour les résultats concernant les renseignements les plus récents provenant des pêches, y compris les estimations de rejets et les relevés de recherche, et caractériser les incertitudes relatives aux estimations.</w:t>
      </w:r>
    </w:p>
    <w:p w14:paraId="6CA96096" w14:textId="6F951C1C" w:rsidR="00E45C0B" w:rsidRPr="00A24F40" w:rsidRDefault="00E45C0B" w:rsidP="00A24F40">
      <w:pPr>
        <w:pStyle w:val="ListBullet"/>
      </w:pPr>
      <w:r w:rsidRPr="00A24F40">
        <w:t>Fournir des avis sur les prises pour 2020 en s</w:t>
      </w:r>
      <w:r w:rsidR="001B2BE1" w:rsidRPr="00A24F40">
        <w:t>’</w:t>
      </w:r>
      <w:r w:rsidRPr="00A24F40">
        <w:t>appuyant sur l</w:t>
      </w:r>
      <w:r w:rsidR="001B2BE1" w:rsidRPr="00A24F40">
        <w:t>’</w:t>
      </w:r>
      <w:r w:rsidRPr="00A24F40">
        <w:t>approche empirique pour un éventail de taux d</w:t>
      </w:r>
      <w:r w:rsidR="001B2BE1" w:rsidRPr="00A24F40">
        <w:t>’</w:t>
      </w:r>
      <w:r w:rsidRPr="00A24F40">
        <w:t xml:space="preserve">exploitation pour 2020. </w:t>
      </w:r>
    </w:p>
    <w:p w14:paraId="38EB439E" w14:textId="1046A013" w:rsidR="00E45C0B" w:rsidRPr="00A24F40" w:rsidRDefault="00E45C0B" w:rsidP="00A24F40">
      <w:pPr>
        <w:pStyle w:val="ListBullet"/>
      </w:pPr>
      <w:r w:rsidRPr="00A24F40">
        <w:t>Décrire tout ajustement apporté au modèle d</w:t>
      </w:r>
      <w:r w:rsidR="001B2BE1" w:rsidRPr="00A24F40">
        <w:t>’</w:t>
      </w:r>
      <w:r w:rsidRPr="00A24F40">
        <w:t>évaluation de référence lors des réunions du CERT, ce qui comprend les incidences sur les avis donnés au COGST.</w:t>
      </w:r>
    </w:p>
    <w:p w14:paraId="348DD83F" w14:textId="77777777" w:rsidR="00E45C0B" w:rsidRPr="00A24F40" w:rsidRDefault="00E45C0B" w:rsidP="00A24F40">
      <w:pPr>
        <w:pStyle w:val="ListBullet"/>
      </w:pPr>
      <w:r w:rsidRPr="00A24F40">
        <w:t xml:space="preserve">Conformément au rapport scientifique du CERT de 2018, mettre à jour les tendances de la mortalité relative F et de la mortalité totale (Z), et les étayer de commentaires. </w:t>
      </w:r>
    </w:p>
    <w:p w14:paraId="40ADA62E" w14:textId="01FB5E89" w:rsidR="00E45C0B" w:rsidRPr="00A24F40" w:rsidRDefault="00E45C0B" w:rsidP="00A24F40">
      <w:pPr>
        <w:pStyle w:val="ListBullet"/>
      </w:pPr>
      <w:r w:rsidRPr="00A24F40">
        <w:t>Décrire la justification de l</w:t>
      </w:r>
      <w:r w:rsidR="001B2BE1" w:rsidRPr="00A24F40">
        <w:t>’</w:t>
      </w:r>
      <w:r w:rsidRPr="00A24F40">
        <w:t>éventail des taux d</w:t>
      </w:r>
      <w:r w:rsidR="001B2BE1" w:rsidRPr="00A24F40">
        <w:t>’</w:t>
      </w:r>
      <w:r w:rsidRPr="00A24F40">
        <w:t>exploitation fournis par le CERT à titre d</w:t>
      </w:r>
      <w:r w:rsidR="001B2BE1" w:rsidRPr="00A24F40">
        <w:t>’</w:t>
      </w:r>
      <w:r w:rsidRPr="00A24F40">
        <w:t>avis sur les prises par rapport aux recommandations antérieures.</w:t>
      </w:r>
    </w:p>
    <w:p w14:paraId="33002A92" w14:textId="26D95422" w:rsidR="00E45C0B" w:rsidRPr="00A0159E" w:rsidRDefault="00E45C0B" w:rsidP="00912C9F">
      <w:pPr>
        <w:pStyle w:val="BodyText"/>
        <w:rPr>
          <w:b/>
          <w:u w:val="single"/>
        </w:rPr>
      </w:pPr>
      <w:r>
        <w:rPr>
          <w:b/>
          <w:u w:val="single"/>
        </w:rPr>
        <w:t>Parts allouées</w:t>
      </w:r>
    </w:p>
    <w:p w14:paraId="286DFBFB" w14:textId="7A7D5944" w:rsidR="00E45C0B" w:rsidRPr="00A24F40" w:rsidRDefault="00E45C0B" w:rsidP="00A24F40">
      <w:pPr>
        <w:pStyle w:val="ListBullet"/>
      </w:pPr>
      <w:r w:rsidRPr="00A24F40">
        <w:t>Examiner la répartition de la biomasse relative à la frontière Canada</w:t>
      </w:r>
      <w:r w:rsidR="002A0631" w:rsidRPr="00A24F40">
        <w:t>–</w:t>
      </w:r>
      <w:r w:rsidRPr="00A24F40">
        <w:t>États-Unis, mettre à jour les résultats au moyen des renseignements du relevé de 2018 et appliquer la formule relative aux parts allouées.</w:t>
      </w:r>
    </w:p>
    <w:p w14:paraId="2D743FD9" w14:textId="35D67965" w:rsidR="00E45C0B" w:rsidRPr="00912C9F" w:rsidRDefault="00E45C0B" w:rsidP="00912C9F">
      <w:pPr>
        <w:pStyle w:val="BodyText"/>
        <w:rPr>
          <w:b/>
          <w:u w:val="single"/>
        </w:rPr>
      </w:pPr>
      <w:r>
        <w:rPr>
          <w:b/>
          <w:u w:val="single"/>
        </w:rPr>
        <w:t>Autres</w:t>
      </w:r>
    </w:p>
    <w:p w14:paraId="5FC2318F" w14:textId="77777777" w:rsidR="00E45C0B" w:rsidRPr="00A24F40" w:rsidRDefault="00E45C0B" w:rsidP="00A24F40">
      <w:pPr>
        <w:pStyle w:val="ListBullet"/>
      </w:pPr>
      <w:r w:rsidRPr="00A24F40">
        <w:t>Rendre compte de tout changement aux relevés qui pourrait avoir une incidence sur les évaluations, comme des changements apportés aux navires, au calendrier, à la couverture de la zone, etc. Décrire toute incidence potentielle de ces changements.</w:t>
      </w:r>
    </w:p>
    <w:p w14:paraId="37F430F6" w14:textId="14F725E2" w:rsidR="00E45C0B" w:rsidRPr="00A24F40" w:rsidRDefault="00E45C0B" w:rsidP="00A24F40">
      <w:pPr>
        <w:pStyle w:val="ListBullet"/>
      </w:pPr>
      <w:r w:rsidRPr="00A24F40">
        <w:t>Présenter une mise à jour, le cas échéant, sur les recherches ciblées qui aideraient à déterminer les mécanismes contribuant aux changements de la productivité des stocks</w:t>
      </w:r>
      <w:r w:rsidR="002A0631" w:rsidRPr="00A24F40">
        <w:t>.</w:t>
      </w:r>
    </w:p>
    <w:p w14:paraId="2E072A6E" w14:textId="7C48E449" w:rsidR="00E45C0B" w:rsidRPr="00A24F40" w:rsidRDefault="002A0631" w:rsidP="00A24F40">
      <w:pPr>
        <w:pStyle w:val="ListBullet"/>
      </w:pPr>
      <w:r w:rsidRPr="00A24F40">
        <w:t xml:space="preserve">Rendre compte des </w:t>
      </w:r>
      <w:r w:rsidR="00E45C0B" w:rsidRPr="00A24F40">
        <w:t>progrès du groupe de travail sur la structure du stock de morue franche</w:t>
      </w:r>
      <w:r w:rsidRPr="00A24F40">
        <w:t>.</w:t>
      </w:r>
    </w:p>
    <w:p w14:paraId="63F3885D" w14:textId="41BE9B61" w:rsidR="00E45C0B" w:rsidRPr="009059E9" w:rsidRDefault="002A0631" w:rsidP="00A24F40">
      <w:pPr>
        <w:pStyle w:val="ListBullet"/>
        <w:rPr>
          <w:lang w:val="fr-CA"/>
        </w:rPr>
      </w:pPr>
      <w:r w:rsidRPr="009059E9">
        <w:rPr>
          <w:lang w:val="fr-CA"/>
        </w:rPr>
        <w:t>Rédiger l’é</w:t>
      </w:r>
      <w:r w:rsidR="00E45C0B" w:rsidRPr="009059E9">
        <w:rPr>
          <w:lang w:val="fr-CA"/>
        </w:rPr>
        <w:t xml:space="preserve">bauche du </w:t>
      </w:r>
      <w:r w:rsidR="009059E9">
        <w:rPr>
          <w:lang w:val="fr-CA"/>
        </w:rPr>
        <w:t>cadre de r</w:t>
      </w:r>
      <w:r w:rsidR="009059E9" w:rsidRPr="000274FA">
        <w:rPr>
          <w:lang w:val="fr-CA"/>
        </w:rPr>
        <w:t>é</w:t>
      </w:r>
      <w:r w:rsidR="009059E9">
        <w:rPr>
          <w:lang w:val="fr-CA"/>
        </w:rPr>
        <w:t>f</w:t>
      </w:r>
      <w:r w:rsidR="009059E9" w:rsidRPr="000274FA">
        <w:rPr>
          <w:lang w:val="fr-CA"/>
        </w:rPr>
        <w:t>é</w:t>
      </w:r>
      <w:r w:rsidR="009059E9">
        <w:rPr>
          <w:lang w:val="fr-CA"/>
        </w:rPr>
        <w:t>rence</w:t>
      </w:r>
      <w:r w:rsidR="00E45C0B" w:rsidRPr="009059E9">
        <w:rPr>
          <w:lang w:val="fr-CA"/>
        </w:rPr>
        <w:t xml:space="preserve"> en prévision de l</w:t>
      </w:r>
      <w:r w:rsidR="001B2BE1" w:rsidRPr="009059E9">
        <w:rPr>
          <w:lang w:val="fr-CA"/>
        </w:rPr>
        <w:t>’</w:t>
      </w:r>
      <w:r w:rsidR="00E45C0B" w:rsidRPr="009059E9">
        <w:rPr>
          <w:lang w:val="fr-CA"/>
        </w:rPr>
        <w:t>évaluation de 2020 du CERT pour la morue franche de l</w:t>
      </w:r>
      <w:r w:rsidR="001B2BE1" w:rsidRPr="009059E9">
        <w:rPr>
          <w:lang w:val="fr-CA"/>
        </w:rPr>
        <w:t>’</w:t>
      </w:r>
      <w:r w:rsidR="00E45C0B" w:rsidRPr="009059E9">
        <w:rPr>
          <w:lang w:val="fr-CA"/>
        </w:rPr>
        <w:t xml:space="preserve">est du </w:t>
      </w:r>
      <w:r w:rsidR="00E8153D" w:rsidRPr="009059E9">
        <w:rPr>
          <w:lang w:val="fr-CA"/>
        </w:rPr>
        <w:t>banc Georges</w:t>
      </w:r>
      <w:r w:rsidR="00E45C0B" w:rsidRPr="009059E9">
        <w:rPr>
          <w:lang w:val="fr-CA"/>
        </w:rPr>
        <w:t>, l</w:t>
      </w:r>
      <w:r w:rsidR="001B2BE1" w:rsidRPr="009059E9">
        <w:rPr>
          <w:lang w:val="fr-CA"/>
        </w:rPr>
        <w:t>’</w:t>
      </w:r>
      <w:r w:rsidR="00E45C0B" w:rsidRPr="009059E9">
        <w:rPr>
          <w:lang w:val="fr-CA"/>
        </w:rPr>
        <w:t>aiglefin de l</w:t>
      </w:r>
      <w:r w:rsidR="001B2BE1" w:rsidRPr="009059E9">
        <w:rPr>
          <w:lang w:val="fr-CA"/>
        </w:rPr>
        <w:t>’</w:t>
      </w:r>
      <w:r w:rsidR="00E45C0B" w:rsidRPr="009059E9">
        <w:rPr>
          <w:lang w:val="fr-CA"/>
        </w:rPr>
        <w:t xml:space="preserve">est du banc Georges et la limande à queue jaune du </w:t>
      </w:r>
      <w:r w:rsidR="00E8153D" w:rsidRPr="009059E9">
        <w:rPr>
          <w:lang w:val="fr-CA"/>
        </w:rPr>
        <w:t>banc Georges</w:t>
      </w:r>
      <w:r w:rsidR="00E45C0B" w:rsidRPr="009059E9">
        <w:rPr>
          <w:lang w:val="fr-CA"/>
        </w:rPr>
        <w:t>.</w:t>
      </w:r>
    </w:p>
    <w:p w14:paraId="10C33FCA" w14:textId="241B84A6" w:rsidR="00E45C0B" w:rsidRPr="00A24F40" w:rsidRDefault="00E45C0B" w:rsidP="00A24F40">
      <w:pPr>
        <w:pStyle w:val="ListBullet"/>
      </w:pPr>
      <w:r w:rsidRPr="00A24F40">
        <w:t>Fournir une mise à jour sur les recherches sur la croissance de l</w:t>
      </w:r>
      <w:r w:rsidR="001B2BE1" w:rsidRPr="00A24F40">
        <w:t>’</w:t>
      </w:r>
      <w:r w:rsidRPr="00A24F40">
        <w:t>aiglefin.</w:t>
      </w:r>
    </w:p>
    <w:p w14:paraId="2B15D0D6" w14:textId="77777777" w:rsidR="00E45C0B" w:rsidRPr="00A0159E" w:rsidRDefault="00E45C0B" w:rsidP="00E45C0B">
      <w:pPr>
        <w:pStyle w:val="Heading4"/>
      </w:pPr>
      <w:r>
        <w:t>Publications prévues</w:t>
      </w:r>
    </w:p>
    <w:p w14:paraId="7EF96A0B" w14:textId="46F5D336" w:rsidR="00E45C0B" w:rsidRPr="00A24F40" w:rsidRDefault="00E45C0B" w:rsidP="00A24F40">
      <w:pPr>
        <w:pStyle w:val="ListBullet"/>
      </w:pPr>
      <w:r w:rsidRPr="00A24F40">
        <w:rPr>
          <w:b/>
        </w:rPr>
        <w:t>Rapports sur l</w:t>
      </w:r>
      <w:r w:rsidR="001B2BE1" w:rsidRPr="00A24F40">
        <w:rPr>
          <w:b/>
        </w:rPr>
        <w:t>’</w:t>
      </w:r>
      <w:r w:rsidRPr="00A24F40">
        <w:rPr>
          <w:b/>
        </w:rPr>
        <w:t>état des stocks transfrontaliers du CERT</w:t>
      </w:r>
      <w:r w:rsidRPr="00A24F40">
        <w:t xml:space="preserve"> pour les zones de gestion de l</w:t>
      </w:r>
      <w:r w:rsidR="001B2BE1" w:rsidRPr="00A24F40">
        <w:t>’</w:t>
      </w:r>
      <w:r w:rsidRPr="00A24F40">
        <w:t>aiglefin de l</w:t>
      </w:r>
      <w:r w:rsidR="001B2BE1" w:rsidRPr="00A24F40">
        <w:t>’</w:t>
      </w:r>
      <w:r w:rsidRPr="00A24F40">
        <w:t xml:space="preserve">est du </w:t>
      </w:r>
      <w:r w:rsidR="00E8153D" w:rsidRPr="00A24F40">
        <w:t>banc Georges</w:t>
      </w:r>
      <w:r w:rsidRPr="00A24F40">
        <w:t xml:space="preserve"> et de la limande à queue jaune du </w:t>
      </w:r>
      <w:r w:rsidR="00E8153D" w:rsidRPr="00A24F40">
        <w:t>banc Georges</w:t>
      </w:r>
    </w:p>
    <w:p w14:paraId="41663310" w14:textId="470194E9" w:rsidR="00E45C0B" w:rsidRPr="00A24F40" w:rsidRDefault="00E45C0B" w:rsidP="00A24F40">
      <w:pPr>
        <w:pStyle w:val="ListBullet"/>
      </w:pPr>
      <w:r w:rsidRPr="00A24F40">
        <w:rPr>
          <w:b/>
        </w:rPr>
        <w:t>Documents de référence du CERT</w:t>
      </w:r>
      <w:r w:rsidRPr="00A24F40">
        <w:t xml:space="preserve"> pour les parts allouées, la zone de gestion de l</w:t>
      </w:r>
      <w:r w:rsidR="001B2BE1" w:rsidRPr="00A24F40">
        <w:t>’</w:t>
      </w:r>
      <w:r w:rsidRPr="00A24F40">
        <w:t>aiglefin de l</w:t>
      </w:r>
      <w:r w:rsidR="001B2BE1" w:rsidRPr="00A24F40">
        <w:t>’</w:t>
      </w:r>
      <w:r w:rsidRPr="00A24F40">
        <w:t xml:space="preserve">est du </w:t>
      </w:r>
      <w:r w:rsidR="00E8153D" w:rsidRPr="00A24F40">
        <w:t>banc Georges</w:t>
      </w:r>
      <w:r w:rsidRPr="00A24F40">
        <w:t>, les zones de gestion de la morue franche de l</w:t>
      </w:r>
      <w:r w:rsidR="001B2BE1" w:rsidRPr="00A24F40">
        <w:t>’</w:t>
      </w:r>
      <w:r w:rsidRPr="00A24F40">
        <w:t xml:space="preserve">est du </w:t>
      </w:r>
      <w:r w:rsidR="00E8153D" w:rsidRPr="00A24F40">
        <w:t>banc Georges</w:t>
      </w:r>
      <w:r w:rsidRPr="00A24F40">
        <w:t xml:space="preserve"> et de la limande à queue jaune du </w:t>
      </w:r>
      <w:r w:rsidR="00E8153D" w:rsidRPr="00A24F40">
        <w:t>banc Georges</w:t>
      </w:r>
    </w:p>
    <w:p w14:paraId="2E78528C" w14:textId="266D7982" w:rsidR="00912C9F" w:rsidRPr="00A24F40" w:rsidRDefault="00E45C0B" w:rsidP="00A24F40">
      <w:pPr>
        <w:pStyle w:val="ListBullet"/>
      </w:pPr>
      <w:r w:rsidRPr="00A24F40">
        <w:rPr>
          <w:b/>
        </w:rPr>
        <w:t>Compte rendu des discussions</w:t>
      </w:r>
      <w:r w:rsidRPr="00A24F40">
        <w:t xml:space="preserve"> à la réunion du CERT</w:t>
      </w:r>
      <w:r w:rsidR="00912C9F" w:rsidRPr="00A24F40">
        <w:rPr>
          <w:lang w:val="fr-CA"/>
        </w:rPr>
        <w:br w:type="page"/>
      </w:r>
    </w:p>
    <w:p w14:paraId="50D649FF" w14:textId="2A483079" w:rsidR="00E45C0B" w:rsidRPr="00A0159E" w:rsidRDefault="00E45C0B" w:rsidP="00E45C0B">
      <w:pPr>
        <w:pStyle w:val="Heading4"/>
        <w:rPr>
          <w:rFonts w:cs="Arial"/>
        </w:rPr>
      </w:pPr>
      <w:r>
        <w:lastRenderedPageBreak/>
        <w:t>Participation</w:t>
      </w:r>
    </w:p>
    <w:p w14:paraId="47E1A1D7" w14:textId="6815DA19" w:rsidR="00E45C0B" w:rsidRPr="00A24F40" w:rsidRDefault="00E45C0B" w:rsidP="00A24F40">
      <w:pPr>
        <w:pStyle w:val="ListBullet"/>
      </w:pPr>
      <w:r w:rsidRPr="00A24F40">
        <w:t>Scientifiques et gestionnaires de Pêches et Océans Canada, Région des Maritimes</w:t>
      </w:r>
    </w:p>
    <w:p w14:paraId="360A85A8" w14:textId="295CDBDB" w:rsidR="00E45C0B" w:rsidRPr="00A24F40" w:rsidRDefault="00E45C0B" w:rsidP="00A24F40">
      <w:pPr>
        <w:pStyle w:val="ListBullet"/>
      </w:pPr>
      <w:r w:rsidRPr="00A24F40">
        <w:t>Scientifiques et gestionnaires du National Marine Fisheries Service, Région du Nord-Est</w:t>
      </w:r>
    </w:p>
    <w:p w14:paraId="4CB63B9F" w14:textId="77777777" w:rsidR="00E45C0B" w:rsidRPr="00A24F40" w:rsidRDefault="00E45C0B" w:rsidP="00A24F40">
      <w:pPr>
        <w:pStyle w:val="ListBullet"/>
      </w:pPr>
      <w:r w:rsidRPr="00A24F40">
        <w:t>Industrie des pêches du Canada et des États-Unis</w:t>
      </w:r>
    </w:p>
    <w:p w14:paraId="061A2871" w14:textId="2C2AC060" w:rsidR="00E45C0B" w:rsidRPr="00A24F40" w:rsidRDefault="00E45C0B" w:rsidP="00A24F40">
      <w:pPr>
        <w:pStyle w:val="ListBullet"/>
      </w:pPr>
      <w:r w:rsidRPr="00A24F40">
        <w:t>Représentants d</w:t>
      </w:r>
      <w:r w:rsidR="001B2BE1" w:rsidRPr="00A24F40">
        <w:t>’</w:t>
      </w:r>
      <w:r w:rsidRPr="00A24F40">
        <w:t xml:space="preserve">États américains et de provinces canadiennes (Nouveau-Brunswick et Nouvelle-Écosse) </w:t>
      </w:r>
    </w:p>
    <w:p w14:paraId="348E3D2F" w14:textId="77777777" w:rsidR="00E45C0B" w:rsidRPr="00A24F40" w:rsidRDefault="00E45C0B" w:rsidP="00A24F40">
      <w:pPr>
        <w:pStyle w:val="ListBullet"/>
      </w:pPr>
      <w:r w:rsidRPr="00A24F40">
        <w:t>Représentants du New England Fishery Management Council</w:t>
      </w:r>
    </w:p>
    <w:p w14:paraId="4FCE0E83" w14:textId="77777777" w:rsidR="00E45C0B" w:rsidRPr="00A24F40" w:rsidRDefault="00E45C0B" w:rsidP="00A24F40">
      <w:pPr>
        <w:pStyle w:val="ListBullet"/>
      </w:pPr>
      <w:r w:rsidRPr="00A24F40">
        <w:t xml:space="preserve">Représentants du Scientific and Statistical Committee </w:t>
      </w:r>
    </w:p>
    <w:p w14:paraId="2F0F9AA5" w14:textId="2DBD9776" w:rsidR="00E45C0B" w:rsidRPr="00A24F40" w:rsidRDefault="00E45C0B" w:rsidP="00A24F40">
      <w:pPr>
        <w:pStyle w:val="ListBullet"/>
      </w:pPr>
      <w:r w:rsidRPr="00A24F40">
        <w:t>Public</w:t>
      </w:r>
      <w:r w:rsidR="002A0631" w:rsidRPr="00A24F40">
        <w:t xml:space="preserve">, </w:t>
      </w:r>
      <w:r w:rsidRPr="00A24F40">
        <w:t>intervenants</w:t>
      </w:r>
      <w:r w:rsidR="002A0631" w:rsidRPr="00A24F40">
        <w:t xml:space="preserve"> et </w:t>
      </w:r>
      <w:r w:rsidRPr="00A24F40">
        <w:t>titulaires de droits</w:t>
      </w:r>
    </w:p>
    <w:p w14:paraId="04AC8ABB" w14:textId="77777777" w:rsidR="00E45C0B" w:rsidRPr="00A0159E" w:rsidRDefault="00E45C0B">
      <w:pPr>
        <w:spacing w:before="0" w:after="0"/>
      </w:pPr>
      <w:r>
        <w:br w:type="page"/>
      </w:r>
    </w:p>
    <w:p w14:paraId="485E444A" w14:textId="05103819" w:rsidR="00C63094" w:rsidRPr="00A0159E" w:rsidRDefault="00A24F40" w:rsidP="00C63094">
      <w:pPr>
        <w:pStyle w:val="Heading2"/>
      </w:pPr>
      <w:bookmarkStart w:id="25" w:name="_Toc44059157"/>
      <w:r>
        <w:lastRenderedPageBreak/>
        <w:t>Annexe iii</w:t>
      </w:r>
      <w:r w:rsidR="00C63094">
        <w:t>. Programme</w:t>
      </w:r>
      <w:r w:rsidR="00D80605">
        <w:t> </w:t>
      </w:r>
      <w:r w:rsidR="00C63094">
        <w:t>2019 du CERT</w:t>
      </w:r>
      <w:bookmarkEnd w:id="25"/>
    </w:p>
    <w:p w14:paraId="066D8BB1" w14:textId="2BF7352A" w:rsidR="00E45C0B" w:rsidRPr="00A0159E" w:rsidRDefault="00E45C0B" w:rsidP="00C63094">
      <w:pPr>
        <w:pStyle w:val="BodyText"/>
        <w:jc w:val="center"/>
        <w:rPr>
          <w:b/>
        </w:rPr>
      </w:pPr>
      <w:r>
        <w:rPr>
          <w:b/>
        </w:rPr>
        <w:t>Comité d</w:t>
      </w:r>
      <w:r w:rsidR="001B2BE1">
        <w:rPr>
          <w:b/>
        </w:rPr>
        <w:t>’</w:t>
      </w:r>
      <w:r>
        <w:rPr>
          <w:b/>
        </w:rPr>
        <w:t xml:space="preserve">évaluation des ressources transfrontalières (CERT) Évaluation de la limande à queue jaune du </w:t>
      </w:r>
      <w:r w:rsidR="00E8153D">
        <w:rPr>
          <w:b/>
        </w:rPr>
        <w:t>banc Georges</w:t>
      </w:r>
      <w:r>
        <w:rPr>
          <w:b/>
        </w:rPr>
        <w:t xml:space="preserve"> et de l</w:t>
      </w:r>
      <w:r w:rsidR="001B2BE1">
        <w:rPr>
          <w:b/>
        </w:rPr>
        <w:t>’</w:t>
      </w:r>
      <w:r>
        <w:rPr>
          <w:b/>
        </w:rPr>
        <w:t>aiglefin de l</w:t>
      </w:r>
      <w:r w:rsidR="001B2BE1">
        <w:rPr>
          <w:b/>
        </w:rPr>
        <w:t>’</w:t>
      </w:r>
      <w:r>
        <w:rPr>
          <w:b/>
        </w:rPr>
        <w:t xml:space="preserve">est du </w:t>
      </w:r>
      <w:r w:rsidR="00E8153D">
        <w:rPr>
          <w:b/>
        </w:rPr>
        <w:t>banc Georges</w:t>
      </w:r>
      <w:r>
        <w:rPr>
          <w:b/>
        </w:rPr>
        <w:t>, et exploration des approches pour la morue de l</w:t>
      </w:r>
      <w:r w:rsidR="001B2BE1">
        <w:rPr>
          <w:b/>
        </w:rPr>
        <w:t>’</w:t>
      </w:r>
      <w:r>
        <w:rPr>
          <w:b/>
        </w:rPr>
        <w:t xml:space="preserve">est du </w:t>
      </w:r>
      <w:r w:rsidR="00E8153D">
        <w:rPr>
          <w:b/>
        </w:rPr>
        <w:t>banc Georges</w:t>
      </w:r>
    </w:p>
    <w:p w14:paraId="6D788555" w14:textId="77777777" w:rsidR="00E45C0B" w:rsidRPr="00A0159E" w:rsidRDefault="00E45C0B" w:rsidP="00E16FA6">
      <w:pPr>
        <w:autoSpaceDE w:val="0"/>
        <w:autoSpaceDN w:val="0"/>
        <w:adjustRightInd w:val="0"/>
        <w:spacing w:before="240" w:after="0"/>
        <w:jc w:val="center"/>
        <w:rPr>
          <w:rFonts w:cs="Arial"/>
          <w:bCs/>
          <w:szCs w:val="22"/>
        </w:rPr>
      </w:pPr>
      <w:r>
        <w:t>Centre de conférences Harry Hachey</w:t>
      </w:r>
    </w:p>
    <w:p w14:paraId="439FEEFC" w14:textId="77777777" w:rsidR="00E45C0B" w:rsidRPr="00A0159E" w:rsidRDefault="00E45C0B" w:rsidP="00E45C0B">
      <w:pPr>
        <w:autoSpaceDE w:val="0"/>
        <w:autoSpaceDN w:val="0"/>
        <w:adjustRightInd w:val="0"/>
        <w:spacing w:before="0" w:after="0"/>
        <w:jc w:val="center"/>
        <w:rPr>
          <w:rFonts w:cs="Arial"/>
          <w:bCs/>
          <w:szCs w:val="22"/>
        </w:rPr>
      </w:pPr>
      <w:r>
        <w:t>Station biologique de St. Andrews</w:t>
      </w:r>
    </w:p>
    <w:p w14:paraId="69A022F8" w14:textId="45BF58C2" w:rsidR="00E45C0B" w:rsidRPr="00A0159E" w:rsidRDefault="00E45C0B" w:rsidP="00E45C0B">
      <w:pPr>
        <w:autoSpaceDE w:val="0"/>
        <w:autoSpaceDN w:val="0"/>
        <w:adjustRightInd w:val="0"/>
        <w:spacing w:before="0" w:after="0"/>
        <w:jc w:val="center"/>
        <w:rPr>
          <w:rFonts w:cs="Arial"/>
          <w:bCs/>
          <w:szCs w:val="22"/>
        </w:rPr>
      </w:pPr>
      <w:r>
        <w:t xml:space="preserve">St. Andrews </w:t>
      </w:r>
      <w:r w:rsidR="002A0631">
        <w:t>(</w:t>
      </w:r>
      <w:r>
        <w:t>Nouveau-Brunswick</w:t>
      </w:r>
      <w:r w:rsidR="002A0631">
        <w:t>)</w:t>
      </w:r>
      <w:r>
        <w:t>, Canada</w:t>
      </w:r>
    </w:p>
    <w:p w14:paraId="3F6A73BD" w14:textId="77777777" w:rsidR="00E45C0B" w:rsidRPr="00A0159E" w:rsidRDefault="00E45C0B" w:rsidP="00E16FA6">
      <w:pPr>
        <w:autoSpaceDE w:val="0"/>
        <w:autoSpaceDN w:val="0"/>
        <w:adjustRightInd w:val="0"/>
        <w:spacing w:before="0" w:after="240"/>
        <w:jc w:val="center"/>
        <w:rPr>
          <w:rFonts w:cs="Arial"/>
          <w:bCs/>
          <w:szCs w:val="22"/>
        </w:rPr>
      </w:pPr>
      <w:r>
        <w:t>Du 9 au 11 juillet 2019</w:t>
      </w:r>
    </w:p>
    <w:p w14:paraId="420D1EB6" w14:textId="41058EA1" w:rsidR="00E45C0B" w:rsidRPr="00A0159E" w:rsidRDefault="00E45C0B" w:rsidP="00E45C0B">
      <w:pPr>
        <w:autoSpaceDE w:val="0"/>
        <w:autoSpaceDN w:val="0"/>
        <w:adjustRightInd w:val="0"/>
        <w:rPr>
          <w:rFonts w:cs="Arial"/>
          <w:b/>
          <w:bCs/>
          <w:sz w:val="20"/>
          <w:u w:val="single"/>
        </w:rPr>
      </w:pPr>
      <w:r>
        <w:rPr>
          <w:b/>
          <w:bCs/>
          <w:szCs w:val="22"/>
        </w:rPr>
        <w:t>JOUR 1 (</w:t>
      </w:r>
      <w:r w:rsidR="002A0631">
        <w:rPr>
          <w:b/>
          <w:bCs/>
          <w:szCs w:val="22"/>
        </w:rPr>
        <w:t xml:space="preserve">le </w:t>
      </w:r>
      <w:r>
        <w:rPr>
          <w:b/>
          <w:bCs/>
          <w:szCs w:val="22"/>
        </w:rPr>
        <w:t>mardi 9</w:t>
      </w:r>
      <w:r w:rsidR="003F1B5F">
        <w:rPr>
          <w:b/>
          <w:bCs/>
          <w:szCs w:val="22"/>
        </w:rPr>
        <w:t> </w:t>
      </w:r>
      <w:r>
        <w:rPr>
          <w:b/>
          <w:bCs/>
          <w:szCs w:val="22"/>
        </w:rPr>
        <w:t>juillet 2019)</w:t>
      </w:r>
    </w:p>
    <w:tbl>
      <w:tblPr>
        <w:tblStyle w:val="TableGrid"/>
        <w:tblW w:w="0" w:type="auto"/>
        <w:tblLook w:val="04A0" w:firstRow="1" w:lastRow="0" w:firstColumn="1" w:lastColumn="0" w:noHBand="0" w:noVBand="1"/>
      </w:tblPr>
      <w:tblGrid>
        <w:gridCol w:w="1885"/>
        <w:gridCol w:w="4680"/>
        <w:gridCol w:w="2785"/>
      </w:tblGrid>
      <w:tr w:rsidR="00E45C0B" w:rsidRPr="00A0159E" w14:paraId="7349D188" w14:textId="77777777" w:rsidTr="00A24F40">
        <w:trPr>
          <w:tblHeader/>
        </w:trPr>
        <w:tc>
          <w:tcPr>
            <w:tcW w:w="1885" w:type="dxa"/>
            <w:shd w:val="clear" w:color="auto" w:fill="BFBFBF" w:themeFill="background1" w:themeFillShade="BF"/>
          </w:tcPr>
          <w:p w14:paraId="0C5FF447" w14:textId="77777777" w:rsidR="00E45C0B" w:rsidRPr="00A0159E" w:rsidRDefault="00E45C0B" w:rsidP="00AD1CA4">
            <w:pPr>
              <w:autoSpaceDE w:val="0"/>
              <w:autoSpaceDN w:val="0"/>
              <w:adjustRightInd w:val="0"/>
              <w:spacing w:before="60" w:after="60"/>
              <w:jc w:val="center"/>
              <w:rPr>
                <w:rFonts w:cs="Arial"/>
                <w:b/>
                <w:bCs/>
                <w:sz w:val="20"/>
                <w:szCs w:val="20"/>
                <w:u w:val="single"/>
              </w:rPr>
            </w:pPr>
            <w:r>
              <w:rPr>
                <w:b/>
                <w:bCs/>
                <w:sz w:val="20"/>
                <w:szCs w:val="20"/>
                <w:u w:val="single"/>
              </w:rPr>
              <w:t>Heure</w:t>
            </w:r>
          </w:p>
        </w:tc>
        <w:tc>
          <w:tcPr>
            <w:tcW w:w="4680" w:type="dxa"/>
            <w:shd w:val="clear" w:color="auto" w:fill="BFBFBF" w:themeFill="background1" w:themeFillShade="BF"/>
          </w:tcPr>
          <w:p w14:paraId="582AF832" w14:textId="77777777" w:rsidR="00E45C0B" w:rsidRPr="00A0159E" w:rsidRDefault="00E45C0B" w:rsidP="00AD1CA4">
            <w:pPr>
              <w:autoSpaceDE w:val="0"/>
              <w:autoSpaceDN w:val="0"/>
              <w:adjustRightInd w:val="0"/>
              <w:spacing w:before="60" w:after="60"/>
              <w:jc w:val="center"/>
              <w:rPr>
                <w:rFonts w:cs="Arial"/>
                <w:b/>
                <w:bCs/>
                <w:sz w:val="20"/>
                <w:szCs w:val="20"/>
                <w:u w:val="single"/>
              </w:rPr>
            </w:pPr>
            <w:r>
              <w:rPr>
                <w:b/>
                <w:bCs/>
                <w:sz w:val="20"/>
                <w:szCs w:val="20"/>
                <w:u w:val="single"/>
              </w:rPr>
              <w:t>Sujet</w:t>
            </w:r>
          </w:p>
        </w:tc>
        <w:tc>
          <w:tcPr>
            <w:tcW w:w="2785" w:type="dxa"/>
            <w:shd w:val="clear" w:color="auto" w:fill="BFBFBF" w:themeFill="background1" w:themeFillShade="BF"/>
          </w:tcPr>
          <w:p w14:paraId="03807D0B" w14:textId="77777777" w:rsidR="00E45C0B" w:rsidRPr="00A0159E" w:rsidRDefault="00E45C0B" w:rsidP="00AD1CA4">
            <w:pPr>
              <w:autoSpaceDE w:val="0"/>
              <w:autoSpaceDN w:val="0"/>
              <w:adjustRightInd w:val="0"/>
              <w:spacing w:before="60" w:after="60"/>
              <w:jc w:val="center"/>
              <w:rPr>
                <w:rFonts w:cs="Arial"/>
                <w:b/>
                <w:bCs/>
                <w:sz w:val="20"/>
                <w:szCs w:val="20"/>
                <w:u w:val="single"/>
              </w:rPr>
            </w:pPr>
            <w:r>
              <w:rPr>
                <w:b/>
                <w:bCs/>
                <w:sz w:val="20"/>
                <w:szCs w:val="20"/>
                <w:u w:val="single"/>
              </w:rPr>
              <w:t>Responsables</w:t>
            </w:r>
          </w:p>
        </w:tc>
      </w:tr>
      <w:tr w:rsidR="00E45C0B" w:rsidRPr="00CE6A09" w14:paraId="7E1E5CC0" w14:textId="77777777" w:rsidTr="00E16FA6">
        <w:tc>
          <w:tcPr>
            <w:tcW w:w="1885" w:type="dxa"/>
          </w:tcPr>
          <w:p w14:paraId="71F833A2" w14:textId="0591154B" w:rsidR="00E45C0B" w:rsidRPr="00A0159E" w:rsidRDefault="002A0631" w:rsidP="00AD1CA4">
            <w:pPr>
              <w:autoSpaceDE w:val="0"/>
              <w:autoSpaceDN w:val="0"/>
              <w:adjustRightInd w:val="0"/>
              <w:spacing w:before="60" w:after="60"/>
              <w:rPr>
                <w:rFonts w:cs="Arial"/>
                <w:b/>
                <w:bCs/>
                <w:sz w:val="20"/>
                <w:szCs w:val="20"/>
                <w:u w:val="single"/>
              </w:rPr>
            </w:pPr>
            <w:r>
              <w:rPr>
                <w:sz w:val="20"/>
                <w:szCs w:val="20"/>
              </w:rPr>
              <w:t xml:space="preserve">De </w:t>
            </w:r>
            <w:r w:rsidR="00E45C0B">
              <w:rPr>
                <w:sz w:val="20"/>
                <w:szCs w:val="20"/>
              </w:rPr>
              <w:t>9 h à 9 h 15</w:t>
            </w:r>
          </w:p>
        </w:tc>
        <w:tc>
          <w:tcPr>
            <w:tcW w:w="4680" w:type="dxa"/>
          </w:tcPr>
          <w:p w14:paraId="59E1B6FA" w14:textId="77777777" w:rsidR="00E45C0B" w:rsidRPr="00A0159E" w:rsidRDefault="00E45C0B" w:rsidP="00AD1CA4">
            <w:pPr>
              <w:autoSpaceDE w:val="0"/>
              <w:autoSpaceDN w:val="0"/>
              <w:adjustRightInd w:val="0"/>
              <w:spacing w:before="60" w:after="60"/>
              <w:rPr>
                <w:rFonts w:cs="Arial"/>
                <w:b/>
                <w:bCs/>
                <w:sz w:val="20"/>
                <w:szCs w:val="20"/>
                <w:u w:val="single"/>
              </w:rPr>
            </w:pPr>
            <w:r>
              <w:rPr>
                <w:sz w:val="20"/>
                <w:szCs w:val="20"/>
              </w:rPr>
              <w:t>Bienvenue et introduction : Coprésidentes du CERT et président de la réunion</w:t>
            </w:r>
          </w:p>
        </w:tc>
        <w:tc>
          <w:tcPr>
            <w:tcW w:w="2785" w:type="dxa"/>
          </w:tcPr>
          <w:p w14:paraId="433568AA" w14:textId="58BCF5C6" w:rsidR="00E45C0B" w:rsidRPr="00B9529C" w:rsidRDefault="00E45C0B" w:rsidP="00AD1CA4">
            <w:pPr>
              <w:autoSpaceDE w:val="0"/>
              <w:autoSpaceDN w:val="0"/>
              <w:adjustRightInd w:val="0"/>
              <w:spacing w:before="60" w:after="60"/>
              <w:rPr>
                <w:rFonts w:cs="Arial"/>
                <w:bCs/>
                <w:sz w:val="20"/>
                <w:szCs w:val="20"/>
                <w:lang w:val="en-CA"/>
              </w:rPr>
            </w:pPr>
            <w:r w:rsidRPr="00B9529C">
              <w:rPr>
                <w:bCs/>
                <w:sz w:val="20"/>
                <w:szCs w:val="20"/>
                <w:lang w:val="en-CA"/>
              </w:rPr>
              <w:t>Kirsten</w:t>
            </w:r>
            <w:r w:rsidR="003B4EEC">
              <w:rPr>
                <w:bCs/>
                <w:sz w:val="20"/>
                <w:szCs w:val="20"/>
                <w:lang w:val="en-CA"/>
              </w:rPr>
              <w:t> </w:t>
            </w:r>
            <w:r w:rsidRPr="00B9529C">
              <w:rPr>
                <w:bCs/>
                <w:sz w:val="20"/>
                <w:szCs w:val="20"/>
                <w:lang w:val="en-CA"/>
              </w:rPr>
              <w:t>Clark (Canada)</w:t>
            </w:r>
          </w:p>
          <w:p w14:paraId="72FD2569" w14:textId="642D8AF6" w:rsidR="00E45C0B" w:rsidRPr="00B9529C" w:rsidRDefault="00E45C0B" w:rsidP="00AD1CA4">
            <w:pPr>
              <w:autoSpaceDE w:val="0"/>
              <w:autoSpaceDN w:val="0"/>
              <w:adjustRightInd w:val="0"/>
              <w:spacing w:before="60" w:after="60"/>
              <w:rPr>
                <w:rFonts w:cs="Arial"/>
                <w:bCs/>
                <w:sz w:val="20"/>
                <w:szCs w:val="20"/>
                <w:lang w:val="en-CA"/>
              </w:rPr>
            </w:pPr>
            <w:r w:rsidRPr="00B9529C">
              <w:rPr>
                <w:bCs/>
                <w:sz w:val="20"/>
                <w:szCs w:val="20"/>
                <w:lang w:val="en-CA"/>
              </w:rPr>
              <w:t>Tara</w:t>
            </w:r>
            <w:r w:rsidR="003B4EEC">
              <w:rPr>
                <w:bCs/>
                <w:sz w:val="20"/>
                <w:szCs w:val="20"/>
                <w:lang w:val="en-CA"/>
              </w:rPr>
              <w:t> </w:t>
            </w:r>
            <w:r w:rsidRPr="00B9529C">
              <w:rPr>
                <w:bCs/>
                <w:sz w:val="20"/>
                <w:szCs w:val="20"/>
                <w:lang w:val="en-CA"/>
              </w:rPr>
              <w:t>Trinko-Lake (É.-U.)</w:t>
            </w:r>
          </w:p>
          <w:p w14:paraId="74911D4F" w14:textId="1F74F86E" w:rsidR="00E45C0B" w:rsidRPr="00B9529C" w:rsidRDefault="00E45C0B" w:rsidP="00DD0B3A">
            <w:pPr>
              <w:autoSpaceDE w:val="0"/>
              <w:autoSpaceDN w:val="0"/>
              <w:adjustRightInd w:val="0"/>
              <w:spacing w:before="60" w:after="60"/>
              <w:rPr>
                <w:rFonts w:cs="Arial"/>
                <w:bCs/>
                <w:sz w:val="20"/>
                <w:szCs w:val="20"/>
                <w:lang w:val="en-CA"/>
              </w:rPr>
            </w:pPr>
            <w:r w:rsidRPr="00B9529C">
              <w:rPr>
                <w:bCs/>
                <w:sz w:val="20"/>
                <w:szCs w:val="20"/>
                <w:lang w:val="en-CA"/>
              </w:rPr>
              <w:t>John</w:t>
            </w:r>
            <w:r w:rsidR="003B4EEC">
              <w:rPr>
                <w:bCs/>
                <w:sz w:val="20"/>
                <w:szCs w:val="20"/>
                <w:lang w:val="en-CA"/>
              </w:rPr>
              <w:t> </w:t>
            </w:r>
            <w:r w:rsidRPr="00B9529C">
              <w:rPr>
                <w:bCs/>
                <w:sz w:val="20"/>
                <w:szCs w:val="20"/>
                <w:lang w:val="en-CA"/>
              </w:rPr>
              <w:t>Ne</w:t>
            </w:r>
            <w:r w:rsidR="003B4EEC">
              <w:rPr>
                <w:bCs/>
                <w:sz w:val="20"/>
                <w:szCs w:val="20"/>
                <w:lang w:val="en-CA"/>
              </w:rPr>
              <w:t>i</w:t>
            </w:r>
            <w:r w:rsidRPr="00B9529C">
              <w:rPr>
                <w:bCs/>
                <w:sz w:val="20"/>
                <w:szCs w:val="20"/>
                <w:lang w:val="en-CA"/>
              </w:rPr>
              <w:t xml:space="preserve">lson </w:t>
            </w:r>
          </w:p>
        </w:tc>
      </w:tr>
      <w:tr w:rsidR="00E45C0B" w:rsidRPr="00CE6A09" w14:paraId="32A4F9CC" w14:textId="77777777" w:rsidTr="00E16FA6">
        <w:tc>
          <w:tcPr>
            <w:tcW w:w="1885" w:type="dxa"/>
          </w:tcPr>
          <w:p w14:paraId="6DD93818" w14:textId="29EA86A2" w:rsidR="00E45C0B" w:rsidRPr="00A0159E" w:rsidRDefault="002A0631" w:rsidP="00AD1CA4">
            <w:pPr>
              <w:autoSpaceDE w:val="0"/>
              <w:autoSpaceDN w:val="0"/>
              <w:adjustRightInd w:val="0"/>
              <w:spacing w:before="60" w:after="60"/>
              <w:rPr>
                <w:rFonts w:cs="Arial"/>
                <w:b/>
                <w:bCs/>
                <w:sz w:val="20"/>
                <w:szCs w:val="20"/>
                <w:u w:val="single"/>
              </w:rPr>
            </w:pPr>
            <w:r>
              <w:rPr>
                <w:sz w:val="20"/>
                <w:szCs w:val="20"/>
              </w:rPr>
              <w:t xml:space="preserve">De </w:t>
            </w:r>
            <w:r w:rsidR="00E45C0B">
              <w:rPr>
                <w:sz w:val="20"/>
                <w:szCs w:val="20"/>
              </w:rPr>
              <w:t>9 h 15 à 10 h 15</w:t>
            </w:r>
          </w:p>
        </w:tc>
        <w:tc>
          <w:tcPr>
            <w:tcW w:w="4680" w:type="dxa"/>
          </w:tcPr>
          <w:p w14:paraId="4149E4C8" w14:textId="656B50CD" w:rsidR="00E45C0B" w:rsidRPr="00A0159E" w:rsidRDefault="00E45C0B" w:rsidP="00AD1CA4">
            <w:pPr>
              <w:autoSpaceDE w:val="0"/>
              <w:autoSpaceDN w:val="0"/>
              <w:adjustRightInd w:val="0"/>
              <w:spacing w:before="60" w:after="60"/>
              <w:rPr>
                <w:rFonts w:cs="Arial"/>
                <w:sz w:val="20"/>
                <w:szCs w:val="20"/>
              </w:rPr>
            </w:pPr>
            <w:r>
              <w:rPr>
                <w:sz w:val="20"/>
                <w:szCs w:val="20"/>
              </w:rPr>
              <w:t xml:space="preserve">Limande à queue jaune du </w:t>
            </w:r>
            <w:r w:rsidR="00E8153D">
              <w:rPr>
                <w:sz w:val="20"/>
                <w:szCs w:val="20"/>
              </w:rPr>
              <w:t>banc Georges</w:t>
            </w:r>
          </w:p>
          <w:p w14:paraId="4ADAB46E" w14:textId="77777777" w:rsidR="00E45C0B" w:rsidRPr="00A0159E" w:rsidRDefault="00E45C0B" w:rsidP="00AD1CA4">
            <w:pPr>
              <w:autoSpaceDE w:val="0"/>
              <w:autoSpaceDN w:val="0"/>
              <w:adjustRightInd w:val="0"/>
              <w:spacing w:before="60" w:after="60"/>
              <w:rPr>
                <w:rFonts w:cs="Arial"/>
                <w:sz w:val="20"/>
                <w:szCs w:val="20"/>
              </w:rPr>
            </w:pPr>
            <w:r>
              <w:rPr>
                <w:sz w:val="20"/>
                <w:szCs w:val="20"/>
              </w:rPr>
              <w:t>Intrants : Pêche commerciale et relevés</w:t>
            </w:r>
          </w:p>
        </w:tc>
        <w:tc>
          <w:tcPr>
            <w:tcW w:w="2785" w:type="dxa"/>
          </w:tcPr>
          <w:p w14:paraId="4348CFC1" w14:textId="6107B531" w:rsidR="00E45C0B" w:rsidRPr="00B9529C" w:rsidRDefault="00E45C0B" w:rsidP="00AD1CA4">
            <w:pPr>
              <w:autoSpaceDE w:val="0"/>
              <w:autoSpaceDN w:val="0"/>
              <w:adjustRightInd w:val="0"/>
              <w:spacing w:before="60" w:after="60"/>
              <w:rPr>
                <w:rFonts w:cs="Arial"/>
                <w:sz w:val="20"/>
                <w:szCs w:val="20"/>
                <w:lang w:val="en-CA"/>
              </w:rPr>
            </w:pPr>
            <w:r w:rsidRPr="00B9529C">
              <w:rPr>
                <w:sz w:val="20"/>
                <w:szCs w:val="20"/>
                <w:lang w:val="en-CA"/>
              </w:rPr>
              <w:t>Chris</w:t>
            </w:r>
            <w:r w:rsidR="00B44EEC">
              <w:rPr>
                <w:sz w:val="20"/>
                <w:szCs w:val="20"/>
                <w:lang w:val="en-CA"/>
              </w:rPr>
              <w:t> </w:t>
            </w:r>
            <w:r w:rsidRPr="00B9529C">
              <w:rPr>
                <w:sz w:val="20"/>
                <w:szCs w:val="20"/>
                <w:lang w:val="en-CA"/>
              </w:rPr>
              <w:t>Legault (É.-U.)</w:t>
            </w:r>
          </w:p>
          <w:p w14:paraId="5B56F940" w14:textId="77777777" w:rsidR="00E45C0B" w:rsidRPr="00B9529C" w:rsidRDefault="00E45C0B" w:rsidP="00AD1CA4">
            <w:pPr>
              <w:autoSpaceDE w:val="0"/>
              <w:autoSpaceDN w:val="0"/>
              <w:adjustRightInd w:val="0"/>
              <w:spacing w:before="60" w:after="60"/>
              <w:rPr>
                <w:rFonts w:cs="Arial"/>
                <w:b/>
                <w:bCs/>
                <w:sz w:val="20"/>
                <w:szCs w:val="20"/>
                <w:u w:val="single"/>
                <w:lang w:val="en-CA"/>
              </w:rPr>
            </w:pPr>
            <w:r w:rsidRPr="00B9529C">
              <w:rPr>
                <w:sz w:val="20"/>
                <w:szCs w:val="20"/>
                <w:lang w:val="en-CA"/>
              </w:rPr>
              <w:t>Monica Finley (Canada)</w:t>
            </w:r>
          </w:p>
        </w:tc>
      </w:tr>
      <w:tr w:rsidR="00E45C0B" w:rsidRPr="00A0159E" w14:paraId="43831761" w14:textId="77777777" w:rsidTr="00E16FA6">
        <w:tc>
          <w:tcPr>
            <w:tcW w:w="1885" w:type="dxa"/>
            <w:shd w:val="clear" w:color="auto" w:fill="F2F2F2" w:themeFill="background1" w:themeFillShade="F2"/>
          </w:tcPr>
          <w:p w14:paraId="7E0FD003" w14:textId="253BCB05" w:rsidR="00E45C0B" w:rsidRPr="00A0159E" w:rsidRDefault="002A0631" w:rsidP="00AD1CA4">
            <w:pPr>
              <w:autoSpaceDE w:val="0"/>
              <w:autoSpaceDN w:val="0"/>
              <w:adjustRightInd w:val="0"/>
              <w:spacing w:before="60" w:after="60"/>
              <w:rPr>
                <w:rFonts w:cs="Arial"/>
                <w:b/>
                <w:bCs/>
                <w:sz w:val="20"/>
                <w:szCs w:val="20"/>
                <w:u w:val="single"/>
              </w:rPr>
            </w:pPr>
            <w:r>
              <w:rPr>
                <w:sz w:val="20"/>
                <w:szCs w:val="20"/>
              </w:rPr>
              <w:t xml:space="preserve">De </w:t>
            </w:r>
            <w:r w:rsidR="00E45C0B">
              <w:rPr>
                <w:sz w:val="20"/>
                <w:szCs w:val="20"/>
              </w:rPr>
              <w:t>10 h 15 à 10 h 30</w:t>
            </w:r>
          </w:p>
        </w:tc>
        <w:tc>
          <w:tcPr>
            <w:tcW w:w="7465" w:type="dxa"/>
            <w:gridSpan w:val="2"/>
            <w:shd w:val="clear" w:color="auto" w:fill="F2F2F2" w:themeFill="background1" w:themeFillShade="F2"/>
          </w:tcPr>
          <w:p w14:paraId="3FABF92D" w14:textId="77777777" w:rsidR="00E45C0B" w:rsidRPr="00A0159E" w:rsidRDefault="00E45C0B" w:rsidP="00AD1CA4">
            <w:pPr>
              <w:autoSpaceDE w:val="0"/>
              <w:autoSpaceDN w:val="0"/>
              <w:adjustRightInd w:val="0"/>
              <w:spacing w:before="60" w:after="60"/>
              <w:rPr>
                <w:rFonts w:cs="Arial"/>
                <w:b/>
                <w:bCs/>
                <w:sz w:val="20"/>
                <w:szCs w:val="20"/>
              </w:rPr>
            </w:pPr>
            <w:r>
              <w:rPr>
                <w:b/>
                <w:i/>
                <w:sz w:val="20"/>
                <w:szCs w:val="20"/>
                <w:u w:val="single"/>
              </w:rPr>
              <w:t>Pause</w:t>
            </w:r>
          </w:p>
        </w:tc>
      </w:tr>
      <w:tr w:rsidR="00E45C0B" w:rsidRPr="00CE6A09" w14:paraId="7D15EFE2" w14:textId="77777777" w:rsidTr="00E16FA6">
        <w:tc>
          <w:tcPr>
            <w:tcW w:w="1885" w:type="dxa"/>
          </w:tcPr>
          <w:p w14:paraId="1724AA86" w14:textId="7ED230A9" w:rsidR="00E45C0B" w:rsidRPr="00A0159E" w:rsidRDefault="002A0631" w:rsidP="00AD1CA4">
            <w:pPr>
              <w:autoSpaceDE w:val="0"/>
              <w:autoSpaceDN w:val="0"/>
              <w:adjustRightInd w:val="0"/>
              <w:spacing w:before="60" w:after="60"/>
              <w:rPr>
                <w:rFonts w:cs="Arial"/>
                <w:sz w:val="20"/>
                <w:szCs w:val="20"/>
              </w:rPr>
            </w:pPr>
            <w:r>
              <w:rPr>
                <w:sz w:val="20"/>
                <w:szCs w:val="20"/>
              </w:rPr>
              <w:t xml:space="preserve">De </w:t>
            </w:r>
            <w:r w:rsidR="00E45C0B">
              <w:rPr>
                <w:sz w:val="20"/>
                <w:szCs w:val="20"/>
              </w:rPr>
              <w:t>10 h 30 à 11 h 30</w:t>
            </w:r>
          </w:p>
        </w:tc>
        <w:tc>
          <w:tcPr>
            <w:tcW w:w="4680" w:type="dxa"/>
          </w:tcPr>
          <w:p w14:paraId="74AE98B0" w14:textId="7FBF0824" w:rsidR="00E45C0B" w:rsidRPr="00A0159E" w:rsidRDefault="00E45C0B" w:rsidP="00AD1CA4">
            <w:pPr>
              <w:tabs>
                <w:tab w:val="left" w:pos="1985"/>
              </w:tabs>
              <w:autoSpaceDE w:val="0"/>
              <w:autoSpaceDN w:val="0"/>
              <w:adjustRightInd w:val="0"/>
              <w:spacing w:before="60" w:after="60"/>
              <w:rPr>
                <w:rFonts w:cs="Arial"/>
                <w:sz w:val="20"/>
                <w:szCs w:val="20"/>
              </w:rPr>
            </w:pPr>
            <w:r>
              <w:rPr>
                <w:sz w:val="20"/>
                <w:szCs w:val="20"/>
              </w:rPr>
              <w:t xml:space="preserve">Limande à queue jaune du </w:t>
            </w:r>
            <w:r w:rsidR="00E8153D">
              <w:rPr>
                <w:sz w:val="20"/>
                <w:szCs w:val="20"/>
              </w:rPr>
              <w:t>banc Georges</w:t>
            </w:r>
          </w:p>
          <w:p w14:paraId="6924991D" w14:textId="77777777" w:rsidR="00E45C0B" w:rsidRPr="00A0159E" w:rsidRDefault="00E45C0B" w:rsidP="00AD1CA4">
            <w:pPr>
              <w:autoSpaceDE w:val="0"/>
              <w:autoSpaceDN w:val="0"/>
              <w:adjustRightInd w:val="0"/>
              <w:spacing w:before="60" w:after="60"/>
              <w:rPr>
                <w:rFonts w:cs="Arial"/>
                <w:sz w:val="20"/>
                <w:szCs w:val="20"/>
              </w:rPr>
            </w:pPr>
            <w:r>
              <w:rPr>
                <w:sz w:val="20"/>
                <w:szCs w:val="20"/>
              </w:rPr>
              <w:t>Analyse empirique</w:t>
            </w:r>
          </w:p>
          <w:p w14:paraId="3C12CD12" w14:textId="77777777" w:rsidR="00E45C0B" w:rsidRPr="00A0159E" w:rsidRDefault="00E45C0B" w:rsidP="00AD1CA4">
            <w:pPr>
              <w:autoSpaceDE w:val="0"/>
              <w:autoSpaceDN w:val="0"/>
              <w:adjustRightInd w:val="0"/>
              <w:spacing w:before="60" w:after="60"/>
              <w:rPr>
                <w:rFonts w:cs="Arial"/>
                <w:sz w:val="20"/>
                <w:szCs w:val="20"/>
              </w:rPr>
            </w:pPr>
            <w:r>
              <w:rPr>
                <w:sz w:val="20"/>
                <w:szCs w:val="20"/>
              </w:rPr>
              <w:t>Discussion</w:t>
            </w:r>
          </w:p>
        </w:tc>
        <w:tc>
          <w:tcPr>
            <w:tcW w:w="2785" w:type="dxa"/>
          </w:tcPr>
          <w:p w14:paraId="3851F5B8" w14:textId="5EA84A22" w:rsidR="00E45C0B" w:rsidRPr="00B9529C" w:rsidRDefault="00E45C0B" w:rsidP="00AD1CA4">
            <w:pPr>
              <w:autoSpaceDE w:val="0"/>
              <w:autoSpaceDN w:val="0"/>
              <w:adjustRightInd w:val="0"/>
              <w:spacing w:before="60" w:after="60"/>
              <w:rPr>
                <w:rFonts w:cs="Arial"/>
                <w:sz w:val="20"/>
                <w:szCs w:val="20"/>
                <w:lang w:val="en-CA"/>
              </w:rPr>
            </w:pPr>
            <w:r w:rsidRPr="00B9529C">
              <w:rPr>
                <w:sz w:val="20"/>
                <w:szCs w:val="20"/>
                <w:lang w:val="en-CA"/>
              </w:rPr>
              <w:t>Chris</w:t>
            </w:r>
            <w:r w:rsidR="00B44EEC">
              <w:rPr>
                <w:sz w:val="20"/>
                <w:szCs w:val="20"/>
                <w:lang w:val="en-CA"/>
              </w:rPr>
              <w:t> </w:t>
            </w:r>
            <w:r w:rsidRPr="00B9529C">
              <w:rPr>
                <w:sz w:val="20"/>
                <w:szCs w:val="20"/>
                <w:lang w:val="en-CA"/>
              </w:rPr>
              <w:t>Legault (É.-U.)</w:t>
            </w:r>
          </w:p>
          <w:p w14:paraId="3B4C66F1" w14:textId="77777777" w:rsidR="00E45C0B" w:rsidRPr="00B9529C" w:rsidRDefault="00E45C0B" w:rsidP="00AD1CA4">
            <w:pPr>
              <w:autoSpaceDE w:val="0"/>
              <w:autoSpaceDN w:val="0"/>
              <w:adjustRightInd w:val="0"/>
              <w:spacing w:before="60" w:after="60"/>
              <w:rPr>
                <w:rFonts w:cs="Arial"/>
                <w:sz w:val="20"/>
                <w:szCs w:val="20"/>
                <w:lang w:val="en-CA"/>
              </w:rPr>
            </w:pPr>
            <w:r w:rsidRPr="00B9529C">
              <w:rPr>
                <w:sz w:val="20"/>
                <w:szCs w:val="20"/>
                <w:lang w:val="en-CA"/>
              </w:rPr>
              <w:t>Monica Finley (Canada)</w:t>
            </w:r>
          </w:p>
        </w:tc>
      </w:tr>
      <w:tr w:rsidR="00E45C0B" w:rsidRPr="00A0159E" w14:paraId="3D53B0A3" w14:textId="77777777" w:rsidTr="00E16FA6">
        <w:tc>
          <w:tcPr>
            <w:tcW w:w="1885" w:type="dxa"/>
          </w:tcPr>
          <w:p w14:paraId="4DA0A41E" w14:textId="60A1C8D7" w:rsidR="00E45C0B" w:rsidRPr="00A0159E" w:rsidRDefault="002A0631" w:rsidP="00AD1CA4">
            <w:pPr>
              <w:autoSpaceDE w:val="0"/>
              <w:autoSpaceDN w:val="0"/>
              <w:adjustRightInd w:val="0"/>
              <w:spacing w:before="60" w:after="60"/>
              <w:rPr>
                <w:rFonts w:cs="Arial"/>
                <w:sz w:val="20"/>
                <w:szCs w:val="20"/>
              </w:rPr>
            </w:pPr>
            <w:r>
              <w:rPr>
                <w:sz w:val="20"/>
                <w:szCs w:val="20"/>
              </w:rPr>
              <w:t xml:space="preserve">De </w:t>
            </w:r>
            <w:r w:rsidR="00E45C0B">
              <w:rPr>
                <w:sz w:val="20"/>
                <w:szCs w:val="20"/>
              </w:rPr>
              <w:t>11 h 30 à 12 h</w:t>
            </w:r>
          </w:p>
        </w:tc>
        <w:tc>
          <w:tcPr>
            <w:tcW w:w="4680" w:type="dxa"/>
          </w:tcPr>
          <w:p w14:paraId="26C4E5D9" w14:textId="6234E2DE" w:rsidR="00E45C0B" w:rsidRPr="00A0159E" w:rsidRDefault="00E45C0B" w:rsidP="00DD0B3A">
            <w:pPr>
              <w:tabs>
                <w:tab w:val="left" w:pos="1985"/>
              </w:tabs>
              <w:autoSpaceDE w:val="0"/>
              <w:autoSpaceDN w:val="0"/>
              <w:adjustRightInd w:val="0"/>
              <w:spacing w:before="60" w:after="60"/>
              <w:rPr>
                <w:rFonts w:cs="Arial"/>
                <w:sz w:val="20"/>
                <w:szCs w:val="20"/>
              </w:rPr>
            </w:pPr>
            <w:r>
              <w:rPr>
                <w:bCs/>
                <w:sz w:val="20"/>
                <w:szCs w:val="20"/>
              </w:rPr>
              <w:t xml:space="preserve">Estimations pour la limande à queue jaune du </w:t>
            </w:r>
            <w:r w:rsidR="00E8153D">
              <w:rPr>
                <w:bCs/>
                <w:sz w:val="20"/>
                <w:szCs w:val="20"/>
              </w:rPr>
              <w:t>banc Georges</w:t>
            </w:r>
            <w:r>
              <w:rPr>
                <w:bCs/>
                <w:sz w:val="20"/>
                <w:szCs w:val="20"/>
              </w:rPr>
              <w:t>, tirées des relevés par dragage du pétoncle à l</w:t>
            </w:r>
            <w:r w:rsidR="001B2BE1">
              <w:rPr>
                <w:bCs/>
                <w:sz w:val="20"/>
                <w:szCs w:val="20"/>
              </w:rPr>
              <w:t>’</w:t>
            </w:r>
            <w:r>
              <w:rPr>
                <w:bCs/>
                <w:sz w:val="20"/>
                <w:szCs w:val="20"/>
              </w:rPr>
              <w:t>échelle de l</w:t>
            </w:r>
            <w:r w:rsidR="001B2BE1">
              <w:rPr>
                <w:bCs/>
                <w:sz w:val="20"/>
                <w:szCs w:val="20"/>
              </w:rPr>
              <w:t>’</w:t>
            </w:r>
            <w:r>
              <w:rPr>
                <w:bCs/>
                <w:sz w:val="20"/>
                <w:szCs w:val="20"/>
              </w:rPr>
              <w:t xml:space="preserve">industrie effectués par le VIMS dans la zone </w:t>
            </w:r>
            <w:r w:rsidR="00B44EEC">
              <w:rPr>
                <w:bCs/>
                <w:sz w:val="20"/>
                <w:szCs w:val="20"/>
              </w:rPr>
              <w:t>fermée </w:t>
            </w:r>
            <w:r>
              <w:rPr>
                <w:bCs/>
                <w:sz w:val="20"/>
                <w:szCs w:val="20"/>
              </w:rPr>
              <w:t>II et les abords</w:t>
            </w:r>
            <w:r w:rsidR="00A01E7B">
              <w:rPr>
                <w:bCs/>
                <w:sz w:val="20"/>
                <w:szCs w:val="20"/>
              </w:rPr>
              <w:t xml:space="preserve"> </w:t>
            </w:r>
          </w:p>
        </w:tc>
        <w:tc>
          <w:tcPr>
            <w:tcW w:w="2785" w:type="dxa"/>
          </w:tcPr>
          <w:p w14:paraId="6AB26C3A" w14:textId="18BC5930" w:rsidR="00E45C0B" w:rsidRPr="00A0159E" w:rsidRDefault="00E45C0B" w:rsidP="00AD1CA4">
            <w:pPr>
              <w:autoSpaceDE w:val="0"/>
              <w:autoSpaceDN w:val="0"/>
              <w:adjustRightInd w:val="0"/>
              <w:spacing w:before="60" w:after="60"/>
              <w:rPr>
                <w:rFonts w:cs="Arial"/>
                <w:sz w:val="20"/>
                <w:szCs w:val="20"/>
              </w:rPr>
            </w:pPr>
            <w:r>
              <w:rPr>
                <w:sz w:val="20"/>
                <w:szCs w:val="20"/>
              </w:rPr>
              <w:t>Sally</w:t>
            </w:r>
            <w:r w:rsidR="00B44EEC">
              <w:rPr>
                <w:sz w:val="20"/>
                <w:szCs w:val="20"/>
              </w:rPr>
              <w:t> </w:t>
            </w:r>
            <w:r>
              <w:rPr>
                <w:sz w:val="20"/>
                <w:szCs w:val="20"/>
              </w:rPr>
              <w:t>Roman et David</w:t>
            </w:r>
            <w:r w:rsidR="00B44EEC">
              <w:rPr>
                <w:sz w:val="20"/>
                <w:szCs w:val="20"/>
              </w:rPr>
              <w:t> </w:t>
            </w:r>
            <w:r>
              <w:rPr>
                <w:sz w:val="20"/>
                <w:szCs w:val="20"/>
              </w:rPr>
              <w:t>Rudders (É.-U.)</w:t>
            </w:r>
          </w:p>
          <w:p w14:paraId="59EEE853" w14:textId="77777777" w:rsidR="00E45C0B" w:rsidRPr="00A0159E" w:rsidRDefault="00E45C0B" w:rsidP="00AD1CA4">
            <w:pPr>
              <w:autoSpaceDE w:val="0"/>
              <w:autoSpaceDN w:val="0"/>
              <w:adjustRightInd w:val="0"/>
              <w:spacing w:before="60" w:after="60"/>
              <w:rPr>
                <w:rFonts w:cs="Arial"/>
                <w:sz w:val="20"/>
                <w:szCs w:val="20"/>
              </w:rPr>
            </w:pPr>
          </w:p>
        </w:tc>
      </w:tr>
      <w:tr w:rsidR="00E45C0B" w:rsidRPr="00A0159E" w14:paraId="5423A87E" w14:textId="77777777" w:rsidTr="00E16FA6">
        <w:tc>
          <w:tcPr>
            <w:tcW w:w="1885" w:type="dxa"/>
            <w:shd w:val="clear" w:color="auto" w:fill="F2F2F2" w:themeFill="background1" w:themeFillShade="F2"/>
          </w:tcPr>
          <w:p w14:paraId="4EAC3A0D" w14:textId="0CB63DF6" w:rsidR="00E45C0B" w:rsidRPr="00A0159E" w:rsidRDefault="002A0631" w:rsidP="00AD1CA4">
            <w:pPr>
              <w:autoSpaceDE w:val="0"/>
              <w:autoSpaceDN w:val="0"/>
              <w:adjustRightInd w:val="0"/>
              <w:spacing w:before="60" w:after="60"/>
              <w:rPr>
                <w:rFonts w:cs="Arial"/>
                <w:sz w:val="20"/>
                <w:szCs w:val="20"/>
              </w:rPr>
            </w:pPr>
            <w:r>
              <w:rPr>
                <w:sz w:val="20"/>
                <w:szCs w:val="20"/>
              </w:rPr>
              <w:t xml:space="preserve">De </w:t>
            </w:r>
            <w:r w:rsidR="00E45C0B">
              <w:rPr>
                <w:sz w:val="20"/>
                <w:szCs w:val="20"/>
              </w:rPr>
              <w:t>12 h à 13</w:t>
            </w:r>
            <w:r w:rsidR="00D80605">
              <w:rPr>
                <w:sz w:val="20"/>
                <w:szCs w:val="20"/>
              </w:rPr>
              <w:t> </w:t>
            </w:r>
            <w:r w:rsidR="00E45C0B">
              <w:rPr>
                <w:sz w:val="20"/>
                <w:szCs w:val="20"/>
              </w:rPr>
              <w:t>h</w:t>
            </w:r>
          </w:p>
        </w:tc>
        <w:tc>
          <w:tcPr>
            <w:tcW w:w="7465" w:type="dxa"/>
            <w:gridSpan w:val="2"/>
            <w:shd w:val="clear" w:color="auto" w:fill="F2F2F2" w:themeFill="background1" w:themeFillShade="F2"/>
          </w:tcPr>
          <w:p w14:paraId="403BE096" w14:textId="77777777" w:rsidR="00E45C0B" w:rsidRPr="00A0159E" w:rsidRDefault="00E45C0B" w:rsidP="00AD1CA4">
            <w:pPr>
              <w:autoSpaceDE w:val="0"/>
              <w:autoSpaceDN w:val="0"/>
              <w:adjustRightInd w:val="0"/>
              <w:spacing w:before="60" w:after="60"/>
              <w:rPr>
                <w:rFonts w:cs="Arial"/>
                <w:b/>
                <w:bCs/>
                <w:sz w:val="20"/>
                <w:szCs w:val="20"/>
              </w:rPr>
            </w:pPr>
            <w:r>
              <w:rPr>
                <w:b/>
                <w:i/>
                <w:sz w:val="20"/>
                <w:szCs w:val="20"/>
                <w:u w:val="single"/>
              </w:rPr>
              <w:t>Pause-repas</w:t>
            </w:r>
          </w:p>
        </w:tc>
      </w:tr>
      <w:tr w:rsidR="00E45C0B" w:rsidRPr="00CE6A09" w14:paraId="1C8524AE" w14:textId="77777777" w:rsidTr="00E16FA6">
        <w:tc>
          <w:tcPr>
            <w:tcW w:w="1885" w:type="dxa"/>
          </w:tcPr>
          <w:p w14:paraId="7703C6FB" w14:textId="35A9E939" w:rsidR="00E45C0B" w:rsidRPr="00A0159E" w:rsidRDefault="002A0631" w:rsidP="00AD1CA4">
            <w:pPr>
              <w:autoSpaceDE w:val="0"/>
              <w:autoSpaceDN w:val="0"/>
              <w:adjustRightInd w:val="0"/>
              <w:spacing w:before="60" w:after="60"/>
              <w:rPr>
                <w:rFonts w:cs="Arial"/>
                <w:sz w:val="20"/>
                <w:szCs w:val="20"/>
              </w:rPr>
            </w:pPr>
            <w:r>
              <w:rPr>
                <w:sz w:val="20"/>
                <w:szCs w:val="20"/>
              </w:rPr>
              <w:t xml:space="preserve">De </w:t>
            </w:r>
            <w:r w:rsidR="00E45C0B">
              <w:rPr>
                <w:sz w:val="20"/>
                <w:szCs w:val="20"/>
              </w:rPr>
              <w:t>13 h à 15 h</w:t>
            </w:r>
          </w:p>
        </w:tc>
        <w:tc>
          <w:tcPr>
            <w:tcW w:w="4680" w:type="dxa"/>
          </w:tcPr>
          <w:p w14:paraId="66F589E3" w14:textId="4673D0B2" w:rsidR="00E45C0B" w:rsidRPr="00A0159E" w:rsidRDefault="00E45C0B" w:rsidP="00AD1CA4">
            <w:pPr>
              <w:tabs>
                <w:tab w:val="left" w:pos="1985"/>
              </w:tabs>
              <w:autoSpaceDE w:val="0"/>
              <w:autoSpaceDN w:val="0"/>
              <w:adjustRightInd w:val="0"/>
              <w:spacing w:before="60" w:after="60"/>
              <w:rPr>
                <w:rFonts w:cs="Arial"/>
                <w:sz w:val="20"/>
                <w:szCs w:val="20"/>
              </w:rPr>
            </w:pPr>
            <w:r>
              <w:rPr>
                <w:sz w:val="20"/>
                <w:szCs w:val="20"/>
              </w:rPr>
              <w:t>Aiglefin de l</w:t>
            </w:r>
            <w:r w:rsidR="001B2BE1">
              <w:rPr>
                <w:sz w:val="20"/>
                <w:szCs w:val="20"/>
              </w:rPr>
              <w:t>’</w:t>
            </w:r>
            <w:r>
              <w:rPr>
                <w:sz w:val="20"/>
                <w:szCs w:val="20"/>
              </w:rPr>
              <w:t xml:space="preserve">est du </w:t>
            </w:r>
            <w:r w:rsidR="00E8153D">
              <w:rPr>
                <w:sz w:val="20"/>
                <w:szCs w:val="20"/>
              </w:rPr>
              <w:t>banc Georges</w:t>
            </w:r>
          </w:p>
          <w:p w14:paraId="74B7A94C" w14:textId="77777777" w:rsidR="00E45C0B" w:rsidRPr="00A0159E" w:rsidRDefault="00E45C0B" w:rsidP="00AD1CA4">
            <w:pPr>
              <w:tabs>
                <w:tab w:val="left" w:pos="1985"/>
              </w:tabs>
              <w:autoSpaceDE w:val="0"/>
              <w:autoSpaceDN w:val="0"/>
              <w:adjustRightInd w:val="0"/>
              <w:spacing w:before="60" w:after="60"/>
              <w:rPr>
                <w:rFonts w:cs="Arial"/>
                <w:sz w:val="20"/>
                <w:szCs w:val="20"/>
              </w:rPr>
            </w:pPr>
            <w:r>
              <w:rPr>
                <w:sz w:val="20"/>
                <w:szCs w:val="20"/>
              </w:rPr>
              <w:t>Intrants : Pêche commerciale et relevés</w:t>
            </w:r>
          </w:p>
          <w:p w14:paraId="44E6AEA9" w14:textId="01358797" w:rsidR="00E45C0B" w:rsidRPr="00A0159E" w:rsidRDefault="00E45C0B" w:rsidP="00DD0B3A">
            <w:pPr>
              <w:tabs>
                <w:tab w:val="left" w:pos="1985"/>
              </w:tabs>
              <w:autoSpaceDE w:val="0"/>
              <w:autoSpaceDN w:val="0"/>
              <w:adjustRightInd w:val="0"/>
              <w:spacing w:before="60" w:after="60"/>
              <w:rPr>
                <w:rFonts w:cs="Arial"/>
                <w:sz w:val="20"/>
                <w:szCs w:val="20"/>
              </w:rPr>
            </w:pPr>
            <w:r>
              <w:rPr>
                <w:sz w:val="20"/>
                <w:szCs w:val="20"/>
              </w:rPr>
              <w:t xml:space="preserve">Application de la formulation </w:t>
            </w:r>
            <w:r w:rsidR="00A01E7B" w:rsidRPr="008E5670">
              <w:rPr>
                <w:sz w:val="20"/>
              </w:rPr>
              <w:t xml:space="preserve">d’analyse de population virtuelle </w:t>
            </w:r>
            <w:r w:rsidR="00A01E7B" w:rsidRPr="00DD0B3A">
              <w:rPr>
                <w:sz w:val="20"/>
                <w:szCs w:val="20"/>
              </w:rPr>
              <w:t xml:space="preserve">(APV) </w:t>
            </w:r>
            <w:r>
              <w:rPr>
                <w:sz w:val="20"/>
                <w:szCs w:val="20"/>
              </w:rPr>
              <w:t>et projections de l</w:t>
            </w:r>
            <w:r w:rsidR="001B2BE1">
              <w:rPr>
                <w:sz w:val="20"/>
                <w:szCs w:val="20"/>
              </w:rPr>
              <w:t>’</w:t>
            </w:r>
            <w:r>
              <w:rPr>
                <w:sz w:val="20"/>
                <w:szCs w:val="20"/>
              </w:rPr>
              <w:t>APV</w:t>
            </w:r>
          </w:p>
        </w:tc>
        <w:tc>
          <w:tcPr>
            <w:tcW w:w="2785" w:type="dxa"/>
          </w:tcPr>
          <w:p w14:paraId="60C77284" w14:textId="77777777" w:rsidR="00E45C0B" w:rsidRPr="00B9529C" w:rsidRDefault="00E45C0B" w:rsidP="00AD1CA4">
            <w:pPr>
              <w:autoSpaceDE w:val="0"/>
              <w:autoSpaceDN w:val="0"/>
              <w:adjustRightInd w:val="0"/>
              <w:spacing w:before="60" w:after="60"/>
              <w:rPr>
                <w:rFonts w:cs="Arial"/>
                <w:bCs/>
                <w:sz w:val="20"/>
                <w:szCs w:val="20"/>
                <w:lang w:val="en-CA"/>
              </w:rPr>
            </w:pPr>
            <w:r w:rsidRPr="00B9529C">
              <w:rPr>
                <w:bCs/>
                <w:sz w:val="20"/>
                <w:szCs w:val="20"/>
                <w:lang w:val="en-CA"/>
              </w:rPr>
              <w:t>Monica Finley (Canada)</w:t>
            </w:r>
          </w:p>
          <w:p w14:paraId="5E812C16" w14:textId="7D9F586F" w:rsidR="00E45C0B" w:rsidRPr="00B9529C" w:rsidRDefault="00E45C0B" w:rsidP="00AD1CA4">
            <w:pPr>
              <w:autoSpaceDE w:val="0"/>
              <w:autoSpaceDN w:val="0"/>
              <w:adjustRightInd w:val="0"/>
              <w:spacing w:before="60" w:after="60"/>
              <w:rPr>
                <w:rFonts w:cs="Arial"/>
                <w:sz w:val="20"/>
                <w:szCs w:val="20"/>
                <w:lang w:val="en-CA"/>
              </w:rPr>
            </w:pPr>
            <w:r w:rsidRPr="00B9529C">
              <w:rPr>
                <w:bCs/>
                <w:sz w:val="20"/>
                <w:szCs w:val="20"/>
                <w:lang w:val="en-CA"/>
              </w:rPr>
              <w:t>Liz</w:t>
            </w:r>
            <w:r w:rsidR="001E4DA7">
              <w:rPr>
                <w:bCs/>
                <w:sz w:val="20"/>
                <w:szCs w:val="20"/>
                <w:lang w:val="en-CA"/>
              </w:rPr>
              <w:t> </w:t>
            </w:r>
            <w:r w:rsidRPr="00B9529C">
              <w:rPr>
                <w:bCs/>
                <w:sz w:val="20"/>
                <w:szCs w:val="20"/>
                <w:lang w:val="en-CA"/>
              </w:rPr>
              <w:t>Brooks (É.-U.)</w:t>
            </w:r>
          </w:p>
        </w:tc>
      </w:tr>
      <w:tr w:rsidR="00E45C0B" w:rsidRPr="00A0159E" w14:paraId="43183477" w14:textId="77777777" w:rsidTr="00E16FA6">
        <w:tc>
          <w:tcPr>
            <w:tcW w:w="1885" w:type="dxa"/>
            <w:shd w:val="clear" w:color="auto" w:fill="F2F2F2" w:themeFill="background1" w:themeFillShade="F2"/>
          </w:tcPr>
          <w:p w14:paraId="3ADCF523" w14:textId="5264EDAC" w:rsidR="00E45C0B" w:rsidRPr="00A0159E" w:rsidRDefault="002A0631" w:rsidP="00AD1CA4">
            <w:pPr>
              <w:autoSpaceDE w:val="0"/>
              <w:autoSpaceDN w:val="0"/>
              <w:adjustRightInd w:val="0"/>
              <w:spacing w:before="60" w:after="60"/>
              <w:rPr>
                <w:rFonts w:cs="Arial"/>
                <w:sz w:val="20"/>
                <w:szCs w:val="20"/>
              </w:rPr>
            </w:pPr>
            <w:r>
              <w:rPr>
                <w:sz w:val="20"/>
                <w:szCs w:val="20"/>
              </w:rPr>
              <w:t xml:space="preserve">De </w:t>
            </w:r>
            <w:r w:rsidR="00E45C0B">
              <w:rPr>
                <w:sz w:val="20"/>
                <w:szCs w:val="20"/>
              </w:rPr>
              <w:t>15 h à 15 h 15</w:t>
            </w:r>
          </w:p>
        </w:tc>
        <w:tc>
          <w:tcPr>
            <w:tcW w:w="7465" w:type="dxa"/>
            <w:gridSpan w:val="2"/>
            <w:shd w:val="clear" w:color="auto" w:fill="F2F2F2" w:themeFill="background1" w:themeFillShade="F2"/>
          </w:tcPr>
          <w:p w14:paraId="49B515F5" w14:textId="77777777" w:rsidR="00E45C0B" w:rsidRPr="00A0159E" w:rsidRDefault="00E45C0B" w:rsidP="00AD1CA4">
            <w:pPr>
              <w:autoSpaceDE w:val="0"/>
              <w:autoSpaceDN w:val="0"/>
              <w:adjustRightInd w:val="0"/>
              <w:spacing w:before="60" w:after="60"/>
              <w:rPr>
                <w:rFonts w:cs="Arial"/>
                <w:sz w:val="20"/>
                <w:szCs w:val="20"/>
              </w:rPr>
            </w:pPr>
            <w:r>
              <w:rPr>
                <w:b/>
                <w:i/>
                <w:sz w:val="20"/>
                <w:szCs w:val="20"/>
                <w:u w:val="single"/>
              </w:rPr>
              <w:t>Pause</w:t>
            </w:r>
          </w:p>
        </w:tc>
      </w:tr>
      <w:tr w:rsidR="00E45C0B" w:rsidRPr="00CE6A09" w14:paraId="3ABDABD2" w14:textId="77777777" w:rsidTr="00E16FA6">
        <w:tc>
          <w:tcPr>
            <w:tcW w:w="1885" w:type="dxa"/>
          </w:tcPr>
          <w:p w14:paraId="12A1989E" w14:textId="04FEC1A5" w:rsidR="00E45C0B" w:rsidRPr="00A0159E" w:rsidRDefault="002A0631" w:rsidP="00AD1CA4">
            <w:pPr>
              <w:autoSpaceDE w:val="0"/>
              <w:autoSpaceDN w:val="0"/>
              <w:adjustRightInd w:val="0"/>
              <w:spacing w:before="60" w:after="60"/>
              <w:rPr>
                <w:rFonts w:cs="Arial"/>
                <w:sz w:val="20"/>
                <w:szCs w:val="20"/>
              </w:rPr>
            </w:pPr>
            <w:r>
              <w:rPr>
                <w:sz w:val="20"/>
                <w:szCs w:val="20"/>
              </w:rPr>
              <w:t xml:space="preserve">De </w:t>
            </w:r>
            <w:r w:rsidR="00E45C0B">
              <w:rPr>
                <w:sz w:val="20"/>
                <w:szCs w:val="20"/>
              </w:rPr>
              <w:t>15 h à 16 h</w:t>
            </w:r>
          </w:p>
        </w:tc>
        <w:tc>
          <w:tcPr>
            <w:tcW w:w="4680" w:type="dxa"/>
          </w:tcPr>
          <w:p w14:paraId="5C68A1A4" w14:textId="65109D73" w:rsidR="00E45C0B" w:rsidRPr="00A0159E" w:rsidRDefault="00E45C0B" w:rsidP="00AD1CA4">
            <w:pPr>
              <w:tabs>
                <w:tab w:val="left" w:pos="1985"/>
              </w:tabs>
              <w:autoSpaceDE w:val="0"/>
              <w:autoSpaceDN w:val="0"/>
              <w:adjustRightInd w:val="0"/>
              <w:spacing w:before="60" w:after="60"/>
              <w:rPr>
                <w:rFonts w:cs="Arial"/>
                <w:sz w:val="20"/>
                <w:szCs w:val="20"/>
              </w:rPr>
            </w:pPr>
            <w:r>
              <w:rPr>
                <w:sz w:val="20"/>
                <w:szCs w:val="20"/>
              </w:rPr>
              <w:t>Aiglefin de l</w:t>
            </w:r>
            <w:r w:rsidR="001B2BE1">
              <w:rPr>
                <w:sz w:val="20"/>
                <w:szCs w:val="20"/>
              </w:rPr>
              <w:t>’</w:t>
            </w:r>
            <w:r>
              <w:rPr>
                <w:sz w:val="20"/>
                <w:szCs w:val="20"/>
              </w:rPr>
              <w:t xml:space="preserve">est du </w:t>
            </w:r>
            <w:r w:rsidR="00E8153D">
              <w:rPr>
                <w:sz w:val="20"/>
                <w:szCs w:val="20"/>
              </w:rPr>
              <w:t>banc Georges</w:t>
            </w:r>
            <w:r>
              <w:rPr>
                <w:sz w:val="20"/>
                <w:szCs w:val="20"/>
              </w:rPr>
              <w:t xml:space="preserve"> (suite)</w:t>
            </w:r>
          </w:p>
          <w:p w14:paraId="350DEBEB" w14:textId="77777777" w:rsidR="00E45C0B" w:rsidRPr="00A0159E" w:rsidRDefault="00E45C0B" w:rsidP="00AD1CA4">
            <w:pPr>
              <w:tabs>
                <w:tab w:val="left" w:pos="1985"/>
              </w:tabs>
              <w:autoSpaceDE w:val="0"/>
              <w:autoSpaceDN w:val="0"/>
              <w:adjustRightInd w:val="0"/>
              <w:spacing w:before="60" w:after="60"/>
              <w:rPr>
                <w:rFonts w:cs="Arial"/>
                <w:sz w:val="20"/>
                <w:szCs w:val="20"/>
              </w:rPr>
            </w:pPr>
            <w:r>
              <w:rPr>
                <w:sz w:val="20"/>
                <w:szCs w:val="20"/>
              </w:rPr>
              <w:t xml:space="preserve">Discussion </w:t>
            </w:r>
          </w:p>
        </w:tc>
        <w:tc>
          <w:tcPr>
            <w:tcW w:w="2785" w:type="dxa"/>
          </w:tcPr>
          <w:p w14:paraId="722059F4" w14:textId="77777777" w:rsidR="00E45C0B" w:rsidRPr="00B9529C" w:rsidRDefault="00E45C0B" w:rsidP="00AD1CA4">
            <w:pPr>
              <w:autoSpaceDE w:val="0"/>
              <w:autoSpaceDN w:val="0"/>
              <w:adjustRightInd w:val="0"/>
              <w:spacing w:before="60" w:after="60"/>
              <w:rPr>
                <w:rFonts w:cs="Arial"/>
                <w:bCs/>
                <w:sz w:val="20"/>
                <w:szCs w:val="20"/>
                <w:lang w:val="en-CA"/>
              </w:rPr>
            </w:pPr>
            <w:r w:rsidRPr="00B9529C">
              <w:rPr>
                <w:bCs/>
                <w:sz w:val="20"/>
                <w:szCs w:val="20"/>
                <w:lang w:val="en-CA"/>
              </w:rPr>
              <w:t>Monica Finley (Canada)</w:t>
            </w:r>
          </w:p>
          <w:p w14:paraId="5E27DFB3" w14:textId="49752536" w:rsidR="00E45C0B" w:rsidRPr="00B9529C" w:rsidRDefault="00E45C0B" w:rsidP="00AD1CA4">
            <w:pPr>
              <w:autoSpaceDE w:val="0"/>
              <w:autoSpaceDN w:val="0"/>
              <w:adjustRightInd w:val="0"/>
              <w:spacing w:before="60" w:after="60"/>
              <w:rPr>
                <w:rFonts w:cs="Arial"/>
                <w:bCs/>
                <w:sz w:val="20"/>
                <w:szCs w:val="20"/>
                <w:lang w:val="en-CA"/>
              </w:rPr>
            </w:pPr>
            <w:r w:rsidRPr="00B9529C">
              <w:rPr>
                <w:bCs/>
                <w:sz w:val="20"/>
                <w:szCs w:val="20"/>
                <w:lang w:val="en-CA"/>
              </w:rPr>
              <w:t>Liz</w:t>
            </w:r>
            <w:r w:rsidR="001E4DA7">
              <w:rPr>
                <w:bCs/>
                <w:sz w:val="20"/>
                <w:szCs w:val="20"/>
                <w:lang w:val="en-CA"/>
              </w:rPr>
              <w:t> </w:t>
            </w:r>
            <w:r w:rsidRPr="00B9529C">
              <w:rPr>
                <w:bCs/>
                <w:sz w:val="20"/>
                <w:szCs w:val="20"/>
                <w:lang w:val="en-CA"/>
              </w:rPr>
              <w:t>Brooks (É.-U.)</w:t>
            </w:r>
          </w:p>
        </w:tc>
      </w:tr>
      <w:tr w:rsidR="00E45C0B" w:rsidRPr="00A0159E" w14:paraId="3BC5C704" w14:textId="77777777" w:rsidTr="00E16FA6">
        <w:tc>
          <w:tcPr>
            <w:tcW w:w="1885" w:type="dxa"/>
          </w:tcPr>
          <w:p w14:paraId="1975704E" w14:textId="3C578878" w:rsidR="00E45C0B" w:rsidRPr="00A0159E" w:rsidRDefault="002A0631" w:rsidP="00AD1CA4">
            <w:pPr>
              <w:autoSpaceDE w:val="0"/>
              <w:autoSpaceDN w:val="0"/>
              <w:adjustRightInd w:val="0"/>
              <w:spacing w:before="60" w:after="60"/>
              <w:rPr>
                <w:rFonts w:cs="Arial"/>
                <w:sz w:val="20"/>
                <w:szCs w:val="20"/>
              </w:rPr>
            </w:pPr>
            <w:r>
              <w:rPr>
                <w:sz w:val="20"/>
                <w:szCs w:val="20"/>
              </w:rPr>
              <w:t xml:space="preserve">De </w:t>
            </w:r>
            <w:r w:rsidR="00E45C0B">
              <w:rPr>
                <w:sz w:val="20"/>
                <w:szCs w:val="20"/>
              </w:rPr>
              <w:t>16 h à 16 h 30</w:t>
            </w:r>
          </w:p>
        </w:tc>
        <w:tc>
          <w:tcPr>
            <w:tcW w:w="4680" w:type="dxa"/>
          </w:tcPr>
          <w:p w14:paraId="49623215" w14:textId="6F67A357" w:rsidR="00E45C0B" w:rsidRPr="008E5670" w:rsidRDefault="00DC58A1" w:rsidP="00AD1CA4">
            <w:pPr>
              <w:tabs>
                <w:tab w:val="left" w:pos="1985"/>
              </w:tabs>
              <w:autoSpaceDE w:val="0"/>
              <w:autoSpaceDN w:val="0"/>
              <w:adjustRightInd w:val="0"/>
              <w:spacing w:before="60" w:after="60"/>
            </w:pPr>
            <w:r w:rsidRPr="00DC58A1">
              <w:rPr>
                <w:sz w:val="20"/>
                <w:szCs w:val="20"/>
              </w:rPr>
              <w:t>Comprendre les changements dans la croissance somatique de l’aiglefin de l’est du banc Georges</w:t>
            </w:r>
          </w:p>
        </w:tc>
        <w:tc>
          <w:tcPr>
            <w:tcW w:w="2785" w:type="dxa"/>
          </w:tcPr>
          <w:p w14:paraId="57282FFC" w14:textId="75F227C7" w:rsidR="00E45C0B" w:rsidRPr="00A0159E" w:rsidRDefault="00E45C0B" w:rsidP="00AD1CA4">
            <w:pPr>
              <w:autoSpaceDE w:val="0"/>
              <w:autoSpaceDN w:val="0"/>
              <w:adjustRightInd w:val="0"/>
              <w:spacing w:before="60" w:after="60"/>
              <w:rPr>
                <w:rFonts w:cs="Arial"/>
                <w:bCs/>
                <w:sz w:val="20"/>
                <w:szCs w:val="20"/>
              </w:rPr>
            </w:pPr>
            <w:r>
              <w:rPr>
                <w:bCs/>
                <w:sz w:val="20"/>
                <w:szCs w:val="20"/>
              </w:rPr>
              <w:t>Yanjun</w:t>
            </w:r>
            <w:r w:rsidR="001E4DA7">
              <w:rPr>
                <w:bCs/>
                <w:sz w:val="20"/>
                <w:szCs w:val="20"/>
              </w:rPr>
              <w:t> </w:t>
            </w:r>
            <w:r>
              <w:rPr>
                <w:bCs/>
                <w:sz w:val="20"/>
                <w:szCs w:val="20"/>
              </w:rPr>
              <w:t>Wang (Canada)</w:t>
            </w:r>
          </w:p>
        </w:tc>
      </w:tr>
      <w:tr w:rsidR="00E45C0B" w:rsidRPr="00CE6A09" w14:paraId="4FD5E267" w14:textId="77777777" w:rsidTr="00E16FA6">
        <w:tc>
          <w:tcPr>
            <w:tcW w:w="1885" w:type="dxa"/>
          </w:tcPr>
          <w:p w14:paraId="2D70B095" w14:textId="051B3FE9" w:rsidR="00E45C0B" w:rsidRPr="00A0159E" w:rsidRDefault="002A0631" w:rsidP="00AD1CA4">
            <w:pPr>
              <w:autoSpaceDE w:val="0"/>
              <w:autoSpaceDN w:val="0"/>
              <w:adjustRightInd w:val="0"/>
              <w:spacing w:before="60" w:after="60"/>
              <w:rPr>
                <w:rFonts w:cs="Arial"/>
                <w:sz w:val="20"/>
                <w:szCs w:val="20"/>
              </w:rPr>
            </w:pPr>
            <w:r>
              <w:rPr>
                <w:sz w:val="20"/>
                <w:szCs w:val="20"/>
              </w:rPr>
              <w:t xml:space="preserve">De </w:t>
            </w:r>
            <w:r w:rsidR="00E45C0B">
              <w:rPr>
                <w:sz w:val="20"/>
                <w:szCs w:val="20"/>
              </w:rPr>
              <w:t>16 h 30 à 17 h</w:t>
            </w:r>
          </w:p>
        </w:tc>
        <w:tc>
          <w:tcPr>
            <w:tcW w:w="4680" w:type="dxa"/>
          </w:tcPr>
          <w:p w14:paraId="57330C95" w14:textId="77777777" w:rsidR="00E45C0B" w:rsidRPr="00A0159E" w:rsidRDefault="00E45C0B" w:rsidP="00AD1CA4">
            <w:pPr>
              <w:tabs>
                <w:tab w:val="left" w:pos="1985"/>
              </w:tabs>
              <w:autoSpaceDE w:val="0"/>
              <w:autoSpaceDN w:val="0"/>
              <w:adjustRightInd w:val="0"/>
              <w:spacing w:before="60" w:after="60"/>
              <w:rPr>
                <w:rFonts w:cs="Arial"/>
                <w:sz w:val="20"/>
                <w:szCs w:val="20"/>
              </w:rPr>
            </w:pPr>
            <w:r>
              <w:rPr>
                <w:sz w:val="20"/>
                <w:szCs w:val="20"/>
              </w:rPr>
              <w:t>Parts allouées</w:t>
            </w:r>
          </w:p>
        </w:tc>
        <w:tc>
          <w:tcPr>
            <w:tcW w:w="2785" w:type="dxa"/>
          </w:tcPr>
          <w:p w14:paraId="5C76A2C5" w14:textId="65ED0224" w:rsidR="00E45C0B" w:rsidRPr="00B9529C" w:rsidRDefault="00E45C0B" w:rsidP="00AD1CA4">
            <w:pPr>
              <w:autoSpaceDE w:val="0"/>
              <w:autoSpaceDN w:val="0"/>
              <w:adjustRightInd w:val="0"/>
              <w:spacing w:before="60" w:after="60"/>
              <w:rPr>
                <w:rFonts w:cs="Arial"/>
                <w:bCs/>
                <w:sz w:val="20"/>
                <w:szCs w:val="20"/>
                <w:lang w:val="en-CA"/>
              </w:rPr>
            </w:pPr>
            <w:r w:rsidRPr="00B9529C">
              <w:rPr>
                <w:bCs/>
                <w:sz w:val="20"/>
                <w:szCs w:val="20"/>
                <w:lang w:val="en-CA"/>
              </w:rPr>
              <w:t>Melanie</w:t>
            </w:r>
            <w:r w:rsidR="001E4DA7">
              <w:rPr>
                <w:bCs/>
                <w:sz w:val="20"/>
                <w:szCs w:val="20"/>
                <w:lang w:val="en-CA"/>
              </w:rPr>
              <w:t> </w:t>
            </w:r>
            <w:r w:rsidRPr="00B9529C">
              <w:rPr>
                <w:bCs/>
                <w:sz w:val="20"/>
                <w:szCs w:val="20"/>
                <w:lang w:val="en-CA"/>
              </w:rPr>
              <w:t>Barrett (Canada)</w:t>
            </w:r>
          </w:p>
          <w:p w14:paraId="4E4F35F5" w14:textId="5077FADD" w:rsidR="00E45C0B" w:rsidRPr="00B9529C" w:rsidRDefault="00E45C0B" w:rsidP="00AD1CA4">
            <w:pPr>
              <w:autoSpaceDE w:val="0"/>
              <w:autoSpaceDN w:val="0"/>
              <w:adjustRightInd w:val="0"/>
              <w:spacing w:before="60" w:after="60"/>
              <w:rPr>
                <w:rFonts w:cs="Arial"/>
                <w:bCs/>
                <w:sz w:val="20"/>
                <w:szCs w:val="20"/>
                <w:lang w:val="en-CA"/>
              </w:rPr>
            </w:pPr>
            <w:r w:rsidRPr="00B9529C">
              <w:rPr>
                <w:bCs/>
                <w:sz w:val="20"/>
                <w:szCs w:val="20"/>
                <w:lang w:val="en-CA"/>
              </w:rPr>
              <w:t>Liz</w:t>
            </w:r>
            <w:r w:rsidR="001E4DA7">
              <w:rPr>
                <w:bCs/>
                <w:sz w:val="20"/>
                <w:szCs w:val="20"/>
                <w:lang w:val="en-CA"/>
              </w:rPr>
              <w:t> </w:t>
            </w:r>
            <w:r w:rsidRPr="00B9529C">
              <w:rPr>
                <w:bCs/>
                <w:sz w:val="20"/>
                <w:szCs w:val="20"/>
                <w:lang w:val="en-CA"/>
              </w:rPr>
              <w:t>Brooks (É.-U.)</w:t>
            </w:r>
          </w:p>
        </w:tc>
      </w:tr>
    </w:tbl>
    <w:p w14:paraId="5B5B608F" w14:textId="77777777" w:rsidR="00E45C0B" w:rsidRPr="00B9529C" w:rsidRDefault="00E45C0B" w:rsidP="00E45C0B">
      <w:pPr>
        <w:spacing w:after="200" w:line="276" w:lineRule="auto"/>
        <w:rPr>
          <w:rFonts w:cs="Arial"/>
          <w:b/>
          <w:bCs/>
          <w:sz w:val="20"/>
          <w:u w:val="single"/>
          <w:lang w:val="en-CA"/>
        </w:rPr>
      </w:pPr>
      <w:r w:rsidRPr="00B9529C">
        <w:rPr>
          <w:lang w:val="en-CA"/>
        </w:rPr>
        <w:br w:type="page"/>
      </w:r>
    </w:p>
    <w:p w14:paraId="5B94314E" w14:textId="0B5894E7" w:rsidR="00E45C0B" w:rsidRPr="00A0159E" w:rsidRDefault="00E45C0B" w:rsidP="00E45C0B">
      <w:pPr>
        <w:spacing w:after="200" w:line="276" w:lineRule="auto"/>
        <w:rPr>
          <w:rFonts w:cs="Arial"/>
          <w:b/>
          <w:bCs/>
          <w:szCs w:val="22"/>
        </w:rPr>
      </w:pPr>
      <w:r>
        <w:rPr>
          <w:b/>
          <w:bCs/>
          <w:szCs w:val="22"/>
        </w:rPr>
        <w:lastRenderedPageBreak/>
        <w:t>JOUR 2 (</w:t>
      </w:r>
      <w:r w:rsidR="002A0631">
        <w:rPr>
          <w:b/>
          <w:bCs/>
          <w:szCs w:val="22"/>
        </w:rPr>
        <w:t xml:space="preserve">le </w:t>
      </w:r>
      <w:r>
        <w:rPr>
          <w:b/>
          <w:bCs/>
          <w:szCs w:val="22"/>
        </w:rPr>
        <w:t>mercredi 10</w:t>
      </w:r>
      <w:r w:rsidR="003F1B5F">
        <w:rPr>
          <w:b/>
          <w:bCs/>
          <w:szCs w:val="22"/>
        </w:rPr>
        <w:t> </w:t>
      </w:r>
      <w:r>
        <w:rPr>
          <w:b/>
          <w:bCs/>
          <w:szCs w:val="22"/>
        </w:rPr>
        <w:t>juillet 2019)</w:t>
      </w:r>
    </w:p>
    <w:tbl>
      <w:tblPr>
        <w:tblStyle w:val="TableGrid"/>
        <w:tblW w:w="9355" w:type="dxa"/>
        <w:tblLook w:val="04A0" w:firstRow="1" w:lastRow="0" w:firstColumn="1" w:lastColumn="0" w:noHBand="0" w:noVBand="1"/>
      </w:tblPr>
      <w:tblGrid>
        <w:gridCol w:w="1885"/>
        <w:gridCol w:w="4680"/>
        <w:gridCol w:w="2790"/>
      </w:tblGrid>
      <w:tr w:rsidR="00E45C0B" w:rsidRPr="00A0159E" w14:paraId="1855E88D" w14:textId="77777777" w:rsidTr="00F55979">
        <w:tc>
          <w:tcPr>
            <w:tcW w:w="1885" w:type="dxa"/>
            <w:shd w:val="clear" w:color="auto" w:fill="BFBFBF" w:themeFill="background1" w:themeFillShade="BF"/>
          </w:tcPr>
          <w:p w14:paraId="5F3451A1" w14:textId="77777777" w:rsidR="00E45C0B" w:rsidRPr="00A0159E" w:rsidRDefault="00E45C0B" w:rsidP="00AD1CA4">
            <w:pPr>
              <w:autoSpaceDE w:val="0"/>
              <w:autoSpaceDN w:val="0"/>
              <w:adjustRightInd w:val="0"/>
              <w:spacing w:before="60" w:after="60"/>
              <w:jc w:val="center"/>
              <w:rPr>
                <w:rFonts w:cs="Arial"/>
                <w:b/>
                <w:bCs/>
                <w:sz w:val="20"/>
                <w:szCs w:val="20"/>
                <w:u w:val="single"/>
              </w:rPr>
            </w:pPr>
            <w:r>
              <w:rPr>
                <w:b/>
                <w:bCs/>
                <w:sz w:val="20"/>
                <w:szCs w:val="20"/>
                <w:u w:val="single"/>
              </w:rPr>
              <w:t>Heure</w:t>
            </w:r>
          </w:p>
        </w:tc>
        <w:tc>
          <w:tcPr>
            <w:tcW w:w="4680" w:type="dxa"/>
            <w:shd w:val="clear" w:color="auto" w:fill="BFBFBF" w:themeFill="background1" w:themeFillShade="BF"/>
          </w:tcPr>
          <w:p w14:paraId="752C7496" w14:textId="77777777" w:rsidR="00E45C0B" w:rsidRPr="00A0159E" w:rsidRDefault="00E45C0B" w:rsidP="00AD1CA4">
            <w:pPr>
              <w:autoSpaceDE w:val="0"/>
              <w:autoSpaceDN w:val="0"/>
              <w:adjustRightInd w:val="0"/>
              <w:spacing w:before="60" w:after="60"/>
              <w:jc w:val="center"/>
              <w:rPr>
                <w:rFonts w:cs="Arial"/>
                <w:b/>
                <w:bCs/>
                <w:sz w:val="20"/>
                <w:szCs w:val="20"/>
                <w:u w:val="single"/>
              </w:rPr>
            </w:pPr>
            <w:r>
              <w:rPr>
                <w:b/>
                <w:bCs/>
                <w:sz w:val="20"/>
                <w:szCs w:val="20"/>
                <w:u w:val="single"/>
              </w:rPr>
              <w:t>Sujet</w:t>
            </w:r>
          </w:p>
        </w:tc>
        <w:tc>
          <w:tcPr>
            <w:tcW w:w="2790" w:type="dxa"/>
            <w:shd w:val="clear" w:color="auto" w:fill="BFBFBF" w:themeFill="background1" w:themeFillShade="BF"/>
          </w:tcPr>
          <w:p w14:paraId="45819C4C" w14:textId="77777777" w:rsidR="00E45C0B" w:rsidRPr="00A0159E" w:rsidRDefault="00E45C0B" w:rsidP="00AD1CA4">
            <w:pPr>
              <w:autoSpaceDE w:val="0"/>
              <w:autoSpaceDN w:val="0"/>
              <w:adjustRightInd w:val="0"/>
              <w:spacing w:before="60" w:after="60"/>
              <w:jc w:val="center"/>
              <w:rPr>
                <w:rFonts w:cs="Arial"/>
                <w:b/>
                <w:bCs/>
                <w:sz w:val="20"/>
                <w:szCs w:val="20"/>
                <w:u w:val="single"/>
              </w:rPr>
            </w:pPr>
            <w:r>
              <w:rPr>
                <w:b/>
                <w:bCs/>
                <w:sz w:val="20"/>
                <w:szCs w:val="20"/>
                <w:u w:val="single"/>
              </w:rPr>
              <w:t>Responsables</w:t>
            </w:r>
          </w:p>
        </w:tc>
      </w:tr>
      <w:tr w:rsidR="00E45C0B" w:rsidRPr="00A0159E" w14:paraId="76B46597" w14:textId="77777777" w:rsidTr="00F55979">
        <w:tc>
          <w:tcPr>
            <w:tcW w:w="1885" w:type="dxa"/>
          </w:tcPr>
          <w:p w14:paraId="32C73401" w14:textId="2C77626B" w:rsidR="00E45C0B" w:rsidRPr="00A0159E" w:rsidRDefault="002A0631" w:rsidP="00AD1CA4">
            <w:pPr>
              <w:autoSpaceDE w:val="0"/>
              <w:autoSpaceDN w:val="0"/>
              <w:adjustRightInd w:val="0"/>
              <w:spacing w:before="60" w:after="60"/>
              <w:rPr>
                <w:rFonts w:cs="Arial"/>
                <w:sz w:val="20"/>
                <w:szCs w:val="20"/>
              </w:rPr>
            </w:pPr>
            <w:r>
              <w:rPr>
                <w:sz w:val="20"/>
                <w:szCs w:val="20"/>
              </w:rPr>
              <w:t xml:space="preserve">De </w:t>
            </w:r>
            <w:r w:rsidR="00E45C0B">
              <w:rPr>
                <w:sz w:val="20"/>
                <w:szCs w:val="20"/>
              </w:rPr>
              <w:t>9 h à 9 h 45</w:t>
            </w:r>
          </w:p>
        </w:tc>
        <w:tc>
          <w:tcPr>
            <w:tcW w:w="4680" w:type="dxa"/>
          </w:tcPr>
          <w:p w14:paraId="1F22C87B" w14:textId="25DFDDAF" w:rsidR="00E45C0B" w:rsidRPr="00A0159E" w:rsidRDefault="00E45C0B" w:rsidP="00DD0B3A">
            <w:pPr>
              <w:autoSpaceDE w:val="0"/>
              <w:autoSpaceDN w:val="0"/>
              <w:adjustRightInd w:val="0"/>
              <w:spacing w:before="60" w:after="60"/>
              <w:rPr>
                <w:rFonts w:cs="Arial"/>
                <w:sz w:val="20"/>
                <w:szCs w:val="20"/>
              </w:rPr>
            </w:pPr>
            <w:r>
              <w:rPr>
                <w:sz w:val="20"/>
                <w:szCs w:val="20"/>
              </w:rPr>
              <w:t>Récapitulation du jour</w:t>
            </w:r>
            <w:r w:rsidR="001E4DA7">
              <w:rPr>
                <w:sz w:val="20"/>
                <w:szCs w:val="20"/>
              </w:rPr>
              <w:t> </w:t>
            </w:r>
            <w:r>
              <w:rPr>
                <w:sz w:val="20"/>
                <w:szCs w:val="20"/>
              </w:rPr>
              <w:t>1 et travaux à faire</w:t>
            </w:r>
          </w:p>
        </w:tc>
        <w:tc>
          <w:tcPr>
            <w:tcW w:w="2790" w:type="dxa"/>
          </w:tcPr>
          <w:p w14:paraId="1471E06B" w14:textId="18483D8C" w:rsidR="00E45C0B" w:rsidRPr="00A0159E" w:rsidRDefault="00E45C0B" w:rsidP="00AD1CA4">
            <w:pPr>
              <w:autoSpaceDE w:val="0"/>
              <w:autoSpaceDN w:val="0"/>
              <w:adjustRightInd w:val="0"/>
              <w:spacing w:before="60" w:after="60"/>
              <w:rPr>
                <w:rFonts w:cs="Arial"/>
                <w:bCs/>
                <w:sz w:val="20"/>
                <w:szCs w:val="20"/>
              </w:rPr>
            </w:pPr>
            <w:r>
              <w:rPr>
                <w:bCs/>
                <w:sz w:val="20"/>
                <w:szCs w:val="20"/>
              </w:rPr>
              <w:t>John</w:t>
            </w:r>
            <w:r w:rsidR="001E4DA7">
              <w:rPr>
                <w:bCs/>
                <w:sz w:val="20"/>
                <w:szCs w:val="20"/>
              </w:rPr>
              <w:t> </w:t>
            </w:r>
            <w:r>
              <w:rPr>
                <w:bCs/>
                <w:sz w:val="20"/>
                <w:szCs w:val="20"/>
              </w:rPr>
              <w:t>Neilson (président)</w:t>
            </w:r>
          </w:p>
          <w:p w14:paraId="6FBB1227" w14:textId="266DD577" w:rsidR="00E45C0B" w:rsidRPr="00A0159E" w:rsidRDefault="00E45C0B" w:rsidP="00DD0B3A">
            <w:pPr>
              <w:autoSpaceDE w:val="0"/>
              <w:autoSpaceDN w:val="0"/>
              <w:adjustRightInd w:val="0"/>
              <w:spacing w:before="60" w:after="60"/>
              <w:rPr>
                <w:rFonts w:cs="Arial"/>
                <w:bCs/>
                <w:sz w:val="20"/>
                <w:szCs w:val="20"/>
              </w:rPr>
            </w:pPr>
            <w:r>
              <w:rPr>
                <w:bCs/>
                <w:sz w:val="20"/>
                <w:szCs w:val="20"/>
              </w:rPr>
              <w:t>Responsables des stocks d</w:t>
            </w:r>
            <w:r w:rsidR="001B2BE1">
              <w:rPr>
                <w:bCs/>
                <w:sz w:val="20"/>
                <w:szCs w:val="20"/>
              </w:rPr>
              <w:t>’</w:t>
            </w:r>
            <w:r>
              <w:rPr>
                <w:bCs/>
                <w:sz w:val="20"/>
                <w:szCs w:val="20"/>
              </w:rPr>
              <w:t xml:space="preserve">aiglefin et de limande à queue jaune (Canada et </w:t>
            </w:r>
            <w:r w:rsidR="001E4DA7">
              <w:rPr>
                <w:bCs/>
                <w:sz w:val="20"/>
                <w:szCs w:val="20"/>
              </w:rPr>
              <w:t>É.-U.</w:t>
            </w:r>
            <w:r>
              <w:rPr>
                <w:bCs/>
                <w:sz w:val="20"/>
                <w:szCs w:val="20"/>
              </w:rPr>
              <w:t>)</w:t>
            </w:r>
          </w:p>
        </w:tc>
      </w:tr>
      <w:tr w:rsidR="00E45C0B" w:rsidRPr="00A0159E" w14:paraId="127019F6" w14:textId="77777777" w:rsidTr="00F55979">
        <w:tc>
          <w:tcPr>
            <w:tcW w:w="1885" w:type="dxa"/>
          </w:tcPr>
          <w:p w14:paraId="01AA42C7" w14:textId="5EA2F325" w:rsidR="00E45C0B" w:rsidRPr="00A0159E" w:rsidRDefault="002A0631" w:rsidP="00AD1CA4">
            <w:pPr>
              <w:autoSpaceDE w:val="0"/>
              <w:autoSpaceDN w:val="0"/>
              <w:adjustRightInd w:val="0"/>
              <w:spacing w:before="60" w:after="60"/>
              <w:rPr>
                <w:rFonts w:cs="Arial"/>
                <w:sz w:val="20"/>
                <w:szCs w:val="20"/>
              </w:rPr>
            </w:pPr>
            <w:r>
              <w:rPr>
                <w:sz w:val="20"/>
                <w:szCs w:val="20"/>
              </w:rPr>
              <w:t xml:space="preserve">De </w:t>
            </w:r>
            <w:r w:rsidR="00E45C0B">
              <w:rPr>
                <w:sz w:val="20"/>
                <w:szCs w:val="20"/>
              </w:rPr>
              <w:t>9 h 45 à 10 h 5</w:t>
            </w:r>
          </w:p>
        </w:tc>
        <w:tc>
          <w:tcPr>
            <w:tcW w:w="4680" w:type="dxa"/>
          </w:tcPr>
          <w:p w14:paraId="7BD07593" w14:textId="17FBCB37" w:rsidR="00E45C0B" w:rsidRPr="00A0159E" w:rsidRDefault="00900464" w:rsidP="00AD1CA4">
            <w:pPr>
              <w:autoSpaceDE w:val="0"/>
              <w:autoSpaceDN w:val="0"/>
              <w:adjustRightInd w:val="0"/>
              <w:spacing w:before="60" w:after="60"/>
              <w:rPr>
                <w:rFonts w:cs="Arial"/>
                <w:sz w:val="20"/>
                <w:szCs w:val="20"/>
              </w:rPr>
            </w:pPr>
            <w:r w:rsidRPr="00900464">
              <w:rPr>
                <w:sz w:val="20"/>
                <w:szCs w:val="20"/>
              </w:rPr>
              <w:t>Changements spatiotemporels dans la probabilité de rencontre de la morue et de la limande à queue jaune sur le banc Georges</w:t>
            </w:r>
          </w:p>
        </w:tc>
        <w:tc>
          <w:tcPr>
            <w:tcW w:w="2790" w:type="dxa"/>
          </w:tcPr>
          <w:p w14:paraId="073B8BD5" w14:textId="31AFADAF" w:rsidR="00E45C0B" w:rsidRPr="00A0159E" w:rsidRDefault="00E45C0B" w:rsidP="00AD1CA4">
            <w:pPr>
              <w:autoSpaceDE w:val="0"/>
              <w:autoSpaceDN w:val="0"/>
              <w:adjustRightInd w:val="0"/>
              <w:spacing w:before="60" w:after="60"/>
              <w:rPr>
                <w:rFonts w:cs="Arial"/>
                <w:bCs/>
                <w:sz w:val="20"/>
                <w:szCs w:val="20"/>
              </w:rPr>
            </w:pPr>
            <w:r>
              <w:rPr>
                <w:bCs/>
                <w:sz w:val="20"/>
                <w:szCs w:val="20"/>
              </w:rPr>
              <w:t>David</w:t>
            </w:r>
            <w:r w:rsidR="00900464">
              <w:rPr>
                <w:bCs/>
                <w:sz w:val="20"/>
                <w:szCs w:val="20"/>
              </w:rPr>
              <w:t> </w:t>
            </w:r>
            <w:r>
              <w:rPr>
                <w:bCs/>
                <w:sz w:val="20"/>
                <w:szCs w:val="20"/>
              </w:rPr>
              <w:t>Keith (Canada)</w:t>
            </w:r>
          </w:p>
        </w:tc>
      </w:tr>
      <w:tr w:rsidR="00E45C0B" w:rsidRPr="00A0159E" w14:paraId="2216EC2D" w14:textId="77777777" w:rsidTr="00F55979">
        <w:tc>
          <w:tcPr>
            <w:tcW w:w="1885" w:type="dxa"/>
          </w:tcPr>
          <w:p w14:paraId="71A0B2F4" w14:textId="5B67EB43" w:rsidR="00E45C0B" w:rsidRPr="00A0159E" w:rsidRDefault="002A0631" w:rsidP="00AD1CA4">
            <w:pPr>
              <w:autoSpaceDE w:val="0"/>
              <w:autoSpaceDN w:val="0"/>
              <w:adjustRightInd w:val="0"/>
              <w:spacing w:before="60" w:after="60"/>
              <w:rPr>
                <w:rFonts w:cs="Arial"/>
                <w:b/>
                <w:bCs/>
                <w:sz w:val="20"/>
                <w:szCs w:val="20"/>
                <w:u w:val="single"/>
              </w:rPr>
            </w:pPr>
            <w:r>
              <w:rPr>
                <w:sz w:val="20"/>
                <w:szCs w:val="20"/>
              </w:rPr>
              <w:t xml:space="preserve">De </w:t>
            </w:r>
            <w:r w:rsidR="00E45C0B">
              <w:rPr>
                <w:sz w:val="20"/>
                <w:szCs w:val="20"/>
              </w:rPr>
              <w:t>10 h 5 à 10 h 30</w:t>
            </w:r>
          </w:p>
        </w:tc>
        <w:tc>
          <w:tcPr>
            <w:tcW w:w="4680" w:type="dxa"/>
          </w:tcPr>
          <w:p w14:paraId="3CFE2A82" w14:textId="77777777" w:rsidR="00E45C0B" w:rsidRPr="00A0159E" w:rsidRDefault="00E45C0B" w:rsidP="00AD1CA4">
            <w:pPr>
              <w:autoSpaceDE w:val="0"/>
              <w:autoSpaceDN w:val="0"/>
              <w:adjustRightInd w:val="0"/>
              <w:spacing w:before="60" w:after="60"/>
              <w:rPr>
                <w:rFonts w:cs="Arial"/>
                <w:b/>
                <w:bCs/>
                <w:sz w:val="20"/>
                <w:szCs w:val="20"/>
                <w:u w:val="single"/>
              </w:rPr>
            </w:pPr>
            <w:r>
              <w:rPr>
                <w:sz w:val="20"/>
                <w:szCs w:val="20"/>
              </w:rPr>
              <w:t xml:space="preserve">Rapport sur les progrès du groupe de travail sur la structure du stock de morue franche </w:t>
            </w:r>
          </w:p>
        </w:tc>
        <w:tc>
          <w:tcPr>
            <w:tcW w:w="2790" w:type="dxa"/>
          </w:tcPr>
          <w:p w14:paraId="7DB19E68" w14:textId="3BA6EEF6" w:rsidR="00E45C0B" w:rsidRPr="00A0159E" w:rsidRDefault="00E45C0B" w:rsidP="00AD1CA4">
            <w:pPr>
              <w:autoSpaceDE w:val="0"/>
              <w:autoSpaceDN w:val="0"/>
              <w:adjustRightInd w:val="0"/>
              <w:spacing w:before="60" w:after="60"/>
              <w:rPr>
                <w:rFonts w:cs="Arial"/>
                <w:bCs/>
                <w:sz w:val="20"/>
                <w:szCs w:val="20"/>
              </w:rPr>
            </w:pPr>
            <w:r>
              <w:rPr>
                <w:bCs/>
                <w:sz w:val="20"/>
                <w:szCs w:val="20"/>
              </w:rPr>
              <w:t>Kent</w:t>
            </w:r>
            <w:r w:rsidR="00900464">
              <w:rPr>
                <w:bCs/>
                <w:sz w:val="20"/>
                <w:szCs w:val="20"/>
              </w:rPr>
              <w:t> </w:t>
            </w:r>
            <w:r>
              <w:rPr>
                <w:bCs/>
                <w:sz w:val="20"/>
                <w:szCs w:val="20"/>
              </w:rPr>
              <w:t>Smedbol (Canada)</w:t>
            </w:r>
          </w:p>
        </w:tc>
      </w:tr>
      <w:tr w:rsidR="00E45C0B" w:rsidRPr="00A0159E" w14:paraId="3E4AECBD" w14:textId="77777777" w:rsidTr="00F55979">
        <w:tc>
          <w:tcPr>
            <w:tcW w:w="1885" w:type="dxa"/>
            <w:shd w:val="clear" w:color="auto" w:fill="F2F2F2" w:themeFill="background1" w:themeFillShade="F2"/>
          </w:tcPr>
          <w:p w14:paraId="646F3F81" w14:textId="467C3C25" w:rsidR="00E45C0B" w:rsidRPr="00A0159E" w:rsidRDefault="002A0631" w:rsidP="00DD0B3A">
            <w:pPr>
              <w:autoSpaceDE w:val="0"/>
              <w:autoSpaceDN w:val="0"/>
              <w:adjustRightInd w:val="0"/>
              <w:spacing w:before="60" w:after="60"/>
              <w:rPr>
                <w:rFonts w:cs="Arial"/>
                <w:b/>
                <w:bCs/>
                <w:sz w:val="20"/>
                <w:szCs w:val="20"/>
                <w:u w:val="single"/>
              </w:rPr>
            </w:pPr>
            <w:r>
              <w:rPr>
                <w:sz w:val="20"/>
                <w:szCs w:val="20"/>
              </w:rPr>
              <w:t xml:space="preserve">De </w:t>
            </w:r>
            <w:r w:rsidR="00E45C0B">
              <w:rPr>
                <w:sz w:val="20"/>
                <w:szCs w:val="20"/>
              </w:rPr>
              <w:t>10</w:t>
            </w:r>
            <w:r>
              <w:rPr>
                <w:sz w:val="20"/>
                <w:szCs w:val="20"/>
              </w:rPr>
              <w:t> </w:t>
            </w:r>
            <w:r w:rsidR="00E45C0B">
              <w:rPr>
                <w:sz w:val="20"/>
                <w:szCs w:val="20"/>
              </w:rPr>
              <w:t>h</w:t>
            </w:r>
            <w:r>
              <w:rPr>
                <w:sz w:val="20"/>
                <w:szCs w:val="20"/>
              </w:rPr>
              <w:t> </w:t>
            </w:r>
            <w:r w:rsidR="00E45C0B">
              <w:rPr>
                <w:sz w:val="20"/>
                <w:szCs w:val="20"/>
              </w:rPr>
              <w:t>30</w:t>
            </w:r>
            <w:r>
              <w:rPr>
                <w:sz w:val="20"/>
                <w:szCs w:val="20"/>
              </w:rPr>
              <w:t xml:space="preserve"> </w:t>
            </w:r>
            <w:r w:rsidR="00E45C0B">
              <w:rPr>
                <w:sz w:val="20"/>
                <w:szCs w:val="20"/>
              </w:rPr>
              <w:t>à</w:t>
            </w:r>
            <w:r>
              <w:rPr>
                <w:sz w:val="20"/>
                <w:szCs w:val="20"/>
              </w:rPr>
              <w:t xml:space="preserve"> </w:t>
            </w:r>
            <w:r w:rsidR="00E45C0B">
              <w:rPr>
                <w:sz w:val="20"/>
                <w:szCs w:val="20"/>
              </w:rPr>
              <w:t>10</w:t>
            </w:r>
            <w:r>
              <w:rPr>
                <w:sz w:val="20"/>
                <w:szCs w:val="20"/>
              </w:rPr>
              <w:t> </w:t>
            </w:r>
            <w:r w:rsidR="00E45C0B">
              <w:rPr>
                <w:sz w:val="20"/>
                <w:szCs w:val="20"/>
              </w:rPr>
              <w:t>h</w:t>
            </w:r>
            <w:r>
              <w:rPr>
                <w:sz w:val="20"/>
                <w:szCs w:val="20"/>
              </w:rPr>
              <w:t> </w:t>
            </w:r>
            <w:r w:rsidR="00E45C0B">
              <w:rPr>
                <w:sz w:val="20"/>
                <w:szCs w:val="20"/>
              </w:rPr>
              <w:t>45</w:t>
            </w:r>
          </w:p>
        </w:tc>
        <w:tc>
          <w:tcPr>
            <w:tcW w:w="7470" w:type="dxa"/>
            <w:gridSpan w:val="2"/>
            <w:shd w:val="clear" w:color="auto" w:fill="F2F2F2" w:themeFill="background1" w:themeFillShade="F2"/>
          </w:tcPr>
          <w:p w14:paraId="1AE42ACE" w14:textId="77777777" w:rsidR="00E45C0B" w:rsidRPr="00A0159E" w:rsidRDefault="00E45C0B" w:rsidP="00AD1CA4">
            <w:pPr>
              <w:autoSpaceDE w:val="0"/>
              <w:autoSpaceDN w:val="0"/>
              <w:adjustRightInd w:val="0"/>
              <w:spacing w:before="60" w:after="60"/>
              <w:rPr>
                <w:rFonts w:cs="Arial"/>
                <w:b/>
                <w:bCs/>
                <w:sz w:val="20"/>
                <w:szCs w:val="20"/>
              </w:rPr>
            </w:pPr>
            <w:r>
              <w:rPr>
                <w:b/>
                <w:i/>
                <w:sz w:val="20"/>
                <w:szCs w:val="20"/>
                <w:u w:val="single"/>
              </w:rPr>
              <w:t>Pause</w:t>
            </w:r>
          </w:p>
        </w:tc>
      </w:tr>
      <w:tr w:rsidR="00E45C0B" w:rsidRPr="00A0159E" w14:paraId="09D4E6CB" w14:textId="77777777" w:rsidTr="00F55979">
        <w:tc>
          <w:tcPr>
            <w:tcW w:w="1885" w:type="dxa"/>
          </w:tcPr>
          <w:p w14:paraId="5B68E893" w14:textId="75278DC3" w:rsidR="00E45C0B" w:rsidRPr="00A0159E" w:rsidRDefault="002A0631" w:rsidP="00AD1CA4">
            <w:pPr>
              <w:autoSpaceDE w:val="0"/>
              <w:autoSpaceDN w:val="0"/>
              <w:adjustRightInd w:val="0"/>
              <w:spacing w:before="60" w:after="60"/>
              <w:rPr>
                <w:rFonts w:cs="Arial"/>
                <w:sz w:val="20"/>
                <w:szCs w:val="20"/>
              </w:rPr>
            </w:pPr>
            <w:r>
              <w:rPr>
                <w:sz w:val="20"/>
                <w:szCs w:val="20"/>
              </w:rPr>
              <w:t xml:space="preserve">De </w:t>
            </w:r>
            <w:r w:rsidR="00E45C0B">
              <w:rPr>
                <w:sz w:val="20"/>
                <w:szCs w:val="20"/>
              </w:rPr>
              <w:t>10 h 45 à 12 h</w:t>
            </w:r>
          </w:p>
        </w:tc>
        <w:tc>
          <w:tcPr>
            <w:tcW w:w="4680" w:type="dxa"/>
          </w:tcPr>
          <w:p w14:paraId="62AF280A" w14:textId="271C3BEC" w:rsidR="00E45C0B" w:rsidRPr="00A0159E" w:rsidRDefault="00E45C0B" w:rsidP="00AD1CA4">
            <w:pPr>
              <w:autoSpaceDE w:val="0"/>
              <w:autoSpaceDN w:val="0"/>
              <w:adjustRightInd w:val="0"/>
              <w:spacing w:before="60" w:after="60"/>
              <w:rPr>
                <w:rFonts w:cs="Arial"/>
                <w:sz w:val="20"/>
                <w:szCs w:val="20"/>
              </w:rPr>
            </w:pPr>
            <w:r>
              <w:rPr>
                <w:sz w:val="20"/>
                <w:szCs w:val="20"/>
              </w:rPr>
              <w:t>Morue de l</w:t>
            </w:r>
            <w:r w:rsidR="001B2BE1">
              <w:rPr>
                <w:sz w:val="20"/>
                <w:szCs w:val="20"/>
              </w:rPr>
              <w:t>’</w:t>
            </w:r>
            <w:r>
              <w:rPr>
                <w:sz w:val="20"/>
                <w:szCs w:val="20"/>
              </w:rPr>
              <w:t xml:space="preserve">est du </w:t>
            </w:r>
            <w:r w:rsidR="00E8153D">
              <w:rPr>
                <w:sz w:val="20"/>
                <w:szCs w:val="20"/>
              </w:rPr>
              <w:t>banc Georges</w:t>
            </w:r>
          </w:p>
          <w:p w14:paraId="74A00343" w14:textId="77777777" w:rsidR="00E45C0B" w:rsidRPr="00A0159E" w:rsidRDefault="00E45C0B" w:rsidP="00AD1CA4">
            <w:pPr>
              <w:autoSpaceDE w:val="0"/>
              <w:autoSpaceDN w:val="0"/>
              <w:adjustRightInd w:val="0"/>
              <w:spacing w:before="60" w:after="60"/>
              <w:rPr>
                <w:rFonts w:cs="Arial"/>
                <w:sz w:val="20"/>
                <w:szCs w:val="20"/>
              </w:rPr>
            </w:pPr>
            <w:r>
              <w:rPr>
                <w:sz w:val="20"/>
                <w:szCs w:val="20"/>
              </w:rPr>
              <w:t>Indicateurs biologiques et halieutiques</w:t>
            </w:r>
          </w:p>
          <w:p w14:paraId="39AA164E" w14:textId="77777777" w:rsidR="00E45C0B" w:rsidRPr="00A0159E" w:rsidRDefault="00E45C0B" w:rsidP="00AD1CA4">
            <w:pPr>
              <w:autoSpaceDE w:val="0"/>
              <w:autoSpaceDN w:val="0"/>
              <w:adjustRightInd w:val="0"/>
              <w:spacing w:before="60" w:after="60"/>
              <w:rPr>
                <w:rFonts w:cs="Arial"/>
                <w:sz w:val="20"/>
                <w:szCs w:val="20"/>
              </w:rPr>
            </w:pPr>
            <w:r>
              <w:rPr>
                <w:sz w:val="20"/>
                <w:szCs w:val="20"/>
              </w:rPr>
              <w:t>Changements dans les indicateurs des pêches et des relevés par rapport aux indicateurs du CERT de 2018</w:t>
            </w:r>
          </w:p>
        </w:tc>
        <w:tc>
          <w:tcPr>
            <w:tcW w:w="2790" w:type="dxa"/>
          </w:tcPr>
          <w:p w14:paraId="4D2676A4" w14:textId="332022E1" w:rsidR="00E45C0B" w:rsidRPr="00A0159E" w:rsidRDefault="00E45C0B" w:rsidP="00AD1CA4">
            <w:pPr>
              <w:autoSpaceDE w:val="0"/>
              <w:autoSpaceDN w:val="0"/>
              <w:adjustRightInd w:val="0"/>
              <w:spacing w:before="60" w:after="60"/>
              <w:rPr>
                <w:rFonts w:cs="Arial"/>
                <w:bCs/>
                <w:sz w:val="20"/>
                <w:szCs w:val="20"/>
              </w:rPr>
            </w:pPr>
            <w:r>
              <w:rPr>
                <w:bCs/>
                <w:sz w:val="20"/>
                <w:szCs w:val="20"/>
              </w:rPr>
              <w:t>Melanie</w:t>
            </w:r>
            <w:r w:rsidR="00900464">
              <w:rPr>
                <w:bCs/>
                <w:sz w:val="20"/>
                <w:szCs w:val="20"/>
              </w:rPr>
              <w:t> </w:t>
            </w:r>
            <w:r>
              <w:rPr>
                <w:bCs/>
                <w:sz w:val="20"/>
                <w:szCs w:val="20"/>
              </w:rPr>
              <w:t>Barrett et Irene</w:t>
            </w:r>
            <w:r w:rsidR="00900464">
              <w:rPr>
                <w:bCs/>
                <w:sz w:val="20"/>
                <w:szCs w:val="20"/>
              </w:rPr>
              <w:t> </w:t>
            </w:r>
            <w:r>
              <w:rPr>
                <w:bCs/>
                <w:sz w:val="20"/>
                <w:szCs w:val="20"/>
              </w:rPr>
              <w:t>Andrushchenko (Canada)</w:t>
            </w:r>
          </w:p>
          <w:p w14:paraId="57A25648" w14:textId="72E6EECC" w:rsidR="00E45C0B" w:rsidRPr="00A0159E" w:rsidRDefault="00E45C0B" w:rsidP="00AD1CA4">
            <w:pPr>
              <w:autoSpaceDE w:val="0"/>
              <w:autoSpaceDN w:val="0"/>
              <w:adjustRightInd w:val="0"/>
              <w:spacing w:before="60" w:after="60"/>
              <w:rPr>
                <w:rFonts w:cs="Arial"/>
                <w:bCs/>
                <w:sz w:val="20"/>
                <w:szCs w:val="20"/>
              </w:rPr>
            </w:pPr>
            <w:r>
              <w:rPr>
                <w:bCs/>
                <w:sz w:val="20"/>
                <w:szCs w:val="20"/>
              </w:rPr>
              <w:t>Chris</w:t>
            </w:r>
            <w:r w:rsidR="00900464">
              <w:rPr>
                <w:bCs/>
                <w:sz w:val="20"/>
                <w:szCs w:val="20"/>
              </w:rPr>
              <w:t> </w:t>
            </w:r>
            <w:r>
              <w:rPr>
                <w:bCs/>
                <w:sz w:val="20"/>
                <w:szCs w:val="20"/>
              </w:rPr>
              <w:t>Legault (É.-U.)</w:t>
            </w:r>
          </w:p>
        </w:tc>
      </w:tr>
      <w:tr w:rsidR="00E45C0B" w:rsidRPr="00A0159E" w14:paraId="6425EA8E" w14:textId="77777777" w:rsidTr="00F55979">
        <w:tc>
          <w:tcPr>
            <w:tcW w:w="1885" w:type="dxa"/>
            <w:shd w:val="clear" w:color="auto" w:fill="F2F2F2" w:themeFill="background1" w:themeFillShade="F2"/>
          </w:tcPr>
          <w:p w14:paraId="47A6BD08" w14:textId="09765D5E" w:rsidR="00E45C0B" w:rsidRPr="00A0159E" w:rsidRDefault="002A0631" w:rsidP="00AD1CA4">
            <w:pPr>
              <w:autoSpaceDE w:val="0"/>
              <w:autoSpaceDN w:val="0"/>
              <w:adjustRightInd w:val="0"/>
              <w:spacing w:before="60" w:after="60"/>
              <w:rPr>
                <w:rFonts w:cs="Arial"/>
                <w:sz w:val="20"/>
                <w:szCs w:val="20"/>
              </w:rPr>
            </w:pPr>
            <w:r>
              <w:rPr>
                <w:sz w:val="20"/>
                <w:szCs w:val="20"/>
              </w:rPr>
              <w:t xml:space="preserve">De </w:t>
            </w:r>
            <w:r w:rsidR="00E45C0B">
              <w:rPr>
                <w:sz w:val="20"/>
                <w:szCs w:val="20"/>
              </w:rPr>
              <w:t>12 h à 13 h</w:t>
            </w:r>
          </w:p>
        </w:tc>
        <w:tc>
          <w:tcPr>
            <w:tcW w:w="7470" w:type="dxa"/>
            <w:gridSpan w:val="2"/>
            <w:shd w:val="clear" w:color="auto" w:fill="F2F2F2" w:themeFill="background1" w:themeFillShade="F2"/>
          </w:tcPr>
          <w:p w14:paraId="62AEBA17" w14:textId="77777777" w:rsidR="00E45C0B" w:rsidRPr="00A0159E" w:rsidRDefault="00E45C0B" w:rsidP="00AD1CA4">
            <w:pPr>
              <w:autoSpaceDE w:val="0"/>
              <w:autoSpaceDN w:val="0"/>
              <w:adjustRightInd w:val="0"/>
              <w:spacing w:before="60" w:after="60"/>
              <w:rPr>
                <w:rFonts w:cs="Arial"/>
                <w:b/>
                <w:bCs/>
                <w:sz w:val="20"/>
                <w:szCs w:val="20"/>
              </w:rPr>
            </w:pPr>
            <w:r>
              <w:rPr>
                <w:b/>
                <w:i/>
                <w:sz w:val="20"/>
                <w:szCs w:val="20"/>
                <w:u w:val="single"/>
              </w:rPr>
              <w:t>Pause-repas</w:t>
            </w:r>
          </w:p>
        </w:tc>
      </w:tr>
      <w:tr w:rsidR="00E45C0B" w:rsidRPr="00CE6A09" w14:paraId="546834B0" w14:textId="77777777" w:rsidTr="00F55979">
        <w:tc>
          <w:tcPr>
            <w:tcW w:w="1885" w:type="dxa"/>
          </w:tcPr>
          <w:p w14:paraId="1DA44080" w14:textId="3808CDA3" w:rsidR="00E45C0B" w:rsidRPr="00A0159E" w:rsidRDefault="002A0631" w:rsidP="00DD0B3A">
            <w:pPr>
              <w:autoSpaceDE w:val="0"/>
              <w:autoSpaceDN w:val="0"/>
              <w:adjustRightInd w:val="0"/>
              <w:spacing w:before="60" w:after="60"/>
              <w:rPr>
                <w:rFonts w:cs="Arial"/>
                <w:sz w:val="20"/>
                <w:szCs w:val="20"/>
              </w:rPr>
            </w:pPr>
            <w:r>
              <w:rPr>
                <w:sz w:val="20"/>
                <w:szCs w:val="20"/>
              </w:rPr>
              <w:t xml:space="preserve">De </w:t>
            </w:r>
            <w:r w:rsidR="00E45C0B">
              <w:rPr>
                <w:sz w:val="20"/>
                <w:szCs w:val="20"/>
              </w:rPr>
              <w:t>13 h</w:t>
            </w:r>
            <w:r>
              <w:rPr>
                <w:sz w:val="20"/>
                <w:szCs w:val="20"/>
              </w:rPr>
              <w:t xml:space="preserve"> </w:t>
            </w:r>
            <w:r w:rsidR="00E45C0B">
              <w:rPr>
                <w:sz w:val="20"/>
                <w:szCs w:val="20"/>
              </w:rPr>
              <w:t>à</w:t>
            </w:r>
            <w:r>
              <w:rPr>
                <w:sz w:val="20"/>
                <w:szCs w:val="20"/>
              </w:rPr>
              <w:t xml:space="preserve"> </w:t>
            </w:r>
            <w:r w:rsidR="00E45C0B">
              <w:rPr>
                <w:sz w:val="20"/>
                <w:szCs w:val="20"/>
              </w:rPr>
              <w:t>15 h</w:t>
            </w:r>
          </w:p>
        </w:tc>
        <w:tc>
          <w:tcPr>
            <w:tcW w:w="4680" w:type="dxa"/>
          </w:tcPr>
          <w:p w14:paraId="414B2C17" w14:textId="44C5BC3C" w:rsidR="00E45C0B" w:rsidRPr="00A0159E" w:rsidRDefault="00E45C0B" w:rsidP="00AD1CA4">
            <w:pPr>
              <w:tabs>
                <w:tab w:val="left" w:pos="1985"/>
              </w:tabs>
              <w:autoSpaceDE w:val="0"/>
              <w:autoSpaceDN w:val="0"/>
              <w:adjustRightInd w:val="0"/>
              <w:spacing w:before="60" w:after="60"/>
              <w:rPr>
                <w:rFonts w:cs="Arial"/>
                <w:sz w:val="20"/>
                <w:szCs w:val="20"/>
              </w:rPr>
            </w:pPr>
            <w:r>
              <w:rPr>
                <w:sz w:val="20"/>
                <w:szCs w:val="20"/>
              </w:rPr>
              <w:t>Morue de l</w:t>
            </w:r>
            <w:r w:rsidR="001B2BE1">
              <w:rPr>
                <w:sz w:val="20"/>
                <w:szCs w:val="20"/>
              </w:rPr>
              <w:t>’</w:t>
            </w:r>
            <w:r>
              <w:rPr>
                <w:sz w:val="20"/>
                <w:szCs w:val="20"/>
              </w:rPr>
              <w:t xml:space="preserve">est du </w:t>
            </w:r>
            <w:r w:rsidR="00E8153D">
              <w:rPr>
                <w:sz w:val="20"/>
                <w:szCs w:val="20"/>
              </w:rPr>
              <w:t>banc Georges</w:t>
            </w:r>
          </w:p>
          <w:p w14:paraId="7BE75408" w14:textId="77777777" w:rsidR="00E45C0B" w:rsidRPr="00A0159E" w:rsidRDefault="00E45C0B" w:rsidP="00AD1CA4">
            <w:pPr>
              <w:tabs>
                <w:tab w:val="left" w:pos="1985"/>
              </w:tabs>
              <w:autoSpaceDE w:val="0"/>
              <w:autoSpaceDN w:val="0"/>
              <w:adjustRightInd w:val="0"/>
              <w:spacing w:before="60" w:after="60"/>
              <w:rPr>
                <w:rFonts w:cs="Arial"/>
                <w:sz w:val="20"/>
                <w:szCs w:val="20"/>
              </w:rPr>
            </w:pPr>
            <w:r>
              <w:rPr>
                <w:sz w:val="20"/>
                <w:szCs w:val="20"/>
              </w:rPr>
              <w:t>Autres méthodes de prestation des avis sur les prises</w:t>
            </w:r>
          </w:p>
        </w:tc>
        <w:tc>
          <w:tcPr>
            <w:tcW w:w="2790" w:type="dxa"/>
          </w:tcPr>
          <w:p w14:paraId="748FA366" w14:textId="77777777" w:rsidR="00E45C0B" w:rsidRPr="00B9529C" w:rsidRDefault="00E45C0B" w:rsidP="00AD1CA4">
            <w:pPr>
              <w:autoSpaceDE w:val="0"/>
              <w:autoSpaceDN w:val="0"/>
              <w:adjustRightInd w:val="0"/>
              <w:spacing w:before="60" w:after="60"/>
              <w:rPr>
                <w:rFonts w:cs="Arial"/>
                <w:bCs/>
                <w:sz w:val="20"/>
                <w:szCs w:val="20"/>
                <w:lang w:val="en-CA"/>
              </w:rPr>
            </w:pPr>
            <w:r w:rsidRPr="00B9529C">
              <w:rPr>
                <w:bCs/>
                <w:sz w:val="20"/>
                <w:szCs w:val="20"/>
                <w:lang w:val="en-CA"/>
              </w:rPr>
              <w:t>Irene Andrushchenko (Canada)</w:t>
            </w:r>
          </w:p>
          <w:p w14:paraId="457C80DB" w14:textId="70D3115A" w:rsidR="00E45C0B" w:rsidRPr="00B9529C" w:rsidRDefault="00E45C0B" w:rsidP="00AD1CA4">
            <w:pPr>
              <w:autoSpaceDE w:val="0"/>
              <w:autoSpaceDN w:val="0"/>
              <w:adjustRightInd w:val="0"/>
              <w:spacing w:before="60" w:after="60"/>
              <w:rPr>
                <w:rFonts w:cs="Arial"/>
                <w:sz w:val="20"/>
                <w:szCs w:val="20"/>
                <w:lang w:val="en-CA"/>
              </w:rPr>
            </w:pPr>
            <w:r w:rsidRPr="00B9529C">
              <w:rPr>
                <w:bCs/>
                <w:sz w:val="20"/>
                <w:szCs w:val="20"/>
                <w:lang w:val="en-CA"/>
              </w:rPr>
              <w:t>Chris</w:t>
            </w:r>
            <w:r w:rsidR="00900464">
              <w:rPr>
                <w:bCs/>
                <w:sz w:val="20"/>
                <w:szCs w:val="20"/>
                <w:lang w:val="en-CA"/>
              </w:rPr>
              <w:t> </w:t>
            </w:r>
            <w:r w:rsidRPr="00B9529C">
              <w:rPr>
                <w:bCs/>
                <w:sz w:val="20"/>
                <w:szCs w:val="20"/>
                <w:lang w:val="en-CA"/>
              </w:rPr>
              <w:t>Legault (É.-U.)</w:t>
            </w:r>
          </w:p>
        </w:tc>
      </w:tr>
      <w:tr w:rsidR="00E45C0B" w:rsidRPr="00A0159E" w14:paraId="04269DBD" w14:textId="77777777" w:rsidTr="00F55979">
        <w:tc>
          <w:tcPr>
            <w:tcW w:w="1885" w:type="dxa"/>
            <w:shd w:val="clear" w:color="auto" w:fill="F2F2F2" w:themeFill="background1" w:themeFillShade="F2"/>
          </w:tcPr>
          <w:p w14:paraId="3CBA29B1" w14:textId="71CADE80" w:rsidR="00E45C0B" w:rsidRPr="00A0159E" w:rsidRDefault="002A0631" w:rsidP="00AD1CA4">
            <w:pPr>
              <w:autoSpaceDE w:val="0"/>
              <w:autoSpaceDN w:val="0"/>
              <w:adjustRightInd w:val="0"/>
              <w:spacing w:before="60" w:after="60"/>
              <w:rPr>
                <w:rFonts w:cs="Arial"/>
                <w:sz w:val="20"/>
                <w:szCs w:val="20"/>
              </w:rPr>
            </w:pPr>
            <w:r>
              <w:rPr>
                <w:sz w:val="20"/>
                <w:szCs w:val="20"/>
              </w:rPr>
              <w:t xml:space="preserve">De </w:t>
            </w:r>
            <w:r w:rsidR="00E45C0B">
              <w:rPr>
                <w:sz w:val="20"/>
                <w:szCs w:val="20"/>
              </w:rPr>
              <w:t>15 h à 15 h 15</w:t>
            </w:r>
          </w:p>
        </w:tc>
        <w:tc>
          <w:tcPr>
            <w:tcW w:w="7470" w:type="dxa"/>
            <w:gridSpan w:val="2"/>
            <w:shd w:val="clear" w:color="auto" w:fill="F2F2F2" w:themeFill="background1" w:themeFillShade="F2"/>
          </w:tcPr>
          <w:p w14:paraId="4CDE3867" w14:textId="77777777" w:rsidR="00E45C0B" w:rsidRPr="00A0159E" w:rsidRDefault="00E45C0B" w:rsidP="00AD1CA4">
            <w:pPr>
              <w:autoSpaceDE w:val="0"/>
              <w:autoSpaceDN w:val="0"/>
              <w:adjustRightInd w:val="0"/>
              <w:spacing w:before="60" w:after="60"/>
              <w:rPr>
                <w:rFonts w:cs="Arial"/>
                <w:sz w:val="20"/>
                <w:szCs w:val="20"/>
              </w:rPr>
            </w:pPr>
            <w:r>
              <w:rPr>
                <w:b/>
                <w:i/>
                <w:sz w:val="20"/>
                <w:szCs w:val="20"/>
                <w:u w:val="single"/>
              </w:rPr>
              <w:t>Pause</w:t>
            </w:r>
          </w:p>
        </w:tc>
      </w:tr>
      <w:tr w:rsidR="00E45C0B" w:rsidRPr="00CE6A09" w14:paraId="2B626A32" w14:textId="77777777" w:rsidTr="00F55979">
        <w:tc>
          <w:tcPr>
            <w:tcW w:w="1885" w:type="dxa"/>
          </w:tcPr>
          <w:p w14:paraId="587E18BA" w14:textId="0EC6C306" w:rsidR="00E45C0B" w:rsidRPr="00A0159E" w:rsidRDefault="002A0631" w:rsidP="00AD1CA4">
            <w:pPr>
              <w:autoSpaceDE w:val="0"/>
              <w:autoSpaceDN w:val="0"/>
              <w:adjustRightInd w:val="0"/>
              <w:spacing w:before="60" w:after="60"/>
              <w:rPr>
                <w:rFonts w:cs="Arial"/>
                <w:sz w:val="20"/>
                <w:szCs w:val="20"/>
              </w:rPr>
            </w:pPr>
            <w:r>
              <w:rPr>
                <w:sz w:val="20"/>
                <w:szCs w:val="20"/>
              </w:rPr>
              <w:t xml:space="preserve">De </w:t>
            </w:r>
            <w:r w:rsidR="00E45C0B">
              <w:rPr>
                <w:sz w:val="20"/>
                <w:szCs w:val="20"/>
              </w:rPr>
              <w:t>15 h 15 à 17 h</w:t>
            </w:r>
          </w:p>
        </w:tc>
        <w:tc>
          <w:tcPr>
            <w:tcW w:w="4680" w:type="dxa"/>
          </w:tcPr>
          <w:p w14:paraId="788772D4" w14:textId="77777777" w:rsidR="00E45C0B" w:rsidRPr="00A0159E" w:rsidRDefault="00E45C0B" w:rsidP="00AD1CA4">
            <w:pPr>
              <w:tabs>
                <w:tab w:val="left" w:pos="1985"/>
              </w:tabs>
              <w:autoSpaceDE w:val="0"/>
              <w:autoSpaceDN w:val="0"/>
              <w:adjustRightInd w:val="0"/>
              <w:spacing w:before="60" w:after="60"/>
              <w:rPr>
                <w:rFonts w:cs="Arial"/>
                <w:sz w:val="20"/>
                <w:szCs w:val="20"/>
              </w:rPr>
            </w:pPr>
            <w:r>
              <w:rPr>
                <w:sz w:val="20"/>
                <w:szCs w:val="20"/>
              </w:rPr>
              <w:t>Autres méthodes de prestation des avis sur les prises (suite)</w:t>
            </w:r>
          </w:p>
          <w:p w14:paraId="7F4D385B" w14:textId="77777777" w:rsidR="00E45C0B" w:rsidRPr="00A0159E" w:rsidRDefault="00E45C0B" w:rsidP="00AD1CA4">
            <w:pPr>
              <w:tabs>
                <w:tab w:val="left" w:pos="1985"/>
              </w:tabs>
              <w:autoSpaceDE w:val="0"/>
              <w:autoSpaceDN w:val="0"/>
              <w:adjustRightInd w:val="0"/>
              <w:spacing w:before="60" w:after="60"/>
              <w:rPr>
                <w:rFonts w:cs="Arial"/>
                <w:i/>
                <w:sz w:val="20"/>
                <w:szCs w:val="20"/>
                <w:u w:val="single"/>
              </w:rPr>
            </w:pPr>
            <w:r>
              <w:rPr>
                <w:sz w:val="20"/>
                <w:szCs w:val="20"/>
              </w:rPr>
              <w:t>Discussion</w:t>
            </w:r>
          </w:p>
        </w:tc>
        <w:tc>
          <w:tcPr>
            <w:tcW w:w="2790" w:type="dxa"/>
          </w:tcPr>
          <w:p w14:paraId="5077F950" w14:textId="77777777" w:rsidR="00E45C0B" w:rsidRPr="00B9529C" w:rsidRDefault="00E45C0B" w:rsidP="00AD1CA4">
            <w:pPr>
              <w:autoSpaceDE w:val="0"/>
              <w:autoSpaceDN w:val="0"/>
              <w:adjustRightInd w:val="0"/>
              <w:spacing w:before="60" w:after="60"/>
              <w:rPr>
                <w:rFonts w:cs="Arial"/>
                <w:bCs/>
                <w:sz w:val="20"/>
                <w:szCs w:val="20"/>
                <w:lang w:val="en-CA"/>
              </w:rPr>
            </w:pPr>
            <w:r w:rsidRPr="00B9529C">
              <w:rPr>
                <w:bCs/>
                <w:sz w:val="20"/>
                <w:szCs w:val="20"/>
                <w:lang w:val="en-CA"/>
              </w:rPr>
              <w:t>Irene Andrushchenko (Canada)</w:t>
            </w:r>
          </w:p>
          <w:p w14:paraId="25A44E73" w14:textId="6C4D9571" w:rsidR="00E45C0B" w:rsidRPr="00B9529C" w:rsidRDefault="00E45C0B" w:rsidP="00AD1CA4">
            <w:pPr>
              <w:autoSpaceDE w:val="0"/>
              <w:autoSpaceDN w:val="0"/>
              <w:adjustRightInd w:val="0"/>
              <w:spacing w:before="60" w:after="60"/>
              <w:rPr>
                <w:rFonts w:cs="Arial"/>
                <w:bCs/>
                <w:sz w:val="20"/>
                <w:szCs w:val="20"/>
                <w:lang w:val="en-CA"/>
              </w:rPr>
            </w:pPr>
            <w:r w:rsidRPr="00B9529C">
              <w:rPr>
                <w:bCs/>
                <w:sz w:val="20"/>
                <w:szCs w:val="20"/>
                <w:lang w:val="en-CA"/>
              </w:rPr>
              <w:t>Chris</w:t>
            </w:r>
            <w:r w:rsidR="00900464">
              <w:rPr>
                <w:bCs/>
                <w:sz w:val="20"/>
                <w:szCs w:val="20"/>
                <w:lang w:val="en-CA"/>
              </w:rPr>
              <w:t> </w:t>
            </w:r>
            <w:r w:rsidRPr="00B9529C">
              <w:rPr>
                <w:bCs/>
                <w:sz w:val="20"/>
                <w:szCs w:val="20"/>
                <w:lang w:val="en-CA"/>
              </w:rPr>
              <w:t>Legault (É.-U.)</w:t>
            </w:r>
          </w:p>
        </w:tc>
      </w:tr>
    </w:tbl>
    <w:p w14:paraId="5F4061EC" w14:textId="77777777" w:rsidR="00E16FA6" w:rsidRPr="00CE6A09" w:rsidRDefault="00E16FA6">
      <w:pPr>
        <w:spacing w:before="0" w:after="0"/>
        <w:rPr>
          <w:b/>
          <w:bCs/>
          <w:szCs w:val="22"/>
          <w:u w:val="single"/>
        </w:rPr>
      </w:pPr>
      <w:r w:rsidRPr="00CE6A09">
        <w:rPr>
          <w:b/>
          <w:bCs/>
          <w:szCs w:val="22"/>
          <w:u w:val="single"/>
        </w:rPr>
        <w:br w:type="page"/>
      </w:r>
    </w:p>
    <w:p w14:paraId="4136D602" w14:textId="7AE28620" w:rsidR="00E45C0B" w:rsidRPr="00A0159E" w:rsidRDefault="00E45C0B" w:rsidP="005275A7">
      <w:pPr>
        <w:spacing w:after="200" w:line="276" w:lineRule="auto"/>
        <w:rPr>
          <w:rFonts w:cs="Arial"/>
          <w:b/>
          <w:bCs/>
          <w:szCs w:val="22"/>
        </w:rPr>
      </w:pPr>
      <w:r>
        <w:rPr>
          <w:b/>
          <w:bCs/>
          <w:szCs w:val="22"/>
          <w:u w:val="single"/>
        </w:rPr>
        <w:lastRenderedPageBreak/>
        <w:t>JOUR 3 (</w:t>
      </w:r>
      <w:r w:rsidR="002A0631">
        <w:rPr>
          <w:b/>
          <w:bCs/>
          <w:szCs w:val="22"/>
          <w:u w:val="single"/>
        </w:rPr>
        <w:t xml:space="preserve">le </w:t>
      </w:r>
      <w:r>
        <w:rPr>
          <w:b/>
          <w:bCs/>
          <w:szCs w:val="22"/>
          <w:u w:val="single"/>
        </w:rPr>
        <w:t>jeudi 11</w:t>
      </w:r>
      <w:r w:rsidR="003F1B5F">
        <w:rPr>
          <w:b/>
          <w:bCs/>
          <w:szCs w:val="22"/>
          <w:u w:val="single"/>
        </w:rPr>
        <w:t> </w:t>
      </w:r>
      <w:r>
        <w:rPr>
          <w:b/>
          <w:bCs/>
          <w:szCs w:val="22"/>
          <w:u w:val="single"/>
        </w:rPr>
        <w:t>juillet 2019)</w:t>
      </w:r>
    </w:p>
    <w:tbl>
      <w:tblPr>
        <w:tblStyle w:val="TableGrid"/>
        <w:tblW w:w="9355" w:type="dxa"/>
        <w:tblLook w:val="04A0" w:firstRow="1" w:lastRow="0" w:firstColumn="1" w:lastColumn="0" w:noHBand="0" w:noVBand="1"/>
      </w:tblPr>
      <w:tblGrid>
        <w:gridCol w:w="1975"/>
        <w:gridCol w:w="4755"/>
        <w:gridCol w:w="2625"/>
      </w:tblGrid>
      <w:tr w:rsidR="00E45C0B" w:rsidRPr="00A0159E" w14:paraId="150A07E4" w14:textId="77777777" w:rsidTr="00F55979">
        <w:tc>
          <w:tcPr>
            <w:tcW w:w="1975" w:type="dxa"/>
            <w:shd w:val="clear" w:color="auto" w:fill="BFBFBF" w:themeFill="background1" w:themeFillShade="BF"/>
          </w:tcPr>
          <w:p w14:paraId="6FBCD1FB" w14:textId="77777777" w:rsidR="00E45C0B" w:rsidRPr="00A0159E" w:rsidRDefault="00E45C0B" w:rsidP="00AD1CA4">
            <w:pPr>
              <w:autoSpaceDE w:val="0"/>
              <w:autoSpaceDN w:val="0"/>
              <w:adjustRightInd w:val="0"/>
              <w:spacing w:before="60" w:after="60"/>
              <w:jc w:val="center"/>
              <w:rPr>
                <w:rFonts w:cs="Arial"/>
                <w:b/>
                <w:bCs/>
                <w:sz w:val="20"/>
                <w:szCs w:val="20"/>
                <w:u w:val="single"/>
              </w:rPr>
            </w:pPr>
            <w:r>
              <w:rPr>
                <w:b/>
                <w:bCs/>
                <w:sz w:val="20"/>
                <w:szCs w:val="20"/>
                <w:u w:val="single"/>
              </w:rPr>
              <w:t>Heure</w:t>
            </w:r>
          </w:p>
        </w:tc>
        <w:tc>
          <w:tcPr>
            <w:tcW w:w="4755" w:type="dxa"/>
            <w:shd w:val="clear" w:color="auto" w:fill="BFBFBF" w:themeFill="background1" w:themeFillShade="BF"/>
          </w:tcPr>
          <w:p w14:paraId="39D0806C" w14:textId="77777777" w:rsidR="00E45C0B" w:rsidRPr="00A0159E" w:rsidRDefault="00E45C0B" w:rsidP="00AD1CA4">
            <w:pPr>
              <w:autoSpaceDE w:val="0"/>
              <w:autoSpaceDN w:val="0"/>
              <w:adjustRightInd w:val="0"/>
              <w:spacing w:before="60" w:after="60"/>
              <w:jc w:val="center"/>
              <w:rPr>
                <w:rFonts w:cs="Arial"/>
                <w:b/>
                <w:bCs/>
                <w:sz w:val="20"/>
                <w:szCs w:val="20"/>
                <w:u w:val="single"/>
              </w:rPr>
            </w:pPr>
            <w:r>
              <w:rPr>
                <w:b/>
                <w:bCs/>
                <w:sz w:val="20"/>
                <w:szCs w:val="20"/>
                <w:u w:val="single"/>
              </w:rPr>
              <w:t>Sujet</w:t>
            </w:r>
          </w:p>
        </w:tc>
        <w:tc>
          <w:tcPr>
            <w:tcW w:w="2625" w:type="dxa"/>
            <w:shd w:val="clear" w:color="auto" w:fill="BFBFBF" w:themeFill="background1" w:themeFillShade="BF"/>
          </w:tcPr>
          <w:p w14:paraId="0EDB7AFD" w14:textId="77777777" w:rsidR="00E45C0B" w:rsidRPr="00A0159E" w:rsidRDefault="00E45C0B" w:rsidP="00AD1CA4">
            <w:pPr>
              <w:autoSpaceDE w:val="0"/>
              <w:autoSpaceDN w:val="0"/>
              <w:adjustRightInd w:val="0"/>
              <w:spacing w:before="60" w:after="60"/>
              <w:jc w:val="center"/>
              <w:rPr>
                <w:rFonts w:cs="Arial"/>
                <w:b/>
                <w:bCs/>
                <w:sz w:val="20"/>
                <w:szCs w:val="20"/>
                <w:u w:val="single"/>
              </w:rPr>
            </w:pPr>
            <w:r>
              <w:rPr>
                <w:b/>
                <w:bCs/>
                <w:sz w:val="20"/>
                <w:szCs w:val="20"/>
                <w:u w:val="single"/>
              </w:rPr>
              <w:t>Responsables</w:t>
            </w:r>
          </w:p>
        </w:tc>
      </w:tr>
      <w:tr w:rsidR="00E45C0B" w:rsidRPr="00A0159E" w14:paraId="2A14AD2F" w14:textId="77777777" w:rsidTr="00F55979">
        <w:tc>
          <w:tcPr>
            <w:tcW w:w="1975" w:type="dxa"/>
          </w:tcPr>
          <w:p w14:paraId="3CDD7059" w14:textId="485FB3E0" w:rsidR="00E45C0B" w:rsidRPr="00A0159E" w:rsidRDefault="002A0631" w:rsidP="00AD1CA4">
            <w:pPr>
              <w:autoSpaceDE w:val="0"/>
              <w:autoSpaceDN w:val="0"/>
              <w:adjustRightInd w:val="0"/>
              <w:spacing w:before="60" w:after="60"/>
              <w:rPr>
                <w:rFonts w:cs="Arial"/>
                <w:b/>
                <w:bCs/>
                <w:sz w:val="20"/>
                <w:szCs w:val="20"/>
                <w:u w:val="single"/>
              </w:rPr>
            </w:pPr>
            <w:r>
              <w:rPr>
                <w:sz w:val="20"/>
                <w:szCs w:val="20"/>
              </w:rPr>
              <w:t xml:space="preserve">De </w:t>
            </w:r>
            <w:r w:rsidR="00E45C0B">
              <w:rPr>
                <w:sz w:val="20"/>
                <w:szCs w:val="20"/>
              </w:rPr>
              <w:t>9 h à 10 h</w:t>
            </w:r>
          </w:p>
        </w:tc>
        <w:tc>
          <w:tcPr>
            <w:tcW w:w="4755" w:type="dxa"/>
          </w:tcPr>
          <w:p w14:paraId="162BDADB" w14:textId="77777777" w:rsidR="00E45C0B" w:rsidRPr="00A0159E" w:rsidRDefault="00E45C0B" w:rsidP="00AD1CA4">
            <w:pPr>
              <w:autoSpaceDE w:val="0"/>
              <w:autoSpaceDN w:val="0"/>
              <w:adjustRightInd w:val="0"/>
              <w:spacing w:before="60" w:after="60"/>
              <w:rPr>
                <w:rFonts w:cs="Arial"/>
                <w:b/>
                <w:bCs/>
                <w:sz w:val="20"/>
                <w:szCs w:val="20"/>
                <w:u w:val="single"/>
              </w:rPr>
            </w:pPr>
            <w:r>
              <w:rPr>
                <w:sz w:val="20"/>
                <w:szCs w:val="20"/>
              </w:rPr>
              <w:t>Récapitulation du jour 2 et travaux à faire</w:t>
            </w:r>
          </w:p>
        </w:tc>
        <w:tc>
          <w:tcPr>
            <w:tcW w:w="2625" w:type="dxa"/>
          </w:tcPr>
          <w:p w14:paraId="2B77B2D7" w14:textId="5CC69420" w:rsidR="00E45C0B" w:rsidRPr="00A0159E" w:rsidRDefault="00E45C0B" w:rsidP="00DD0B3A">
            <w:pPr>
              <w:autoSpaceDE w:val="0"/>
              <w:autoSpaceDN w:val="0"/>
              <w:adjustRightInd w:val="0"/>
              <w:spacing w:before="60" w:after="60"/>
              <w:rPr>
                <w:rFonts w:cs="Arial"/>
                <w:bCs/>
                <w:sz w:val="20"/>
                <w:szCs w:val="20"/>
              </w:rPr>
            </w:pPr>
            <w:r>
              <w:rPr>
                <w:bCs/>
                <w:sz w:val="20"/>
                <w:szCs w:val="20"/>
              </w:rPr>
              <w:t>John</w:t>
            </w:r>
            <w:r w:rsidR="00900464">
              <w:rPr>
                <w:bCs/>
                <w:sz w:val="20"/>
                <w:szCs w:val="20"/>
              </w:rPr>
              <w:t> </w:t>
            </w:r>
            <w:r>
              <w:rPr>
                <w:bCs/>
                <w:sz w:val="20"/>
                <w:szCs w:val="20"/>
              </w:rPr>
              <w:t>Ne</w:t>
            </w:r>
            <w:r w:rsidR="003B4EEC">
              <w:rPr>
                <w:bCs/>
                <w:sz w:val="20"/>
                <w:szCs w:val="20"/>
              </w:rPr>
              <w:t>i</w:t>
            </w:r>
            <w:r>
              <w:rPr>
                <w:bCs/>
                <w:sz w:val="20"/>
                <w:szCs w:val="20"/>
              </w:rPr>
              <w:t>lson</w:t>
            </w:r>
          </w:p>
        </w:tc>
      </w:tr>
      <w:tr w:rsidR="00E45C0B" w:rsidRPr="00A0159E" w14:paraId="12263F63" w14:textId="77777777" w:rsidTr="00F55979">
        <w:tc>
          <w:tcPr>
            <w:tcW w:w="1975" w:type="dxa"/>
            <w:shd w:val="clear" w:color="auto" w:fill="F2F2F2" w:themeFill="background1" w:themeFillShade="F2"/>
          </w:tcPr>
          <w:p w14:paraId="7644BE0F" w14:textId="1A847D4E" w:rsidR="00E45C0B" w:rsidRPr="00A0159E" w:rsidRDefault="002A0631" w:rsidP="00AD1CA4">
            <w:pPr>
              <w:autoSpaceDE w:val="0"/>
              <w:autoSpaceDN w:val="0"/>
              <w:adjustRightInd w:val="0"/>
              <w:spacing w:before="60" w:after="60"/>
              <w:rPr>
                <w:rFonts w:cs="Arial"/>
                <w:b/>
                <w:bCs/>
                <w:sz w:val="20"/>
                <w:szCs w:val="20"/>
                <w:u w:val="single"/>
              </w:rPr>
            </w:pPr>
            <w:r>
              <w:rPr>
                <w:sz w:val="20"/>
                <w:szCs w:val="20"/>
              </w:rPr>
              <w:t xml:space="preserve">De </w:t>
            </w:r>
            <w:r w:rsidR="00E45C0B">
              <w:rPr>
                <w:sz w:val="20"/>
                <w:szCs w:val="20"/>
              </w:rPr>
              <w:t>10 h à 10 h 15</w:t>
            </w:r>
          </w:p>
        </w:tc>
        <w:tc>
          <w:tcPr>
            <w:tcW w:w="7380" w:type="dxa"/>
            <w:gridSpan w:val="2"/>
            <w:shd w:val="clear" w:color="auto" w:fill="F2F2F2" w:themeFill="background1" w:themeFillShade="F2"/>
          </w:tcPr>
          <w:p w14:paraId="463C4B6C" w14:textId="77777777" w:rsidR="00E45C0B" w:rsidRPr="00A0159E" w:rsidRDefault="00E45C0B" w:rsidP="00AD1CA4">
            <w:pPr>
              <w:autoSpaceDE w:val="0"/>
              <w:autoSpaceDN w:val="0"/>
              <w:adjustRightInd w:val="0"/>
              <w:spacing w:before="60" w:after="60"/>
              <w:rPr>
                <w:rFonts w:cs="Arial"/>
                <w:b/>
                <w:bCs/>
                <w:sz w:val="20"/>
                <w:szCs w:val="20"/>
              </w:rPr>
            </w:pPr>
            <w:r>
              <w:rPr>
                <w:b/>
                <w:i/>
                <w:sz w:val="20"/>
                <w:szCs w:val="20"/>
                <w:u w:val="single"/>
              </w:rPr>
              <w:t>Pause</w:t>
            </w:r>
          </w:p>
        </w:tc>
      </w:tr>
      <w:tr w:rsidR="00E45C0B" w:rsidRPr="00CE6A09" w14:paraId="494E5172" w14:textId="77777777" w:rsidTr="00F55979">
        <w:tc>
          <w:tcPr>
            <w:tcW w:w="1975" w:type="dxa"/>
          </w:tcPr>
          <w:p w14:paraId="605A6193" w14:textId="6E33CBE6" w:rsidR="00E45C0B" w:rsidRPr="00A0159E" w:rsidRDefault="002A0631" w:rsidP="00DD0B3A">
            <w:pPr>
              <w:autoSpaceDE w:val="0"/>
              <w:autoSpaceDN w:val="0"/>
              <w:adjustRightInd w:val="0"/>
              <w:spacing w:before="60" w:after="60"/>
              <w:rPr>
                <w:rFonts w:cs="Arial"/>
                <w:sz w:val="20"/>
                <w:szCs w:val="20"/>
              </w:rPr>
            </w:pPr>
            <w:r>
              <w:rPr>
                <w:sz w:val="20"/>
                <w:szCs w:val="20"/>
              </w:rPr>
              <w:t xml:space="preserve">De </w:t>
            </w:r>
            <w:r w:rsidR="00E45C0B">
              <w:rPr>
                <w:sz w:val="20"/>
                <w:szCs w:val="20"/>
              </w:rPr>
              <w:t>10 h</w:t>
            </w:r>
            <w:r>
              <w:rPr>
                <w:sz w:val="20"/>
                <w:szCs w:val="20"/>
              </w:rPr>
              <w:t> </w:t>
            </w:r>
            <w:r w:rsidR="00E45C0B">
              <w:rPr>
                <w:sz w:val="20"/>
                <w:szCs w:val="20"/>
              </w:rPr>
              <w:t>15 à 11 h</w:t>
            </w:r>
            <w:r>
              <w:rPr>
                <w:sz w:val="20"/>
                <w:szCs w:val="20"/>
              </w:rPr>
              <w:t> </w:t>
            </w:r>
            <w:r w:rsidR="00E45C0B">
              <w:rPr>
                <w:sz w:val="20"/>
                <w:szCs w:val="20"/>
              </w:rPr>
              <w:t>15</w:t>
            </w:r>
          </w:p>
        </w:tc>
        <w:tc>
          <w:tcPr>
            <w:tcW w:w="4755" w:type="dxa"/>
          </w:tcPr>
          <w:p w14:paraId="065E2F7B" w14:textId="5422364E" w:rsidR="00E45C0B" w:rsidRPr="00A0159E" w:rsidRDefault="00E45C0B" w:rsidP="00AD1CA4">
            <w:pPr>
              <w:tabs>
                <w:tab w:val="left" w:pos="1985"/>
              </w:tabs>
              <w:autoSpaceDE w:val="0"/>
              <w:autoSpaceDN w:val="0"/>
              <w:adjustRightInd w:val="0"/>
              <w:spacing w:before="60" w:after="60"/>
              <w:rPr>
                <w:rFonts w:cs="Arial"/>
                <w:sz w:val="20"/>
                <w:szCs w:val="20"/>
              </w:rPr>
            </w:pPr>
            <w:r>
              <w:rPr>
                <w:sz w:val="20"/>
                <w:szCs w:val="20"/>
              </w:rPr>
              <w:t xml:space="preserve">Examen du rapport scientifique du CERT sur la limande à queue jaune du </w:t>
            </w:r>
            <w:r w:rsidR="00E8153D">
              <w:rPr>
                <w:sz w:val="20"/>
                <w:szCs w:val="20"/>
              </w:rPr>
              <w:t>banc Georges</w:t>
            </w:r>
          </w:p>
        </w:tc>
        <w:tc>
          <w:tcPr>
            <w:tcW w:w="2625" w:type="dxa"/>
          </w:tcPr>
          <w:p w14:paraId="66502473" w14:textId="3F8A4300" w:rsidR="00E45C0B" w:rsidRPr="00B9529C" w:rsidRDefault="00E45C0B" w:rsidP="00AD1CA4">
            <w:pPr>
              <w:autoSpaceDE w:val="0"/>
              <w:autoSpaceDN w:val="0"/>
              <w:adjustRightInd w:val="0"/>
              <w:spacing w:before="60" w:after="60"/>
              <w:rPr>
                <w:rFonts w:cs="Arial"/>
                <w:sz w:val="20"/>
                <w:szCs w:val="20"/>
                <w:lang w:val="en-CA"/>
              </w:rPr>
            </w:pPr>
            <w:r w:rsidRPr="00B9529C">
              <w:rPr>
                <w:sz w:val="20"/>
                <w:szCs w:val="20"/>
                <w:lang w:val="en-CA"/>
              </w:rPr>
              <w:t>Chris</w:t>
            </w:r>
            <w:r w:rsidR="00900464">
              <w:rPr>
                <w:sz w:val="20"/>
                <w:szCs w:val="20"/>
                <w:lang w:val="en-CA"/>
              </w:rPr>
              <w:t> </w:t>
            </w:r>
            <w:r w:rsidRPr="00B9529C">
              <w:rPr>
                <w:sz w:val="20"/>
                <w:szCs w:val="20"/>
                <w:lang w:val="en-CA"/>
              </w:rPr>
              <w:t>Legault (É.-U.)</w:t>
            </w:r>
          </w:p>
          <w:p w14:paraId="2B933468" w14:textId="77777777" w:rsidR="00E45C0B" w:rsidRPr="00B9529C" w:rsidRDefault="00E45C0B" w:rsidP="00AD1CA4">
            <w:pPr>
              <w:autoSpaceDE w:val="0"/>
              <w:autoSpaceDN w:val="0"/>
              <w:adjustRightInd w:val="0"/>
              <w:spacing w:before="60" w:after="60"/>
              <w:rPr>
                <w:rFonts w:cs="Arial"/>
                <w:sz w:val="20"/>
                <w:szCs w:val="20"/>
                <w:highlight w:val="yellow"/>
                <w:lang w:val="en-CA"/>
              </w:rPr>
            </w:pPr>
            <w:r w:rsidRPr="00B9529C">
              <w:rPr>
                <w:sz w:val="20"/>
                <w:szCs w:val="20"/>
                <w:lang w:val="en-CA"/>
              </w:rPr>
              <w:t>Monica Finley (Canada)</w:t>
            </w:r>
          </w:p>
        </w:tc>
      </w:tr>
      <w:tr w:rsidR="00E45C0B" w:rsidRPr="00CE6A09" w14:paraId="41C48F11" w14:textId="77777777" w:rsidTr="00F55979">
        <w:tc>
          <w:tcPr>
            <w:tcW w:w="1975" w:type="dxa"/>
          </w:tcPr>
          <w:p w14:paraId="5C97702F" w14:textId="5A371F76" w:rsidR="00E45C0B" w:rsidRPr="00A0159E" w:rsidRDefault="002A0631" w:rsidP="00AD1CA4">
            <w:pPr>
              <w:autoSpaceDE w:val="0"/>
              <w:autoSpaceDN w:val="0"/>
              <w:adjustRightInd w:val="0"/>
              <w:spacing w:before="60" w:after="60"/>
              <w:rPr>
                <w:rFonts w:cs="Arial"/>
                <w:sz w:val="20"/>
                <w:szCs w:val="20"/>
              </w:rPr>
            </w:pPr>
            <w:r>
              <w:rPr>
                <w:sz w:val="20"/>
                <w:szCs w:val="20"/>
              </w:rPr>
              <w:t xml:space="preserve">De </w:t>
            </w:r>
            <w:r w:rsidR="00E45C0B">
              <w:rPr>
                <w:sz w:val="20"/>
                <w:szCs w:val="20"/>
              </w:rPr>
              <w:t>11 h 15 à 12 h 15</w:t>
            </w:r>
          </w:p>
        </w:tc>
        <w:tc>
          <w:tcPr>
            <w:tcW w:w="4755" w:type="dxa"/>
          </w:tcPr>
          <w:p w14:paraId="38B798E3" w14:textId="363929B9" w:rsidR="00E45C0B" w:rsidRPr="00A0159E" w:rsidRDefault="00E45C0B" w:rsidP="00AD1CA4">
            <w:pPr>
              <w:tabs>
                <w:tab w:val="left" w:pos="1985"/>
              </w:tabs>
              <w:autoSpaceDE w:val="0"/>
              <w:autoSpaceDN w:val="0"/>
              <w:adjustRightInd w:val="0"/>
              <w:spacing w:before="60" w:after="60"/>
              <w:rPr>
                <w:rFonts w:cs="Arial"/>
                <w:sz w:val="20"/>
                <w:szCs w:val="20"/>
              </w:rPr>
            </w:pPr>
            <w:r>
              <w:rPr>
                <w:sz w:val="20"/>
                <w:szCs w:val="20"/>
              </w:rPr>
              <w:t>Examen du rapport scientifique du CERT sur l</w:t>
            </w:r>
            <w:r w:rsidR="001B2BE1">
              <w:rPr>
                <w:sz w:val="20"/>
                <w:szCs w:val="20"/>
              </w:rPr>
              <w:t>’</w:t>
            </w:r>
            <w:r>
              <w:rPr>
                <w:sz w:val="20"/>
                <w:szCs w:val="20"/>
              </w:rPr>
              <w:t>aiglefin de l</w:t>
            </w:r>
            <w:r w:rsidR="001B2BE1">
              <w:rPr>
                <w:sz w:val="20"/>
                <w:szCs w:val="20"/>
              </w:rPr>
              <w:t>’</w:t>
            </w:r>
            <w:r>
              <w:rPr>
                <w:sz w:val="20"/>
                <w:szCs w:val="20"/>
              </w:rPr>
              <w:t xml:space="preserve">est du </w:t>
            </w:r>
            <w:r w:rsidR="00E8153D">
              <w:rPr>
                <w:sz w:val="20"/>
                <w:szCs w:val="20"/>
              </w:rPr>
              <w:t>banc Georges</w:t>
            </w:r>
          </w:p>
        </w:tc>
        <w:tc>
          <w:tcPr>
            <w:tcW w:w="2625" w:type="dxa"/>
          </w:tcPr>
          <w:p w14:paraId="7670FFD3" w14:textId="77777777" w:rsidR="00E45C0B" w:rsidRPr="00B9529C" w:rsidRDefault="00E45C0B" w:rsidP="00AD1CA4">
            <w:pPr>
              <w:autoSpaceDE w:val="0"/>
              <w:autoSpaceDN w:val="0"/>
              <w:adjustRightInd w:val="0"/>
              <w:spacing w:before="60" w:after="60"/>
              <w:rPr>
                <w:rFonts w:cs="Arial"/>
                <w:sz w:val="20"/>
                <w:szCs w:val="20"/>
                <w:lang w:val="en-CA"/>
              </w:rPr>
            </w:pPr>
            <w:r w:rsidRPr="00B9529C">
              <w:rPr>
                <w:sz w:val="20"/>
                <w:szCs w:val="20"/>
                <w:lang w:val="en-CA"/>
              </w:rPr>
              <w:t>Monica Finley (Canada)</w:t>
            </w:r>
          </w:p>
          <w:p w14:paraId="681326CE" w14:textId="4A026610" w:rsidR="00E45C0B" w:rsidRPr="00B9529C" w:rsidRDefault="00E45C0B" w:rsidP="00AD1CA4">
            <w:pPr>
              <w:autoSpaceDE w:val="0"/>
              <w:autoSpaceDN w:val="0"/>
              <w:adjustRightInd w:val="0"/>
              <w:spacing w:before="60" w:after="60"/>
              <w:rPr>
                <w:rFonts w:cs="Arial"/>
                <w:sz w:val="20"/>
                <w:szCs w:val="20"/>
                <w:lang w:val="en-CA"/>
              </w:rPr>
            </w:pPr>
            <w:r w:rsidRPr="00B9529C">
              <w:rPr>
                <w:sz w:val="20"/>
                <w:szCs w:val="20"/>
                <w:lang w:val="en-CA"/>
              </w:rPr>
              <w:t>Liz</w:t>
            </w:r>
            <w:r w:rsidR="00900464">
              <w:rPr>
                <w:sz w:val="20"/>
                <w:szCs w:val="20"/>
                <w:lang w:val="en-CA"/>
              </w:rPr>
              <w:t> </w:t>
            </w:r>
            <w:r w:rsidRPr="00B9529C">
              <w:rPr>
                <w:sz w:val="20"/>
                <w:szCs w:val="20"/>
                <w:lang w:val="en-CA"/>
              </w:rPr>
              <w:t>Brooks (É.-U.)</w:t>
            </w:r>
          </w:p>
        </w:tc>
      </w:tr>
      <w:tr w:rsidR="00E45C0B" w:rsidRPr="00A0159E" w14:paraId="3686F4B0" w14:textId="77777777" w:rsidTr="00F55979">
        <w:tc>
          <w:tcPr>
            <w:tcW w:w="1975" w:type="dxa"/>
          </w:tcPr>
          <w:p w14:paraId="2CB15E09" w14:textId="7B5B3BEF" w:rsidR="00E45C0B" w:rsidRPr="00A0159E" w:rsidRDefault="002A0631" w:rsidP="00DD0B3A">
            <w:pPr>
              <w:autoSpaceDE w:val="0"/>
              <w:autoSpaceDN w:val="0"/>
              <w:adjustRightInd w:val="0"/>
              <w:spacing w:before="60" w:after="60"/>
              <w:rPr>
                <w:rFonts w:cs="Arial"/>
                <w:sz w:val="20"/>
                <w:szCs w:val="20"/>
              </w:rPr>
            </w:pPr>
            <w:r>
              <w:rPr>
                <w:sz w:val="20"/>
                <w:szCs w:val="20"/>
              </w:rPr>
              <w:t xml:space="preserve">De </w:t>
            </w:r>
            <w:r w:rsidR="00E45C0B">
              <w:rPr>
                <w:sz w:val="20"/>
                <w:szCs w:val="20"/>
              </w:rPr>
              <w:t>12</w:t>
            </w:r>
            <w:r>
              <w:rPr>
                <w:sz w:val="20"/>
                <w:szCs w:val="20"/>
              </w:rPr>
              <w:t> </w:t>
            </w:r>
            <w:r w:rsidR="00E45C0B">
              <w:rPr>
                <w:sz w:val="20"/>
                <w:szCs w:val="20"/>
              </w:rPr>
              <w:t>h</w:t>
            </w:r>
            <w:r>
              <w:rPr>
                <w:sz w:val="20"/>
                <w:szCs w:val="20"/>
              </w:rPr>
              <w:t> </w:t>
            </w:r>
            <w:r w:rsidR="00E45C0B">
              <w:rPr>
                <w:sz w:val="20"/>
                <w:szCs w:val="20"/>
              </w:rPr>
              <w:t>15 à 12</w:t>
            </w:r>
            <w:r>
              <w:rPr>
                <w:sz w:val="20"/>
                <w:szCs w:val="20"/>
              </w:rPr>
              <w:t> </w:t>
            </w:r>
            <w:r w:rsidR="00E45C0B">
              <w:rPr>
                <w:sz w:val="20"/>
                <w:szCs w:val="20"/>
              </w:rPr>
              <w:t>h</w:t>
            </w:r>
            <w:r>
              <w:rPr>
                <w:sz w:val="20"/>
                <w:szCs w:val="20"/>
              </w:rPr>
              <w:t> </w:t>
            </w:r>
            <w:r w:rsidR="00E45C0B">
              <w:rPr>
                <w:sz w:val="20"/>
                <w:szCs w:val="20"/>
              </w:rPr>
              <w:t>45</w:t>
            </w:r>
          </w:p>
        </w:tc>
        <w:tc>
          <w:tcPr>
            <w:tcW w:w="4755" w:type="dxa"/>
          </w:tcPr>
          <w:p w14:paraId="2B715776" w14:textId="09727A54" w:rsidR="00E45C0B" w:rsidRPr="009059E9" w:rsidRDefault="00E45C0B" w:rsidP="00AD1CA4">
            <w:pPr>
              <w:tabs>
                <w:tab w:val="left" w:pos="1985"/>
              </w:tabs>
              <w:autoSpaceDE w:val="0"/>
              <w:autoSpaceDN w:val="0"/>
              <w:adjustRightInd w:val="0"/>
              <w:spacing w:before="60" w:after="60"/>
              <w:rPr>
                <w:rFonts w:cs="Arial"/>
                <w:sz w:val="20"/>
                <w:szCs w:val="20"/>
                <w:lang w:val="fr-CA"/>
              </w:rPr>
            </w:pPr>
            <w:r w:rsidRPr="009059E9">
              <w:rPr>
                <w:sz w:val="20"/>
                <w:szCs w:val="20"/>
                <w:lang w:val="fr-CA"/>
              </w:rPr>
              <w:t xml:space="preserve">Projet de </w:t>
            </w:r>
            <w:r w:rsidR="009059E9">
              <w:rPr>
                <w:lang w:val="fr-CA"/>
              </w:rPr>
              <w:t>cadre de r</w:t>
            </w:r>
            <w:r w:rsidR="009059E9" w:rsidRPr="000274FA">
              <w:rPr>
                <w:lang w:val="fr-CA"/>
              </w:rPr>
              <w:t>é</w:t>
            </w:r>
            <w:r w:rsidR="009059E9">
              <w:rPr>
                <w:lang w:val="fr-CA"/>
              </w:rPr>
              <w:t>f</w:t>
            </w:r>
            <w:r w:rsidR="009059E9" w:rsidRPr="000274FA">
              <w:rPr>
                <w:lang w:val="fr-CA"/>
              </w:rPr>
              <w:t>é</w:t>
            </w:r>
            <w:r w:rsidR="009059E9">
              <w:rPr>
                <w:lang w:val="fr-CA"/>
              </w:rPr>
              <w:t>rence</w:t>
            </w:r>
            <w:r w:rsidRPr="009059E9">
              <w:rPr>
                <w:sz w:val="20"/>
                <w:szCs w:val="20"/>
                <w:lang w:val="fr-CA"/>
              </w:rPr>
              <w:t xml:space="preserve"> pour le CERT de 2020</w:t>
            </w:r>
          </w:p>
        </w:tc>
        <w:tc>
          <w:tcPr>
            <w:tcW w:w="2625" w:type="dxa"/>
          </w:tcPr>
          <w:p w14:paraId="36351BB1" w14:textId="76172E91" w:rsidR="00E45C0B" w:rsidRPr="00A0159E" w:rsidRDefault="00E45C0B" w:rsidP="00AD1CA4">
            <w:pPr>
              <w:autoSpaceDE w:val="0"/>
              <w:autoSpaceDN w:val="0"/>
              <w:adjustRightInd w:val="0"/>
              <w:spacing w:before="60" w:after="60"/>
              <w:rPr>
                <w:rFonts w:cs="Arial"/>
                <w:sz w:val="20"/>
                <w:szCs w:val="20"/>
              </w:rPr>
            </w:pPr>
            <w:r>
              <w:rPr>
                <w:sz w:val="20"/>
                <w:szCs w:val="20"/>
              </w:rPr>
              <w:t>Kirsten</w:t>
            </w:r>
            <w:r w:rsidR="00900464">
              <w:rPr>
                <w:sz w:val="20"/>
                <w:szCs w:val="20"/>
              </w:rPr>
              <w:t> </w:t>
            </w:r>
            <w:r>
              <w:rPr>
                <w:sz w:val="20"/>
                <w:szCs w:val="20"/>
              </w:rPr>
              <w:t>Clark (Canada)</w:t>
            </w:r>
          </w:p>
          <w:p w14:paraId="2E741644" w14:textId="72625C7F" w:rsidR="00E45C0B" w:rsidRPr="00A0159E" w:rsidRDefault="00E45C0B" w:rsidP="00AD1CA4">
            <w:pPr>
              <w:autoSpaceDE w:val="0"/>
              <w:autoSpaceDN w:val="0"/>
              <w:adjustRightInd w:val="0"/>
              <w:spacing w:before="60" w:after="60"/>
              <w:rPr>
                <w:rFonts w:cs="Arial"/>
                <w:sz w:val="20"/>
                <w:szCs w:val="20"/>
              </w:rPr>
            </w:pPr>
            <w:r>
              <w:rPr>
                <w:sz w:val="20"/>
                <w:szCs w:val="20"/>
              </w:rPr>
              <w:t>Tara</w:t>
            </w:r>
            <w:r w:rsidR="00900464">
              <w:rPr>
                <w:sz w:val="20"/>
                <w:szCs w:val="20"/>
              </w:rPr>
              <w:t> </w:t>
            </w:r>
            <w:r>
              <w:rPr>
                <w:sz w:val="20"/>
                <w:szCs w:val="20"/>
              </w:rPr>
              <w:t>Trinko-Lake (É.-U.)</w:t>
            </w:r>
          </w:p>
        </w:tc>
      </w:tr>
      <w:tr w:rsidR="00E45C0B" w:rsidRPr="00A0159E" w14:paraId="0A0EF896" w14:textId="77777777" w:rsidTr="00F55979">
        <w:tc>
          <w:tcPr>
            <w:tcW w:w="1975" w:type="dxa"/>
            <w:shd w:val="clear" w:color="auto" w:fill="F2F2F2" w:themeFill="background1" w:themeFillShade="F2"/>
          </w:tcPr>
          <w:p w14:paraId="7265D070" w14:textId="5CE58022" w:rsidR="00E45C0B" w:rsidRPr="00A0159E" w:rsidRDefault="002A0631" w:rsidP="00AD1CA4">
            <w:pPr>
              <w:autoSpaceDE w:val="0"/>
              <w:autoSpaceDN w:val="0"/>
              <w:adjustRightInd w:val="0"/>
              <w:spacing w:before="60" w:after="60"/>
              <w:rPr>
                <w:rFonts w:cs="Arial"/>
                <w:sz w:val="20"/>
                <w:szCs w:val="20"/>
              </w:rPr>
            </w:pPr>
            <w:r>
              <w:rPr>
                <w:sz w:val="20"/>
                <w:szCs w:val="20"/>
              </w:rPr>
              <w:t xml:space="preserve">De </w:t>
            </w:r>
            <w:r w:rsidR="00E45C0B">
              <w:rPr>
                <w:sz w:val="20"/>
                <w:szCs w:val="20"/>
              </w:rPr>
              <w:t>12 h 45 à 13 h 45</w:t>
            </w:r>
          </w:p>
        </w:tc>
        <w:tc>
          <w:tcPr>
            <w:tcW w:w="7380" w:type="dxa"/>
            <w:gridSpan w:val="2"/>
            <w:shd w:val="clear" w:color="auto" w:fill="F2F2F2" w:themeFill="background1" w:themeFillShade="F2"/>
          </w:tcPr>
          <w:p w14:paraId="46FA43FC" w14:textId="77777777" w:rsidR="00E45C0B" w:rsidRPr="00A0159E" w:rsidRDefault="00E45C0B" w:rsidP="00AD1CA4">
            <w:pPr>
              <w:autoSpaceDE w:val="0"/>
              <w:autoSpaceDN w:val="0"/>
              <w:adjustRightInd w:val="0"/>
              <w:spacing w:before="60" w:after="60"/>
              <w:rPr>
                <w:rFonts w:cs="Arial"/>
                <w:b/>
                <w:bCs/>
                <w:sz w:val="20"/>
                <w:szCs w:val="20"/>
              </w:rPr>
            </w:pPr>
            <w:r>
              <w:rPr>
                <w:b/>
                <w:i/>
                <w:sz w:val="20"/>
                <w:szCs w:val="20"/>
                <w:u w:val="single"/>
              </w:rPr>
              <w:t>Pause-repas</w:t>
            </w:r>
          </w:p>
        </w:tc>
      </w:tr>
      <w:tr w:rsidR="00E45C0B" w:rsidRPr="00A0159E" w14:paraId="53EFA50E" w14:textId="77777777" w:rsidTr="00F55979">
        <w:tc>
          <w:tcPr>
            <w:tcW w:w="1975" w:type="dxa"/>
          </w:tcPr>
          <w:p w14:paraId="7B634464" w14:textId="6B7189DE" w:rsidR="00E45C0B" w:rsidRPr="00A0159E" w:rsidRDefault="002A0631" w:rsidP="00AD1CA4">
            <w:pPr>
              <w:autoSpaceDE w:val="0"/>
              <w:autoSpaceDN w:val="0"/>
              <w:adjustRightInd w:val="0"/>
              <w:spacing w:before="60" w:after="60"/>
              <w:rPr>
                <w:rFonts w:cs="Arial"/>
                <w:sz w:val="20"/>
                <w:szCs w:val="20"/>
              </w:rPr>
            </w:pPr>
            <w:r>
              <w:rPr>
                <w:sz w:val="20"/>
                <w:szCs w:val="20"/>
              </w:rPr>
              <w:t xml:space="preserve">De </w:t>
            </w:r>
            <w:r w:rsidR="00E45C0B">
              <w:rPr>
                <w:sz w:val="20"/>
                <w:szCs w:val="20"/>
              </w:rPr>
              <w:t>13 h 45 à 15 h</w:t>
            </w:r>
          </w:p>
        </w:tc>
        <w:tc>
          <w:tcPr>
            <w:tcW w:w="4755" w:type="dxa"/>
          </w:tcPr>
          <w:p w14:paraId="2A43AF7C" w14:textId="77777777" w:rsidR="00E45C0B" w:rsidRPr="00A0159E" w:rsidRDefault="00E45C0B" w:rsidP="00AD1CA4">
            <w:pPr>
              <w:autoSpaceDE w:val="0"/>
              <w:autoSpaceDN w:val="0"/>
              <w:adjustRightInd w:val="0"/>
              <w:spacing w:before="60" w:after="60"/>
              <w:rPr>
                <w:rFonts w:cs="Arial"/>
                <w:i/>
                <w:sz w:val="20"/>
                <w:szCs w:val="20"/>
                <w:u w:val="single"/>
              </w:rPr>
            </w:pPr>
            <w:r>
              <w:rPr>
                <w:sz w:val="20"/>
                <w:szCs w:val="20"/>
              </w:rPr>
              <w:t>Révisions des rapports scientifiques du CERT</w:t>
            </w:r>
          </w:p>
        </w:tc>
        <w:tc>
          <w:tcPr>
            <w:tcW w:w="2625" w:type="dxa"/>
          </w:tcPr>
          <w:p w14:paraId="01AFE4F8" w14:textId="42835CA9" w:rsidR="00E45C0B" w:rsidRPr="00A0159E" w:rsidRDefault="00E45C0B" w:rsidP="00DD0B3A">
            <w:pPr>
              <w:autoSpaceDE w:val="0"/>
              <w:autoSpaceDN w:val="0"/>
              <w:adjustRightInd w:val="0"/>
              <w:spacing w:before="60" w:after="60"/>
              <w:rPr>
                <w:rFonts w:cs="Arial"/>
                <w:bCs/>
                <w:sz w:val="20"/>
                <w:szCs w:val="20"/>
              </w:rPr>
            </w:pPr>
            <w:r>
              <w:rPr>
                <w:sz w:val="20"/>
                <w:szCs w:val="20"/>
              </w:rPr>
              <w:t>Comité de rédaction canadien et américain</w:t>
            </w:r>
          </w:p>
        </w:tc>
      </w:tr>
      <w:tr w:rsidR="00E45C0B" w:rsidRPr="00A0159E" w14:paraId="4C95E9E3" w14:textId="77777777" w:rsidTr="00F55979">
        <w:tc>
          <w:tcPr>
            <w:tcW w:w="1975" w:type="dxa"/>
            <w:shd w:val="clear" w:color="auto" w:fill="F2F2F2" w:themeFill="background1" w:themeFillShade="F2"/>
          </w:tcPr>
          <w:p w14:paraId="2B9BF550" w14:textId="7DC2EA9A" w:rsidR="00E45C0B" w:rsidRPr="00A0159E" w:rsidRDefault="002A0631" w:rsidP="00AD1CA4">
            <w:pPr>
              <w:autoSpaceDE w:val="0"/>
              <w:autoSpaceDN w:val="0"/>
              <w:adjustRightInd w:val="0"/>
              <w:spacing w:before="60" w:after="60"/>
              <w:rPr>
                <w:rFonts w:cs="Arial"/>
                <w:sz w:val="20"/>
                <w:szCs w:val="20"/>
              </w:rPr>
            </w:pPr>
            <w:r>
              <w:rPr>
                <w:sz w:val="20"/>
                <w:szCs w:val="20"/>
              </w:rPr>
              <w:t xml:space="preserve">De </w:t>
            </w:r>
            <w:r w:rsidR="00E45C0B">
              <w:rPr>
                <w:sz w:val="20"/>
                <w:szCs w:val="20"/>
              </w:rPr>
              <w:t>15 h à 15 h 15</w:t>
            </w:r>
          </w:p>
        </w:tc>
        <w:tc>
          <w:tcPr>
            <w:tcW w:w="7380" w:type="dxa"/>
            <w:gridSpan w:val="2"/>
            <w:shd w:val="clear" w:color="auto" w:fill="F2F2F2" w:themeFill="background1" w:themeFillShade="F2"/>
          </w:tcPr>
          <w:p w14:paraId="191EC5C6" w14:textId="77777777" w:rsidR="00E45C0B" w:rsidRPr="00A0159E" w:rsidRDefault="00E45C0B" w:rsidP="00AD1CA4">
            <w:pPr>
              <w:autoSpaceDE w:val="0"/>
              <w:autoSpaceDN w:val="0"/>
              <w:adjustRightInd w:val="0"/>
              <w:spacing w:before="60" w:after="60"/>
              <w:rPr>
                <w:rFonts w:cs="Arial"/>
                <w:sz w:val="20"/>
                <w:szCs w:val="20"/>
              </w:rPr>
            </w:pPr>
            <w:r>
              <w:rPr>
                <w:b/>
                <w:i/>
                <w:sz w:val="20"/>
                <w:szCs w:val="20"/>
                <w:u w:val="single"/>
              </w:rPr>
              <w:t>Pause</w:t>
            </w:r>
          </w:p>
        </w:tc>
      </w:tr>
      <w:tr w:rsidR="00E45C0B" w:rsidRPr="00A0159E" w14:paraId="3ACE3A81" w14:textId="77777777" w:rsidTr="00F55979">
        <w:tc>
          <w:tcPr>
            <w:tcW w:w="1975" w:type="dxa"/>
          </w:tcPr>
          <w:p w14:paraId="2E3A82B5" w14:textId="39AF17F2" w:rsidR="00E45C0B" w:rsidRPr="00A0159E" w:rsidRDefault="002A0631" w:rsidP="00AD1CA4">
            <w:pPr>
              <w:autoSpaceDE w:val="0"/>
              <w:autoSpaceDN w:val="0"/>
              <w:adjustRightInd w:val="0"/>
              <w:spacing w:before="60" w:after="60"/>
              <w:rPr>
                <w:rFonts w:cs="Arial"/>
                <w:sz w:val="20"/>
                <w:szCs w:val="20"/>
              </w:rPr>
            </w:pPr>
            <w:r>
              <w:rPr>
                <w:sz w:val="20"/>
                <w:szCs w:val="20"/>
              </w:rPr>
              <w:t xml:space="preserve">De </w:t>
            </w:r>
            <w:r w:rsidR="00E45C0B">
              <w:rPr>
                <w:sz w:val="20"/>
                <w:szCs w:val="20"/>
              </w:rPr>
              <w:t>15 h 15 à 16 h</w:t>
            </w:r>
          </w:p>
        </w:tc>
        <w:tc>
          <w:tcPr>
            <w:tcW w:w="4755" w:type="dxa"/>
          </w:tcPr>
          <w:p w14:paraId="15B51A0C" w14:textId="77777777" w:rsidR="00E45C0B" w:rsidRPr="00A0159E" w:rsidRDefault="00E45C0B" w:rsidP="00AD1CA4">
            <w:pPr>
              <w:autoSpaceDE w:val="0"/>
              <w:autoSpaceDN w:val="0"/>
              <w:adjustRightInd w:val="0"/>
              <w:spacing w:before="60" w:after="60"/>
              <w:rPr>
                <w:rFonts w:cs="Arial"/>
                <w:i/>
                <w:sz w:val="20"/>
                <w:szCs w:val="20"/>
                <w:u w:val="single"/>
              </w:rPr>
            </w:pPr>
            <w:r>
              <w:rPr>
                <w:sz w:val="20"/>
                <w:szCs w:val="20"/>
              </w:rPr>
              <w:t>Révisions des rapports scientifiques du CERT et récapitulation</w:t>
            </w:r>
          </w:p>
        </w:tc>
        <w:tc>
          <w:tcPr>
            <w:tcW w:w="2625" w:type="dxa"/>
          </w:tcPr>
          <w:p w14:paraId="5FB4EBFD" w14:textId="4486A838" w:rsidR="00E45C0B" w:rsidRPr="00A0159E" w:rsidRDefault="00E45C0B" w:rsidP="00AD1CA4">
            <w:pPr>
              <w:autoSpaceDE w:val="0"/>
              <w:autoSpaceDN w:val="0"/>
              <w:adjustRightInd w:val="0"/>
              <w:spacing w:before="60" w:after="60"/>
              <w:rPr>
                <w:rFonts w:cs="Arial"/>
                <w:bCs/>
                <w:sz w:val="20"/>
                <w:szCs w:val="20"/>
              </w:rPr>
            </w:pPr>
            <w:r>
              <w:rPr>
                <w:sz w:val="20"/>
                <w:szCs w:val="20"/>
              </w:rPr>
              <w:t>Comité de rédaction canadien et américain</w:t>
            </w:r>
          </w:p>
        </w:tc>
      </w:tr>
    </w:tbl>
    <w:p w14:paraId="14A7286E" w14:textId="77777777" w:rsidR="00E45C0B" w:rsidRPr="00A0159E" w:rsidRDefault="00E45C0B" w:rsidP="00A24F40"/>
    <w:sectPr w:rsidR="00E45C0B" w:rsidRPr="00A0159E" w:rsidSect="00DA68D4">
      <w:headerReference w:type="even" r:id="rId25"/>
      <w:footerReference w:type="default" r:id="rId26"/>
      <w:pgSz w:w="12240" w:h="15840"/>
      <w:pgMar w:top="1440" w:right="1440" w:bottom="1440" w:left="1440" w:header="720" w:footer="6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93F1E" w14:textId="77777777" w:rsidR="009059E9" w:rsidRPr="00A0159E" w:rsidRDefault="009059E9">
      <w:r w:rsidRPr="00A0159E">
        <w:separator/>
      </w:r>
    </w:p>
    <w:p w14:paraId="17174D46" w14:textId="77777777" w:rsidR="009059E9" w:rsidRPr="00A0159E" w:rsidRDefault="009059E9"/>
  </w:endnote>
  <w:endnote w:type="continuationSeparator" w:id="0">
    <w:p w14:paraId="2D8CC7AF" w14:textId="77777777" w:rsidR="009059E9" w:rsidRPr="00A0159E" w:rsidRDefault="009059E9">
      <w:r w:rsidRPr="00A0159E">
        <w:continuationSeparator/>
      </w:r>
    </w:p>
    <w:p w14:paraId="0CD55DD1" w14:textId="77777777" w:rsidR="009059E9" w:rsidRPr="00A0159E" w:rsidRDefault="00905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49CC7" w14:textId="77777777" w:rsidR="009059E9" w:rsidRPr="00A0159E" w:rsidRDefault="009059E9">
    <w:pPr>
      <w:framePr w:wrap="around" w:vAnchor="text" w:hAnchor="margin" w:xAlign="center" w:y="1"/>
    </w:pPr>
    <w:r w:rsidRPr="00A0159E">
      <w:fldChar w:fldCharType="begin"/>
    </w:r>
    <w:r w:rsidRPr="00A0159E">
      <w:instrText xml:space="preserve">PAGE  </w:instrText>
    </w:r>
    <w:r w:rsidRPr="00A0159E">
      <w:fldChar w:fldCharType="end"/>
    </w:r>
  </w:p>
  <w:p w14:paraId="37AF7FEB" w14:textId="77777777" w:rsidR="009059E9" w:rsidRPr="00A0159E" w:rsidRDefault="009059E9"/>
  <w:p w14:paraId="62CB3D80" w14:textId="77777777" w:rsidR="009059E9" w:rsidRPr="00A0159E" w:rsidRDefault="009059E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1" w:type="dxa"/>
      <w:tblBorders>
        <w:top w:val="single" w:sz="4" w:space="0" w:color="auto"/>
      </w:tblBorders>
      <w:tblLayout w:type="fixed"/>
      <w:tblLook w:val="01E0" w:firstRow="1" w:lastRow="1" w:firstColumn="1" w:lastColumn="1" w:noHBand="0" w:noVBand="0"/>
    </w:tblPr>
    <w:tblGrid>
      <w:gridCol w:w="4077"/>
      <w:gridCol w:w="540"/>
      <w:gridCol w:w="4455"/>
    </w:tblGrid>
    <w:tr w:rsidR="009059E9" w:rsidRPr="00D50762" w14:paraId="7B093791" w14:textId="77777777" w:rsidTr="00CE6A09">
      <w:tc>
        <w:tcPr>
          <w:tcW w:w="4077" w:type="dxa"/>
          <w:tcBorders>
            <w:top w:val="nil"/>
            <w:bottom w:val="nil"/>
          </w:tcBorders>
        </w:tcPr>
        <w:p w14:paraId="689C8F11" w14:textId="77777777" w:rsidR="009059E9" w:rsidRPr="00D50762" w:rsidRDefault="009059E9" w:rsidP="00CE6A09">
          <w:pPr>
            <w:tabs>
              <w:tab w:val="right" w:pos="10064"/>
            </w:tabs>
            <w:spacing w:before="0" w:after="0"/>
            <w:rPr>
              <w:rFonts w:cs="Arial"/>
              <w:spacing w:val="-3"/>
              <w:sz w:val="16"/>
              <w:szCs w:val="16"/>
              <w:lang w:val="fr-CA"/>
            </w:rPr>
          </w:pPr>
          <w:r w:rsidRPr="00D50762">
            <w:rPr>
              <w:rFonts w:cs="Arial"/>
              <w:spacing w:val="-3"/>
              <w:sz w:val="16"/>
              <w:szCs w:val="16"/>
              <w:lang w:val="fr-CA"/>
            </w:rPr>
            <w:t>Ce document est disponible sur l’Internet à :</w:t>
          </w:r>
        </w:p>
      </w:tc>
      <w:tc>
        <w:tcPr>
          <w:tcW w:w="540" w:type="dxa"/>
          <w:tcBorders>
            <w:top w:val="nil"/>
            <w:bottom w:val="nil"/>
          </w:tcBorders>
        </w:tcPr>
        <w:p w14:paraId="59296BD2" w14:textId="77777777" w:rsidR="009059E9" w:rsidRPr="00D50762" w:rsidRDefault="009059E9" w:rsidP="00CE6A09">
          <w:pPr>
            <w:tabs>
              <w:tab w:val="right" w:pos="10064"/>
            </w:tabs>
            <w:spacing w:before="0" w:after="0"/>
            <w:jc w:val="center"/>
            <w:rPr>
              <w:rFonts w:cs="Arial"/>
              <w:spacing w:val="-3"/>
              <w:sz w:val="16"/>
              <w:szCs w:val="16"/>
              <w:lang w:val="fr-CA"/>
            </w:rPr>
          </w:pPr>
        </w:p>
      </w:tc>
      <w:tc>
        <w:tcPr>
          <w:tcW w:w="4455" w:type="dxa"/>
          <w:tcBorders>
            <w:top w:val="nil"/>
            <w:bottom w:val="nil"/>
          </w:tcBorders>
        </w:tcPr>
        <w:p w14:paraId="251A3FAB" w14:textId="77777777" w:rsidR="009059E9" w:rsidRPr="00D50762" w:rsidRDefault="009059E9" w:rsidP="00CE6A09">
          <w:pPr>
            <w:tabs>
              <w:tab w:val="right" w:pos="10064"/>
            </w:tabs>
            <w:spacing w:before="0" w:after="0"/>
            <w:jc w:val="right"/>
            <w:rPr>
              <w:rFonts w:cs="Arial"/>
              <w:spacing w:val="-3"/>
              <w:sz w:val="16"/>
              <w:szCs w:val="16"/>
              <w:lang w:val="en-CA"/>
            </w:rPr>
          </w:pPr>
          <w:r w:rsidRPr="00D50762">
            <w:rPr>
              <w:rFonts w:cs="Arial"/>
              <w:spacing w:val="-3"/>
              <w:sz w:val="16"/>
              <w:szCs w:val="16"/>
              <w:lang w:val="en-CA"/>
            </w:rPr>
            <w:t>This document is available on the Internet at :</w:t>
          </w:r>
        </w:p>
      </w:tc>
    </w:tr>
    <w:tr w:rsidR="009059E9" w:rsidRPr="00D50762" w14:paraId="1019C0A9" w14:textId="77777777" w:rsidTr="00CE6A09">
      <w:tc>
        <w:tcPr>
          <w:tcW w:w="9072" w:type="dxa"/>
          <w:gridSpan w:val="3"/>
          <w:tcBorders>
            <w:top w:val="nil"/>
            <w:bottom w:val="single" w:sz="4" w:space="0" w:color="auto"/>
          </w:tcBorders>
        </w:tcPr>
        <w:p w14:paraId="2BA5BB93" w14:textId="77777777" w:rsidR="009059E9" w:rsidRPr="00D50762" w:rsidRDefault="009059E9" w:rsidP="00CE6A09">
          <w:pPr>
            <w:tabs>
              <w:tab w:val="right" w:pos="10064"/>
            </w:tabs>
            <w:spacing w:before="0" w:after="0"/>
            <w:jc w:val="center"/>
            <w:rPr>
              <w:rFonts w:cs="Arial"/>
              <w:spacing w:val="-3"/>
              <w:sz w:val="16"/>
              <w:szCs w:val="16"/>
              <w:lang w:val="en-CA"/>
            </w:rPr>
          </w:pPr>
          <w:hyperlink r:id="rId1" w:tooltip="Transboundary Resources Assessment Committee (TRAC)" w:history="1">
            <w:r w:rsidRPr="00D50762">
              <w:rPr>
                <w:rFonts w:cs="Arial"/>
                <w:color w:val="0000FF"/>
                <w:spacing w:val="-3"/>
                <w:sz w:val="16"/>
                <w:szCs w:val="16"/>
                <w:u w:val="single"/>
                <w:lang w:val="en-CA"/>
              </w:rPr>
              <w:t>http://www.bio.gc.ca/info/intercol/index-en.php</w:t>
            </w:r>
          </w:hyperlink>
        </w:p>
      </w:tc>
    </w:tr>
    <w:tr w:rsidR="009059E9" w:rsidRPr="00D50762" w14:paraId="4EE49E2C" w14:textId="77777777" w:rsidTr="00CE6A09">
      <w:tc>
        <w:tcPr>
          <w:tcW w:w="4077" w:type="dxa"/>
          <w:tcBorders>
            <w:top w:val="single" w:sz="4" w:space="0" w:color="auto"/>
          </w:tcBorders>
        </w:tcPr>
        <w:p w14:paraId="4700C718" w14:textId="77777777" w:rsidR="009059E9" w:rsidRPr="00D50762" w:rsidRDefault="009059E9" w:rsidP="00CE6A09">
          <w:pPr>
            <w:tabs>
              <w:tab w:val="right" w:pos="10064"/>
            </w:tabs>
            <w:spacing w:before="0" w:after="0"/>
            <w:rPr>
              <w:rFonts w:cs="Arial"/>
              <w:spacing w:val="-3"/>
              <w:lang w:val="en-CA"/>
            </w:rPr>
          </w:pPr>
        </w:p>
        <w:p w14:paraId="03E2CA4D" w14:textId="77777777" w:rsidR="009059E9" w:rsidRPr="00D50762" w:rsidRDefault="009059E9" w:rsidP="00CE6A09">
          <w:pPr>
            <w:tabs>
              <w:tab w:val="right" w:pos="10064"/>
            </w:tabs>
            <w:spacing w:before="0" w:after="0"/>
            <w:rPr>
              <w:rFonts w:cs="Arial"/>
              <w:spacing w:val="-3"/>
            </w:rPr>
          </w:pPr>
          <w:r w:rsidRPr="00D50762">
            <w:rPr>
              <w:rFonts w:cs="Arial"/>
              <w:noProof/>
            </w:rPr>
            <w:drawing>
              <wp:inline distT="0" distB="0" distL="0" distR="0" wp14:anchorId="3394E47D" wp14:editId="720E5577">
                <wp:extent cx="800100" cy="190500"/>
                <wp:effectExtent l="19050" t="0" r="0" b="0"/>
                <wp:docPr id="6" name="Picture 6" descr="CANADA ©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ADA © Transparent"/>
                        <pic:cNvPicPr>
                          <a:picLocks noChangeAspect="1" noChangeArrowheads="1"/>
                        </pic:cNvPicPr>
                      </pic:nvPicPr>
                      <pic:blipFill>
                        <a:blip r:embed="rId2"/>
                        <a:srcRect/>
                        <a:stretch>
                          <a:fillRect/>
                        </a:stretch>
                      </pic:blipFill>
                      <pic:spPr bwMode="auto">
                        <a:xfrm>
                          <a:off x="0" y="0"/>
                          <a:ext cx="800100" cy="190500"/>
                        </a:xfrm>
                        <a:prstGeom prst="rect">
                          <a:avLst/>
                        </a:prstGeom>
                        <a:noFill/>
                        <a:ln w="9525">
                          <a:noFill/>
                          <a:miter lim="800000"/>
                          <a:headEnd/>
                          <a:tailEnd/>
                        </a:ln>
                      </pic:spPr>
                    </pic:pic>
                  </a:graphicData>
                </a:graphic>
              </wp:inline>
            </w:drawing>
          </w:r>
        </w:p>
      </w:tc>
      <w:tc>
        <w:tcPr>
          <w:tcW w:w="540" w:type="dxa"/>
          <w:tcBorders>
            <w:top w:val="single" w:sz="4" w:space="0" w:color="auto"/>
          </w:tcBorders>
        </w:tcPr>
        <w:p w14:paraId="2E7792A3" w14:textId="77777777" w:rsidR="009059E9" w:rsidRPr="00D50762" w:rsidRDefault="009059E9" w:rsidP="00CE6A09">
          <w:pPr>
            <w:tabs>
              <w:tab w:val="right" w:pos="10064"/>
            </w:tabs>
            <w:spacing w:before="0" w:after="0"/>
            <w:jc w:val="center"/>
            <w:rPr>
              <w:rFonts w:cs="Arial"/>
              <w:spacing w:val="-3"/>
            </w:rPr>
          </w:pPr>
        </w:p>
        <w:p w14:paraId="3C414691" w14:textId="77777777" w:rsidR="009059E9" w:rsidRPr="00D50762" w:rsidRDefault="009059E9" w:rsidP="00CE6A09">
          <w:pPr>
            <w:tabs>
              <w:tab w:val="right" w:pos="10064"/>
            </w:tabs>
            <w:spacing w:before="0" w:after="0"/>
            <w:jc w:val="center"/>
            <w:rPr>
              <w:rFonts w:cs="Arial"/>
              <w:spacing w:val="-3"/>
            </w:rPr>
          </w:pPr>
        </w:p>
      </w:tc>
      <w:tc>
        <w:tcPr>
          <w:tcW w:w="4455" w:type="dxa"/>
          <w:tcBorders>
            <w:top w:val="single" w:sz="4" w:space="0" w:color="auto"/>
          </w:tcBorders>
        </w:tcPr>
        <w:p w14:paraId="2F3CE9DD" w14:textId="77777777" w:rsidR="009059E9" w:rsidRPr="00D50762" w:rsidRDefault="009059E9" w:rsidP="00CE6A09">
          <w:pPr>
            <w:tabs>
              <w:tab w:val="right" w:pos="10064"/>
            </w:tabs>
            <w:spacing w:before="0" w:after="0"/>
            <w:jc w:val="right"/>
            <w:rPr>
              <w:rFonts w:cs="Arial"/>
              <w:spacing w:val="-3"/>
            </w:rPr>
          </w:pPr>
          <w:r w:rsidRPr="00D50762">
            <w:rPr>
              <w:rFonts w:cs="Arial"/>
              <w:noProof/>
              <w:spacing w:val="-3"/>
            </w:rPr>
            <w:drawing>
              <wp:inline distT="0" distB="0" distL="0" distR="0" wp14:anchorId="2AF1B011" wp14:editId="14FC3D24">
                <wp:extent cx="381000" cy="381000"/>
                <wp:effectExtent l="19050" t="0" r="0" b="0"/>
                <wp:docPr id="7" name="Picture 7" descr="do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_logo"/>
                        <pic:cNvPicPr>
                          <a:picLocks noChangeAspect="1" noChangeArrowheads="1"/>
                        </pic:cNvPicPr>
                      </pic:nvPicPr>
                      <pic:blipFill>
                        <a:blip r:embed="rId3"/>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tr>
  </w:tbl>
  <w:p w14:paraId="5951B3B7" w14:textId="52F05292" w:rsidR="009059E9" w:rsidRPr="00CE6A09" w:rsidRDefault="009059E9" w:rsidP="00CE6A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214D3" w14:textId="77777777" w:rsidR="009059E9" w:rsidRPr="00A0159E" w:rsidRDefault="009059E9" w:rsidP="00604E89">
    <w:pPr>
      <w:pBdr>
        <w:top w:val="single" w:sz="4"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BC27B" w14:textId="7AE36359" w:rsidR="009059E9" w:rsidRPr="00A0159E" w:rsidRDefault="009059E9" w:rsidP="0065392E">
    <w:pPr>
      <w:pBdr>
        <w:top w:val="single" w:sz="4" w:space="1" w:color="auto"/>
      </w:pBdr>
      <w:tabs>
        <w:tab w:val="center" w:pos="4680"/>
        <w:tab w:val="right" w:pos="9360"/>
      </w:tabs>
      <w:jc w:val="center"/>
      <w:rPr>
        <w:sz w:val="20"/>
      </w:rPr>
    </w:pPr>
    <w:r w:rsidRPr="00A0159E">
      <w:rPr>
        <w:sz w:val="20"/>
      </w:rPr>
      <w:fldChar w:fldCharType="begin"/>
    </w:r>
    <w:r w:rsidRPr="00A0159E">
      <w:rPr>
        <w:sz w:val="20"/>
      </w:rPr>
      <w:instrText xml:space="preserve"> PAGE </w:instrText>
    </w:r>
    <w:r w:rsidRPr="00A0159E">
      <w:rPr>
        <w:sz w:val="20"/>
      </w:rPr>
      <w:fldChar w:fldCharType="separate"/>
    </w:r>
    <w:r w:rsidR="00271A5C">
      <w:rPr>
        <w:noProof/>
        <w:sz w:val="20"/>
      </w:rPr>
      <w:t>iv</w:t>
    </w:r>
    <w:r w:rsidRPr="00A0159E">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613E4" w14:textId="35AC8B28" w:rsidR="009059E9" w:rsidRPr="00A0159E" w:rsidRDefault="009059E9" w:rsidP="0065392E">
    <w:pPr>
      <w:pBdr>
        <w:top w:val="single" w:sz="4" w:space="1" w:color="auto"/>
      </w:pBdr>
      <w:jc w:val="center"/>
      <w:rPr>
        <w:rFonts w:cs="Arial"/>
        <w:sz w:val="20"/>
      </w:rPr>
    </w:pPr>
    <w:r w:rsidRPr="00A0159E">
      <w:rPr>
        <w:rFonts w:cs="Arial"/>
        <w:sz w:val="20"/>
      </w:rPr>
      <w:fldChar w:fldCharType="begin"/>
    </w:r>
    <w:r w:rsidRPr="00A0159E">
      <w:rPr>
        <w:rFonts w:cs="Arial"/>
        <w:sz w:val="20"/>
      </w:rPr>
      <w:instrText xml:space="preserve"> PAGE </w:instrText>
    </w:r>
    <w:r w:rsidRPr="00A0159E">
      <w:rPr>
        <w:rFonts w:cs="Arial"/>
        <w:sz w:val="20"/>
      </w:rPr>
      <w:fldChar w:fldCharType="separate"/>
    </w:r>
    <w:r w:rsidR="00271A5C">
      <w:rPr>
        <w:rFonts w:cs="Arial"/>
        <w:noProof/>
        <w:sz w:val="20"/>
      </w:rPr>
      <w:t>31</w:t>
    </w:r>
    <w:r w:rsidRPr="00A0159E">
      <w:rP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38A30" w14:textId="77777777" w:rsidR="009059E9" w:rsidRPr="00A0159E" w:rsidRDefault="009059E9">
      <w:r w:rsidRPr="00A0159E">
        <w:separator/>
      </w:r>
    </w:p>
  </w:footnote>
  <w:footnote w:type="continuationSeparator" w:id="0">
    <w:p w14:paraId="0B3E15EA" w14:textId="77777777" w:rsidR="009059E9" w:rsidRPr="00A0159E" w:rsidRDefault="009059E9">
      <w:r w:rsidRPr="00A0159E">
        <w:continuationSeparator/>
      </w:r>
    </w:p>
    <w:p w14:paraId="67DB5BF7" w14:textId="77777777" w:rsidR="009059E9" w:rsidRPr="00A0159E" w:rsidRDefault="009059E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1E0" w:firstRow="1" w:lastRow="1" w:firstColumn="1" w:lastColumn="1" w:noHBand="0" w:noVBand="0"/>
    </w:tblPr>
    <w:tblGrid>
      <w:gridCol w:w="4824"/>
      <w:gridCol w:w="4536"/>
    </w:tblGrid>
    <w:tr w:rsidR="009059E9" w:rsidRPr="00D877C5" w14:paraId="1C9E4FD3" w14:textId="77777777" w:rsidTr="00CE6A09">
      <w:tc>
        <w:tcPr>
          <w:tcW w:w="2577" w:type="pct"/>
          <w:shd w:val="clear" w:color="auto" w:fill="auto"/>
        </w:tcPr>
        <w:p w14:paraId="0D0AC5CE" w14:textId="77777777" w:rsidR="009059E9" w:rsidRPr="00D877C5" w:rsidRDefault="009059E9" w:rsidP="00CE6A09">
          <w:pPr>
            <w:pStyle w:val="Header"/>
            <w:spacing w:before="0" w:after="0"/>
            <w:rPr>
              <w:szCs w:val="24"/>
              <w:lang w:val="en-CA"/>
            </w:rPr>
          </w:pPr>
          <w:r w:rsidRPr="00FF6E78">
            <w:rPr>
              <w:noProof/>
              <w:sz w:val="24"/>
            </w:rPr>
            <w:drawing>
              <wp:inline distT="0" distB="0" distL="0" distR="0" wp14:anchorId="790D04F2" wp14:editId="0383BD84">
                <wp:extent cx="2493364" cy="460350"/>
                <wp:effectExtent l="0" t="0" r="2540" b="0"/>
                <wp:docPr id="3" name="Picture 3" descr="Fisheries and Oceans Cana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ndeauI\Desktop\Templates&amp;Forms\e_eso_bw.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721" cy="460416"/>
                        </a:xfrm>
                        <a:prstGeom prst="rect">
                          <a:avLst/>
                        </a:prstGeom>
                        <a:noFill/>
                        <a:ln>
                          <a:noFill/>
                        </a:ln>
                      </pic:spPr>
                    </pic:pic>
                  </a:graphicData>
                </a:graphic>
              </wp:inline>
            </w:drawing>
          </w:r>
        </w:p>
      </w:tc>
      <w:tc>
        <w:tcPr>
          <w:tcW w:w="2423" w:type="pct"/>
          <w:shd w:val="clear" w:color="auto" w:fill="auto"/>
        </w:tcPr>
        <w:p w14:paraId="71531D77" w14:textId="77777777" w:rsidR="009059E9" w:rsidRPr="00D877C5" w:rsidRDefault="009059E9" w:rsidP="00CE6A09">
          <w:pPr>
            <w:pStyle w:val="Header"/>
            <w:spacing w:before="0" w:after="0"/>
            <w:rPr>
              <w:szCs w:val="24"/>
              <w:lang w:val="en-CA"/>
            </w:rPr>
          </w:pPr>
          <w:r w:rsidRPr="00FF6E78">
            <w:rPr>
              <w:noProof/>
              <w:sz w:val="24"/>
            </w:rPr>
            <w:drawing>
              <wp:inline distT="0" distB="0" distL="0" distR="0" wp14:anchorId="700A1F55" wp14:editId="4F60EA6D">
                <wp:extent cx="2724150" cy="266700"/>
                <wp:effectExtent l="19050" t="0" r="0" b="0"/>
                <wp:docPr id="5" name="Picture 5" descr="NOAA Fisheries - National Marine Fisheries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xedlogo"/>
                        <pic:cNvPicPr>
                          <a:picLocks noChangeAspect="1" noChangeArrowheads="1"/>
                        </pic:cNvPicPr>
                      </pic:nvPicPr>
                      <pic:blipFill>
                        <a:blip r:embed="rId2"/>
                        <a:srcRect/>
                        <a:stretch>
                          <a:fillRect/>
                        </a:stretch>
                      </pic:blipFill>
                      <pic:spPr bwMode="auto">
                        <a:xfrm>
                          <a:off x="0" y="0"/>
                          <a:ext cx="2724150" cy="266700"/>
                        </a:xfrm>
                        <a:prstGeom prst="rect">
                          <a:avLst/>
                        </a:prstGeom>
                        <a:noFill/>
                        <a:ln w="9525">
                          <a:noFill/>
                          <a:miter lim="800000"/>
                          <a:headEnd/>
                          <a:tailEnd/>
                        </a:ln>
                      </pic:spPr>
                    </pic:pic>
                  </a:graphicData>
                </a:graphic>
              </wp:inline>
            </w:drawing>
          </w:r>
        </w:p>
      </w:tc>
    </w:tr>
    <w:tr w:rsidR="009059E9" w:rsidRPr="00CE6A09" w14:paraId="6FA3C6C2" w14:textId="77777777" w:rsidTr="00CE6A09">
      <w:tc>
        <w:tcPr>
          <w:tcW w:w="2577" w:type="pct"/>
          <w:shd w:val="clear" w:color="auto" w:fill="auto"/>
        </w:tcPr>
        <w:p w14:paraId="00691338" w14:textId="77777777" w:rsidR="009059E9" w:rsidRPr="00FF6E78" w:rsidRDefault="009059E9" w:rsidP="00CE6A09">
          <w:pPr>
            <w:tabs>
              <w:tab w:val="center" w:pos="4320"/>
              <w:tab w:val="right" w:pos="8640"/>
            </w:tabs>
            <w:spacing w:before="0" w:after="0"/>
            <w:rPr>
              <w:rFonts w:cs="Arial"/>
              <w:b/>
              <w:sz w:val="20"/>
            </w:rPr>
          </w:pPr>
        </w:p>
        <w:p w14:paraId="5A12FC58" w14:textId="77777777" w:rsidR="009059E9" w:rsidRPr="00FF6E78" w:rsidRDefault="009059E9" w:rsidP="00CE6A09">
          <w:pPr>
            <w:tabs>
              <w:tab w:val="center" w:pos="4320"/>
              <w:tab w:val="right" w:pos="8640"/>
            </w:tabs>
            <w:spacing w:before="0" w:after="0"/>
            <w:rPr>
              <w:rFonts w:cs="Arial"/>
              <w:b/>
              <w:i/>
              <w:sz w:val="30"/>
              <w:szCs w:val="30"/>
              <w:lang w:val="fr-CA"/>
            </w:rPr>
          </w:pPr>
          <w:r w:rsidRPr="00FF6E78">
            <w:rPr>
              <w:rFonts w:cs="Arial"/>
              <w:b/>
              <w:i/>
              <w:sz w:val="30"/>
              <w:szCs w:val="30"/>
              <w:lang w:val="fr-CA"/>
            </w:rPr>
            <w:t>CERT</w:t>
          </w:r>
        </w:p>
        <w:p w14:paraId="2567B43B" w14:textId="77777777" w:rsidR="009059E9" w:rsidRPr="00FF6E78" w:rsidRDefault="009059E9" w:rsidP="00CE6A09">
          <w:pPr>
            <w:tabs>
              <w:tab w:val="center" w:pos="4320"/>
              <w:tab w:val="right" w:pos="8640"/>
            </w:tabs>
            <w:spacing w:before="0" w:after="0"/>
            <w:rPr>
              <w:rFonts w:cs="Arial"/>
              <w:b/>
              <w:sz w:val="20"/>
              <w:lang w:val="fr-CA"/>
            </w:rPr>
          </w:pPr>
        </w:p>
        <w:p w14:paraId="167A11C1" w14:textId="77777777" w:rsidR="009059E9" w:rsidRPr="00FF6E78" w:rsidRDefault="009059E9" w:rsidP="00CE6A09">
          <w:pPr>
            <w:tabs>
              <w:tab w:val="center" w:pos="4428"/>
              <w:tab w:val="right" w:pos="8640"/>
            </w:tabs>
            <w:spacing w:before="0" w:after="0"/>
            <w:rPr>
              <w:rFonts w:cs="Arial"/>
              <w:b/>
              <w:szCs w:val="22"/>
              <w:lang w:val="fr-CA"/>
            </w:rPr>
          </w:pPr>
          <w:r w:rsidRPr="00FF6E78">
            <w:rPr>
              <w:rFonts w:cs="Arial"/>
              <w:b/>
              <w:szCs w:val="22"/>
              <w:lang w:val="fr-CA"/>
            </w:rPr>
            <w:t>Comité d'évaluation des</w:t>
          </w:r>
        </w:p>
        <w:p w14:paraId="6407D62E" w14:textId="77777777" w:rsidR="009059E9" w:rsidRPr="00B31A0A" w:rsidRDefault="009059E9" w:rsidP="00CE6A09">
          <w:pPr>
            <w:pStyle w:val="Header"/>
            <w:spacing w:before="0" w:after="0"/>
            <w:rPr>
              <w:b/>
              <w:szCs w:val="24"/>
              <w:lang w:val="fr-CA"/>
            </w:rPr>
          </w:pPr>
          <w:r w:rsidRPr="00FF6E78">
            <w:rPr>
              <w:rFonts w:cs="Arial"/>
              <w:b/>
              <w:szCs w:val="22"/>
              <w:lang w:val="fr-CA"/>
            </w:rPr>
            <w:t>ressources transfrontalières</w:t>
          </w:r>
          <w:r w:rsidRPr="00FF6E78">
            <w:rPr>
              <w:rFonts w:cs="Arial"/>
              <w:b/>
              <w:lang w:val="fr-CA"/>
            </w:rPr>
            <w:t xml:space="preserve"> </w:t>
          </w:r>
        </w:p>
      </w:tc>
      <w:tc>
        <w:tcPr>
          <w:tcW w:w="2423" w:type="pct"/>
          <w:shd w:val="clear" w:color="auto" w:fill="auto"/>
        </w:tcPr>
        <w:p w14:paraId="1BB07DFA" w14:textId="77777777" w:rsidR="009059E9" w:rsidRPr="00FF6E78" w:rsidRDefault="009059E9" w:rsidP="00CE6A09">
          <w:pPr>
            <w:tabs>
              <w:tab w:val="center" w:pos="4320"/>
              <w:tab w:val="right" w:pos="8640"/>
            </w:tabs>
            <w:spacing w:before="0" w:after="0"/>
            <w:rPr>
              <w:rFonts w:cs="Arial"/>
              <w:b/>
              <w:sz w:val="20"/>
              <w:lang w:val="fr-CA"/>
            </w:rPr>
          </w:pPr>
        </w:p>
        <w:p w14:paraId="5CDD9C70" w14:textId="77777777" w:rsidR="009059E9" w:rsidRPr="00FF6E78" w:rsidRDefault="009059E9" w:rsidP="00CE6A09">
          <w:pPr>
            <w:tabs>
              <w:tab w:val="center" w:pos="4320"/>
              <w:tab w:val="right" w:pos="8640"/>
            </w:tabs>
            <w:spacing w:before="0" w:after="0"/>
            <w:rPr>
              <w:rFonts w:cs="Arial"/>
              <w:b/>
              <w:i/>
              <w:sz w:val="30"/>
              <w:szCs w:val="30"/>
              <w:lang w:val="en-CA"/>
            </w:rPr>
          </w:pPr>
          <w:r w:rsidRPr="00FF6E78">
            <w:rPr>
              <w:rFonts w:cs="Arial"/>
              <w:b/>
              <w:i/>
              <w:sz w:val="30"/>
              <w:szCs w:val="30"/>
              <w:lang w:val="en-CA"/>
            </w:rPr>
            <w:t>TRAC</w:t>
          </w:r>
        </w:p>
        <w:p w14:paraId="3CC74C81" w14:textId="77777777" w:rsidR="009059E9" w:rsidRPr="00FF6E78" w:rsidRDefault="009059E9" w:rsidP="00CE6A09">
          <w:pPr>
            <w:tabs>
              <w:tab w:val="center" w:pos="4320"/>
              <w:tab w:val="right" w:pos="8640"/>
            </w:tabs>
            <w:spacing w:before="0" w:after="0"/>
            <w:rPr>
              <w:rFonts w:cs="Arial"/>
              <w:b/>
              <w:sz w:val="20"/>
              <w:lang w:val="en-CA"/>
            </w:rPr>
          </w:pPr>
        </w:p>
        <w:p w14:paraId="44CEC635" w14:textId="77777777" w:rsidR="009059E9" w:rsidRPr="00FF6E78" w:rsidRDefault="009059E9" w:rsidP="00CE6A09">
          <w:pPr>
            <w:tabs>
              <w:tab w:val="center" w:pos="4320"/>
              <w:tab w:val="right" w:pos="8640"/>
            </w:tabs>
            <w:spacing w:before="0" w:after="0"/>
            <w:rPr>
              <w:rFonts w:cs="Arial"/>
              <w:b/>
              <w:lang w:val="en-CA"/>
            </w:rPr>
          </w:pPr>
          <w:r w:rsidRPr="00FF6E78">
            <w:rPr>
              <w:rFonts w:cs="Arial"/>
              <w:b/>
              <w:lang w:val="en-CA"/>
            </w:rPr>
            <w:t>Transboundary Resources</w:t>
          </w:r>
        </w:p>
        <w:p w14:paraId="4B96B4D2" w14:textId="77777777" w:rsidR="009059E9" w:rsidRPr="00CE6A09" w:rsidRDefault="009059E9" w:rsidP="00CE6A09">
          <w:pPr>
            <w:pStyle w:val="Header"/>
            <w:spacing w:before="0" w:after="0"/>
            <w:rPr>
              <w:b/>
              <w:szCs w:val="22"/>
            </w:rPr>
          </w:pPr>
          <w:r w:rsidRPr="00FF6E78">
            <w:rPr>
              <w:rFonts w:cs="Arial"/>
              <w:b/>
              <w:lang w:val="en-CA"/>
            </w:rPr>
            <w:t>Assessment Committee</w:t>
          </w:r>
        </w:p>
      </w:tc>
    </w:tr>
  </w:tbl>
  <w:p w14:paraId="7E37A926" w14:textId="3F9EC566" w:rsidR="009059E9" w:rsidRDefault="009059E9" w:rsidP="00CE6A09">
    <w:pPr>
      <w:pStyle w:val="Header"/>
      <w:spacing w:before="0" w:after="0"/>
    </w:pPr>
  </w:p>
  <w:tbl>
    <w:tblPr>
      <w:tblW w:w="9360" w:type="dxa"/>
      <w:tblLayout w:type="fixed"/>
      <w:tblCellMar>
        <w:left w:w="0" w:type="dxa"/>
        <w:right w:w="0" w:type="dxa"/>
      </w:tblCellMar>
      <w:tblLook w:val="0000" w:firstRow="0" w:lastRow="0" w:firstColumn="0" w:lastColumn="0" w:noHBand="0" w:noVBand="0"/>
    </w:tblPr>
    <w:tblGrid>
      <w:gridCol w:w="4770"/>
      <w:gridCol w:w="4590"/>
    </w:tblGrid>
    <w:tr w:rsidR="009059E9" w:rsidRPr="00FF6E78" w14:paraId="52B7271C" w14:textId="77777777" w:rsidTr="00CE6A09">
      <w:tc>
        <w:tcPr>
          <w:tcW w:w="4770" w:type="dxa"/>
        </w:tcPr>
        <w:p w14:paraId="4953556E" w14:textId="77777777" w:rsidR="009059E9" w:rsidRPr="00FF6E78" w:rsidRDefault="009059E9" w:rsidP="00CE6A09">
          <w:pPr>
            <w:spacing w:before="0" w:after="0"/>
            <w:rPr>
              <w:rFonts w:cs="Arial"/>
              <w:b/>
              <w:sz w:val="20"/>
            </w:rPr>
          </w:pPr>
          <w:r>
            <w:rPr>
              <w:rFonts w:cs="Arial"/>
              <w:b/>
              <w:sz w:val="20"/>
            </w:rPr>
            <w:t>Compte rendu 2019/001</w:t>
          </w:r>
        </w:p>
      </w:tc>
      <w:tc>
        <w:tcPr>
          <w:tcW w:w="4590" w:type="dxa"/>
        </w:tcPr>
        <w:p w14:paraId="1D013767" w14:textId="77777777" w:rsidR="009059E9" w:rsidRPr="00FF6E78" w:rsidRDefault="009059E9" w:rsidP="00CE6A09">
          <w:pPr>
            <w:spacing w:before="0" w:after="0"/>
            <w:rPr>
              <w:rFonts w:cs="Arial"/>
              <w:b/>
              <w:sz w:val="20"/>
            </w:rPr>
          </w:pPr>
          <w:r>
            <w:rPr>
              <w:rFonts w:cs="Arial"/>
              <w:b/>
              <w:sz w:val="20"/>
            </w:rPr>
            <w:t>Proceedings Series 2019/001</w:t>
          </w:r>
        </w:p>
      </w:tc>
    </w:tr>
  </w:tbl>
  <w:p w14:paraId="4907BFBB" w14:textId="77777777" w:rsidR="009059E9" w:rsidRPr="00CE6A09" w:rsidRDefault="009059E9" w:rsidP="00CE6A09">
    <w:pPr>
      <w:pStyle w:val="Heade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3FA89" w14:textId="77777777" w:rsidR="009059E9" w:rsidRPr="00A0159E" w:rsidRDefault="009059E9" w:rsidP="00DA68D4">
    <w:pP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64D19" w14:textId="4AA93792" w:rsidR="009059E9" w:rsidRPr="00A0159E" w:rsidRDefault="009059E9" w:rsidP="009059E9">
    <w:pPr>
      <w:pBdr>
        <w:bottom w:val="single" w:sz="4" w:space="1" w:color="auto"/>
      </w:pBdr>
      <w:tabs>
        <w:tab w:val="center" w:pos="4680"/>
        <w:tab w:val="right" w:pos="9360"/>
      </w:tabs>
      <w:jc w:val="right"/>
      <w:rPr>
        <w:szCs w:val="22"/>
      </w:rPr>
    </w:pPr>
    <w:r>
      <w:rPr>
        <w:rFonts w:cs="Arial"/>
        <w:b/>
        <w:sz w:val="20"/>
      </w:rPr>
      <w:t>Compte rendu du CERT 2019/001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9BBAE" w14:textId="77777777" w:rsidR="009059E9" w:rsidRDefault="009059E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BF89116"/>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4588066C"/>
    <w:lvl w:ilvl="0">
      <w:start w:val="1"/>
      <w:numFmt w:val="bullet"/>
      <w:pStyle w:val="ListBullet2"/>
      <w:lvlText w:val="o"/>
      <w:lvlJc w:val="left"/>
      <w:pPr>
        <w:ind w:left="643" w:hanging="360"/>
      </w:pPr>
      <w:rPr>
        <w:rFonts w:ascii="Courier New" w:hAnsi="Courier New" w:cs="Courier New" w:hint="default"/>
      </w:rPr>
    </w:lvl>
  </w:abstractNum>
  <w:abstractNum w:abstractNumId="2" w15:restartNumberingAfterBreak="0">
    <w:nsid w:val="FFFFFF88"/>
    <w:multiLevelType w:val="singleLevel"/>
    <w:tmpl w:val="794E3E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B9187C8C"/>
    <w:lvl w:ilvl="0">
      <w:start w:val="1"/>
      <w:numFmt w:val="bullet"/>
      <w:pStyle w:val="ListBullet"/>
      <w:lvlText w:val=""/>
      <w:lvlJc w:val="left"/>
      <w:pPr>
        <w:tabs>
          <w:tab w:val="num" w:pos="360"/>
        </w:tabs>
        <w:ind w:left="360" w:hanging="360"/>
      </w:pPr>
      <w:rPr>
        <w:rFonts w:ascii="Symbol" w:hAnsi="Symbol" w:hint="default"/>
        <w:lang w:val="en-CA"/>
      </w:rPr>
    </w:lvl>
  </w:abstractNum>
  <w:abstractNum w:abstractNumId="4" w15:restartNumberingAfterBreak="0">
    <w:nsid w:val="03155A78"/>
    <w:multiLevelType w:val="hybridMultilevel"/>
    <w:tmpl w:val="BEE627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8E41AA2"/>
    <w:multiLevelType w:val="hybridMultilevel"/>
    <w:tmpl w:val="D1D217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5A56ABF"/>
    <w:multiLevelType w:val="hybridMultilevel"/>
    <w:tmpl w:val="CCA2FD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6F25BC7"/>
    <w:multiLevelType w:val="hybridMultilevel"/>
    <w:tmpl w:val="74B6F622"/>
    <w:lvl w:ilvl="0" w:tplc="10090001">
      <w:start w:val="1"/>
      <w:numFmt w:val="bullet"/>
      <w:lvlText w:val=""/>
      <w:lvlJc w:val="left"/>
      <w:pPr>
        <w:ind w:left="360" w:hanging="360"/>
      </w:pPr>
      <w:rPr>
        <w:rFonts w:ascii="Symbol" w:hAnsi="Symbol" w:hint="default"/>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3EC6785A"/>
    <w:multiLevelType w:val="hybridMultilevel"/>
    <w:tmpl w:val="BE9C06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47555FD"/>
    <w:multiLevelType w:val="hybridMultilevel"/>
    <w:tmpl w:val="240C3AD4"/>
    <w:lvl w:ilvl="0" w:tplc="556C915E">
      <w:numFmt w:val="bullet"/>
      <w:lvlText w:val=""/>
      <w:lvlJc w:val="left"/>
      <w:pPr>
        <w:ind w:left="480" w:hanging="360"/>
      </w:pPr>
      <w:rPr>
        <w:rFonts w:ascii="Symbol" w:eastAsia="Symbol" w:hAnsi="Symbol" w:cs="Symbol" w:hint="default"/>
        <w:w w:val="100"/>
        <w:sz w:val="22"/>
        <w:szCs w:val="22"/>
        <w:lang w:val="en-CA" w:eastAsia="en-CA" w:bidi="en-CA"/>
      </w:rPr>
    </w:lvl>
    <w:lvl w:ilvl="1" w:tplc="432677C8">
      <w:numFmt w:val="bullet"/>
      <w:lvlText w:val="•"/>
      <w:lvlJc w:val="left"/>
      <w:pPr>
        <w:ind w:left="1392" w:hanging="360"/>
      </w:pPr>
      <w:rPr>
        <w:rFonts w:hint="default"/>
        <w:lang w:val="en-CA" w:eastAsia="en-CA" w:bidi="en-CA"/>
      </w:rPr>
    </w:lvl>
    <w:lvl w:ilvl="2" w:tplc="B7E6A418">
      <w:numFmt w:val="bullet"/>
      <w:lvlText w:val="•"/>
      <w:lvlJc w:val="left"/>
      <w:pPr>
        <w:ind w:left="2304" w:hanging="360"/>
      </w:pPr>
      <w:rPr>
        <w:rFonts w:hint="default"/>
        <w:lang w:val="en-CA" w:eastAsia="en-CA" w:bidi="en-CA"/>
      </w:rPr>
    </w:lvl>
    <w:lvl w:ilvl="3" w:tplc="B3D2F3E2">
      <w:numFmt w:val="bullet"/>
      <w:lvlText w:val="•"/>
      <w:lvlJc w:val="left"/>
      <w:pPr>
        <w:ind w:left="3216" w:hanging="360"/>
      </w:pPr>
      <w:rPr>
        <w:rFonts w:hint="default"/>
        <w:lang w:val="en-CA" w:eastAsia="en-CA" w:bidi="en-CA"/>
      </w:rPr>
    </w:lvl>
    <w:lvl w:ilvl="4" w:tplc="CB66A5E6">
      <w:numFmt w:val="bullet"/>
      <w:lvlText w:val="•"/>
      <w:lvlJc w:val="left"/>
      <w:pPr>
        <w:ind w:left="4128" w:hanging="360"/>
      </w:pPr>
      <w:rPr>
        <w:rFonts w:hint="default"/>
        <w:lang w:val="en-CA" w:eastAsia="en-CA" w:bidi="en-CA"/>
      </w:rPr>
    </w:lvl>
    <w:lvl w:ilvl="5" w:tplc="08FACCDE">
      <w:numFmt w:val="bullet"/>
      <w:lvlText w:val="•"/>
      <w:lvlJc w:val="left"/>
      <w:pPr>
        <w:ind w:left="5040" w:hanging="360"/>
      </w:pPr>
      <w:rPr>
        <w:rFonts w:hint="default"/>
        <w:lang w:val="en-CA" w:eastAsia="en-CA" w:bidi="en-CA"/>
      </w:rPr>
    </w:lvl>
    <w:lvl w:ilvl="6" w:tplc="DC7CFF62">
      <w:numFmt w:val="bullet"/>
      <w:lvlText w:val="•"/>
      <w:lvlJc w:val="left"/>
      <w:pPr>
        <w:ind w:left="5952" w:hanging="360"/>
      </w:pPr>
      <w:rPr>
        <w:rFonts w:hint="default"/>
        <w:lang w:val="en-CA" w:eastAsia="en-CA" w:bidi="en-CA"/>
      </w:rPr>
    </w:lvl>
    <w:lvl w:ilvl="7" w:tplc="DF487EFA">
      <w:numFmt w:val="bullet"/>
      <w:lvlText w:val="•"/>
      <w:lvlJc w:val="left"/>
      <w:pPr>
        <w:ind w:left="6864" w:hanging="360"/>
      </w:pPr>
      <w:rPr>
        <w:rFonts w:hint="default"/>
        <w:lang w:val="en-CA" w:eastAsia="en-CA" w:bidi="en-CA"/>
      </w:rPr>
    </w:lvl>
    <w:lvl w:ilvl="8" w:tplc="DA7AF720">
      <w:numFmt w:val="bullet"/>
      <w:lvlText w:val="•"/>
      <w:lvlJc w:val="left"/>
      <w:pPr>
        <w:ind w:left="7776" w:hanging="360"/>
      </w:pPr>
      <w:rPr>
        <w:rFonts w:hint="default"/>
        <w:lang w:val="en-CA" w:eastAsia="en-CA" w:bidi="en-CA"/>
      </w:rPr>
    </w:lvl>
  </w:abstractNum>
  <w:abstractNum w:abstractNumId="10" w15:restartNumberingAfterBreak="0">
    <w:nsid w:val="5D2519C9"/>
    <w:multiLevelType w:val="hybridMultilevel"/>
    <w:tmpl w:val="F4FC1EC0"/>
    <w:lvl w:ilvl="0" w:tplc="10090001">
      <w:start w:val="1"/>
      <w:numFmt w:val="bullet"/>
      <w:lvlText w:val=""/>
      <w:lvlJc w:val="left"/>
      <w:pPr>
        <w:ind w:left="360" w:hanging="360"/>
      </w:pPr>
      <w:rPr>
        <w:rFonts w:ascii="Symbol" w:hAnsi="Symbol" w:hint="default"/>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62547FBD"/>
    <w:multiLevelType w:val="hybridMultilevel"/>
    <w:tmpl w:val="9B9C4D02"/>
    <w:lvl w:ilvl="0" w:tplc="10090001">
      <w:start w:val="1"/>
      <w:numFmt w:val="bullet"/>
      <w:lvlText w:val=""/>
      <w:lvlJc w:val="left"/>
      <w:pPr>
        <w:ind w:left="360" w:hanging="360"/>
      </w:pPr>
      <w:rPr>
        <w:rFonts w:ascii="Symbol" w:hAnsi="Symbol" w:hint="default"/>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6AF75F25"/>
    <w:multiLevelType w:val="hybridMultilevel"/>
    <w:tmpl w:val="A524C0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1F230F2"/>
    <w:multiLevelType w:val="hybridMultilevel"/>
    <w:tmpl w:val="E03C22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6"/>
  </w:num>
  <w:num w:numId="6">
    <w:abstractNumId w:val="5"/>
  </w:num>
  <w:num w:numId="7">
    <w:abstractNumId w:val="12"/>
  </w:num>
  <w:num w:numId="8">
    <w:abstractNumId w:val="8"/>
  </w:num>
  <w:num w:numId="9">
    <w:abstractNumId w:val="13"/>
  </w:num>
  <w:num w:numId="10">
    <w:abstractNumId w:val="4"/>
  </w:num>
  <w:num w:numId="11">
    <w:abstractNumId w:val="11"/>
  </w:num>
  <w:num w:numId="12">
    <w:abstractNumId w:val="7"/>
  </w:num>
  <w:num w:numId="13">
    <w:abstractNumId w:val="10"/>
  </w:num>
  <w:num w:numId="14">
    <w:abstractNumId w:val="9"/>
  </w:num>
  <w:num w:numId="15">
    <w:abstractNumId w:val="3"/>
  </w:num>
  <w:num w:numId="16">
    <w:abstractNumId w:val="1"/>
  </w:num>
  <w:num w:numId="17">
    <w:abstractNumId w:val="2"/>
  </w:num>
  <w:num w:numId="1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hideSpelling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132"/>
    <w:rsid w:val="000001F7"/>
    <w:rsid w:val="000012E9"/>
    <w:rsid w:val="00001E5C"/>
    <w:rsid w:val="00002C3B"/>
    <w:rsid w:val="00004F56"/>
    <w:rsid w:val="0000703B"/>
    <w:rsid w:val="0000754F"/>
    <w:rsid w:val="0001016A"/>
    <w:rsid w:val="00010F6E"/>
    <w:rsid w:val="000161D7"/>
    <w:rsid w:val="00026043"/>
    <w:rsid w:val="000274FA"/>
    <w:rsid w:val="00030735"/>
    <w:rsid w:val="00032884"/>
    <w:rsid w:val="000357C3"/>
    <w:rsid w:val="000358FD"/>
    <w:rsid w:val="00035C00"/>
    <w:rsid w:val="0003643F"/>
    <w:rsid w:val="00043BEC"/>
    <w:rsid w:val="00046D18"/>
    <w:rsid w:val="000601B8"/>
    <w:rsid w:val="00063488"/>
    <w:rsid w:val="0006702F"/>
    <w:rsid w:val="00067AF0"/>
    <w:rsid w:val="00067E74"/>
    <w:rsid w:val="000735F7"/>
    <w:rsid w:val="00073E36"/>
    <w:rsid w:val="00075780"/>
    <w:rsid w:val="00077C5A"/>
    <w:rsid w:val="00077E90"/>
    <w:rsid w:val="000813C7"/>
    <w:rsid w:val="00081E1F"/>
    <w:rsid w:val="00084EAB"/>
    <w:rsid w:val="000865DF"/>
    <w:rsid w:val="000905E3"/>
    <w:rsid w:val="00090772"/>
    <w:rsid w:val="00091360"/>
    <w:rsid w:val="00091CAA"/>
    <w:rsid w:val="00092B34"/>
    <w:rsid w:val="000A59F7"/>
    <w:rsid w:val="000A6AEB"/>
    <w:rsid w:val="000B0C39"/>
    <w:rsid w:val="000B1447"/>
    <w:rsid w:val="000B1AEC"/>
    <w:rsid w:val="000B406D"/>
    <w:rsid w:val="000B42FF"/>
    <w:rsid w:val="000B450B"/>
    <w:rsid w:val="000B4A76"/>
    <w:rsid w:val="000B73FB"/>
    <w:rsid w:val="000C2C33"/>
    <w:rsid w:val="000C5F34"/>
    <w:rsid w:val="000D00B0"/>
    <w:rsid w:val="000D0AA3"/>
    <w:rsid w:val="000D2E20"/>
    <w:rsid w:val="000D3D75"/>
    <w:rsid w:val="000D575B"/>
    <w:rsid w:val="000D5A81"/>
    <w:rsid w:val="000E0130"/>
    <w:rsid w:val="000E55E0"/>
    <w:rsid w:val="000E56C9"/>
    <w:rsid w:val="000E6551"/>
    <w:rsid w:val="000E7A9F"/>
    <w:rsid w:val="000F061E"/>
    <w:rsid w:val="000F1224"/>
    <w:rsid w:val="000F139B"/>
    <w:rsid w:val="000F2E12"/>
    <w:rsid w:val="00100E99"/>
    <w:rsid w:val="00101CBC"/>
    <w:rsid w:val="001020A2"/>
    <w:rsid w:val="00106F04"/>
    <w:rsid w:val="00111133"/>
    <w:rsid w:val="001115AC"/>
    <w:rsid w:val="00113C20"/>
    <w:rsid w:val="00114FDF"/>
    <w:rsid w:val="0012025E"/>
    <w:rsid w:val="00120C4A"/>
    <w:rsid w:val="00121A74"/>
    <w:rsid w:val="001238B1"/>
    <w:rsid w:val="00124167"/>
    <w:rsid w:val="00124546"/>
    <w:rsid w:val="00125304"/>
    <w:rsid w:val="00126310"/>
    <w:rsid w:val="0012732A"/>
    <w:rsid w:val="0014186E"/>
    <w:rsid w:val="001424ED"/>
    <w:rsid w:val="00151F25"/>
    <w:rsid w:val="0015426F"/>
    <w:rsid w:val="001636B2"/>
    <w:rsid w:val="0016460E"/>
    <w:rsid w:val="00164B35"/>
    <w:rsid w:val="00164BA8"/>
    <w:rsid w:val="001652F0"/>
    <w:rsid w:val="001673FA"/>
    <w:rsid w:val="00170827"/>
    <w:rsid w:val="00171307"/>
    <w:rsid w:val="001744AA"/>
    <w:rsid w:val="001775F2"/>
    <w:rsid w:val="001806A3"/>
    <w:rsid w:val="001822DA"/>
    <w:rsid w:val="001843E5"/>
    <w:rsid w:val="001877CB"/>
    <w:rsid w:val="00191661"/>
    <w:rsid w:val="001968AB"/>
    <w:rsid w:val="00196931"/>
    <w:rsid w:val="001A0B72"/>
    <w:rsid w:val="001A3735"/>
    <w:rsid w:val="001A5513"/>
    <w:rsid w:val="001A7A99"/>
    <w:rsid w:val="001B22B9"/>
    <w:rsid w:val="001B283F"/>
    <w:rsid w:val="001B2BE1"/>
    <w:rsid w:val="001B52CE"/>
    <w:rsid w:val="001B6B2E"/>
    <w:rsid w:val="001C14C9"/>
    <w:rsid w:val="001C3BA9"/>
    <w:rsid w:val="001C40F9"/>
    <w:rsid w:val="001C4731"/>
    <w:rsid w:val="001C5656"/>
    <w:rsid w:val="001C645E"/>
    <w:rsid w:val="001D17E9"/>
    <w:rsid w:val="001D1948"/>
    <w:rsid w:val="001D2142"/>
    <w:rsid w:val="001D5809"/>
    <w:rsid w:val="001D7229"/>
    <w:rsid w:val="001E02EF"/>
    <w:rsid w:val="001E2C65"/>
    <w:rsid w:val="001E4DA7"/>
    <w:rsid w:val="001E4ED0"/>
    <w:rsid w:val="001E593D"/>
    <w:rsid w:val="001F433E"/>
    <w:rsid w:val="0020159D"/>
    <w:rsid w:val="00205FAF"/>
    <w:rsid w:val="00205FF9"/>
    <w:rsid w:val="00207BF4"/>
    <w:rsid w:val="00210A96"/>
    <w:rsid w:val="00210CCE"/>
    <w:rsid w:val="0021188B"/>
    <w:rsid w:val="00213282"/>
    <w:rsid w:val="00214C3B"/>
    <w:rsid w:val="00215C7D"/>
    <w:rsid w:val="00215D68"/>
    <w:rsid w:val="00216C51"/>
    <w:rsid w:val="00220501"/>
    <w:rsid w:val="0022350A"/>
    <w:rsid w:val="00226E5D"/>
    <w:rsid w:val="00227691"/>
    <w:rsid w:val="00230C50"/>
    <w:rsid w:val="002310A0"/>
    <w:rsid w:val="002339D5"/>
    <w:rsid w:val="00234B48"/>
    <w:rsid w:val="00234E86"/>
    <w:rsid w:val="002368DB"/>
    <w:rsid w:val="00241473"/>
    <w:rsid w:val="002434C4"/>
    <w:rsid w:val="00243725"/>
    <w:rsid w:val="0024388B"/>
    <w:rsid w:val="00245F6D"/>
    <w:rsid w:val="00246104"/>
    <w:rsid w:val="002469BE"/>
    <w:rsid w:val="00251C41"/>
    <w:rsid w:val="0025755C"/>
    <w:rsid w:val="00260758"/>
    <w:rsid w:val="002622AD"/>
    <w:rsid w:val="0026298D"/>
    <w:rsid w:val="002663C9"/>
    <w:rsid w:val="0027092C"/>
    <w:rsid w:val="00271A5C"/>
    <w:rsid w:val="002735B7"/>
    <w:rsid w:val="00275310"/>
    <w:rsid w:val="002761D7"/>
    <w:rsid w:val="002805E2"/>
    <w:rsid w:val="00280F48"/>
    <w:rsid w:val="00281BE0"/>
    <w:rsid w:val="0028393F"/>
    <w:rsid w:val="00284227"/>
    <w:rsid w:val="00285CAB"/>
    <w:rsid w:val="00286232"/>
    <w:rsid w:val="00290E33"/>
    <w:rsid w:val="00291412"/>
    <w:rsid w:val="0029393D"/>
    <w:rsid w:val="0029644D"/>
    <w:rsid w:val="00296AA7"/>
    <w:rsid w:val="002976D4"/>
    <w:rsid w:val="002A0631"/>
    <w:rsid w:val="002A0C1C"/>
    <w:rsid w:val="002A5761"/>
    <w:rsid w:val="002A6C58"/>
    <w:rsid w:val="002A74B2"/>
    <w:rsid w:val="002B4E49"/>
    <w:rsid w:val="002B6AFF"/>
    <w:rsid w:val="002B6E20"/>
    <w:rsid w:val="002C004D"/>
    <w:rsid w:val="002C0262"/>
    <w:rsid w:val="002C0FE0"/>
    <w:rsid w:val="002C50AB"/>
    <w:rsid w:val="002C5157"/>
    <w:rsid w:val="002E23A6"/>
    <w:rsid w:val="002E2DE7"/>
    <w:rsid w:val="002E3283"/>
    <w:rsid w:val="002E4E4C"/>
    <w:rsid w:val="002E5828"/>
    <w:rsid w:val="002E650C"/>
    <w:rsid w:val="002F3D3B"/>
    <w:rsid w:val="002F44F6"/>
    <w:rsid w:val="002F45EB"/>
    <w:rsid w:val="00303F54"/>
    <w:rsid w:val="00307C12"/>
    <w:rsid w:val="00307F39"/>
    <w:rsid w:val="003143F0"/>
    <w:rsid w:val="00315120"/>
    <w:rsid w:val="00316727"/>
    <w:rsid w:val="00317F53"/>
    <w:rsid w:val="00320993"/>
    <w:rsid w:val="00321678"/>
    <w:rsid w:val="00322F65"/>
    <w:rsid w:val="003234BE"/>
    <w:rsid w:val="003238E3"/>
    <w:rsid w:val="00326BA1"/>
    <w:rsid w:val="003361A2"/>
    <w:rsid w:val="00336DED"/>
    <w:rsid w:val="00337280"/>
    <w:rsid w:val="003374D0"/>
    <w:rsid w:val="00337D65"/>
    <w:rsid w:val="003409E9"/>
    <w:rsid w:val="0034350C"/>
    <w:rsid w:val="003461C2"/>
    <w:rsid w:val="0034759D"/>
    <w:rsid w:val="003477D6"/>
    <w:rsid w:val="00354146"/>
    <w:rsid w:val="00354626"/>
    <w:rsid w:val="00354A60"/>
    <w:rsid w:val="00356E51"/>
    <w:rsid w:val="00360A07"/>
    <w:rsid w:val="00361A59"/>
    <w:rsid w:val="0036371F"/>
    <w:rsid w:val="0036643F"/>
    <w:rsid w:val="0037022A"/>
    <w:rsid w:val="0037394B"/>
    <w:rsid w:val="0037454F"/>
    <w:rsid w:val="0037461B"/>
    <w:rsid w:val="00375D25"/>
    <w:rsid w:val="00380BAF"/>
    <w:rsid w:val="00383C8D"/>
    <w:rsid w:val="00390B07"/>
    <w:rsid w:val="00393BAE"/>
    <w:rsid w:val="0039513E"/>
    <w:rsid w:val="0039556C"/>
    <w:rsid w:val="003A194B"/>
    <w:rsid w:val="003A438D"/>
    <w:rsid w:val="003B13CC"/>
    <w:rsid w:val="003B30AB"/>
    <w:rsid w:val="003B4EEC"/>
    <w:rsid w:val="003B5A86"/>
    <w:rsid w:val="003B6E04"/>
    <w:rsid w:val="003B74EE"/>
    <w:rsid w:val="003C05CE"/>
    <w:rsid w:val="003C26DB"/>
    <w:rsid w:val="003C38A7"/>
    <w:rsid w:val="003D0BEC"/>
    <w:rsid w:val="003D6738"/>
    <w:rsid w:val="003E0F97"/>
    <w:rsid w:val="003E13E7"/>
    <w:rsid w:val="003E14E7"/>
    <w:rsid w:val="003E3676"/>
    <w:rsid w:val="003E3840"/>
    <w:rsid w:val="003E4272"/>
    <w:rsid w:val="003E7B27"/>
    <w:rsid w:val="003E7E9D"/>
    <w:rsid w:val="003F17C9"/>
    <w:rsid w:val="003F1B5F"/>
    <w:rsid w:val="003F2BD6"/>
    <w:rsid w:val="003F7F62"/>
    <w:rsid w:val="00402885"/>
    <w:rsid w:val="0040338D"/>
    <w:rsid w:val="00403E9F"/>
    <w:rsid w:val="004046DA"/>
    <w:rsid w:val="00406C67"/>
    <w:rsid w:val="00414AC5"/>
    <w:rsid w:val="00422FE6"/>
    <w:rsid w:val="00430526"/>
    <w:rsid w:val="00434F4F"/>
    <w:rsid w:val="00435A96"/>
    <w:rsid w:val="00436CCA"/>
    <w:rsid w:val="00436F6A"/>
    <w:rsid w:val="00443E72"/>
    <w:rsid w:val="00443F21"/>
    <w:rsid w:val="00445466"/>
    <w:rsid w:val="00446E67"/>
    <w:rsid w:val="00464DB1"/>
    <w:rsid w:val="00471E9F"/>
    <w:rsid w:val="00475800"/>
    <w:rsid w:val="004758D1"/>
    <w:rsid w:val="004768A7"/>
    <w:rsid w:val="00476D49"/>
    <w:rsid w:val="0047732C"/>
    <w:rsid w:val="004841B4"/>
    <w:rsid w:val="004850EE"/>
    <w:rsid w:val="0048580C"/>
    <w:rsid w:val="0048637A"/>
    <w:rsid w:val="004917D2"/>
    <w:rsid w:val="004A5029"/>
    <w:rsid w:val="004A7C67"/>
    <w:rsid w:val="004B03B0"/>
    <w:rsid w:val="004B06AB"/>
    <w:rsid w:val="004B6821"/>
    <w:rsid w:val="004C533C"/>
    <w:rsid w:val="004C6E09"/>
    <w:rsid w:val="004C6E40"/>
    <w:rsid w:val="004D08FB"/>
    <w:rsid w:val="004D2DF2"/>
    <w:rsid w:val="004D4A96"/>
    <w:rsid w:val="004D5AB0"/>
    <w:rsid w:val="004D637F"/>
    <w:rsid w:val="004E40A8"/>
    <w:rsid w:val="004E78CA"/>
    <w:rsid w:val="004F1A51"/>
    <w:rsid w:val="004F45E1"/>
    <w:rsid w:val="004F4893"/>
    <w:rsid w:val="004F4E44"/>
    <w:rsid w:val="00510745"/>
    <w:rsid w:val="00512115"/>
    <w:rsid w:val="005121C5"/>
    <w:rsid w:val="00512CD7"/>
    <w:rsid w:val="00513083"/>
    <w:rsid w:val="00513DE4"/>
    <w:rsid w:val="00514DA1"/>
    <w:rsid w:val="00517369"/>
    <w:rsid w:val="0052133E"/>
    <w:rsid w:val="00521B35"/>
    <w:rsid w:val="00521F63"/>
    <w:rsid w:val="005223A3"/>
    <w:rsid w:val="005226A4"/>
    <w:rsid w:val="005233AA"/>
    <w:rsid w:val="005264D4"/>
    <w:rsid w:val="005266B9"/>
    <w:rsid w:val="005275A7"/>
    <w:rsid w:val="0053211E"/>
    <w:rsid w:val="00536CA8"/>
    <w:rsid w:val="00536D1F"/>
    <w:rsid w:val="00537480"/>
    <w:rsid w:val="00540DC8"/>
    <w:rsid w:val="00541296"/>
    <w:rsid w:val="0054398B"/>
    <w:rsid w:val="00543DDF"/>
    <w:rsid w:val="00544C8A"/>
    <w:rsid w:val="00545346"/>
    <w:rsid w:val="00546B59"/>
    <w:rsid w:val="005473AB"/>
    <w:rsid w:val="00552A37"/>
    <w:rsid w:val="00553C3A"/>
    <w:rsid w:val="00554688"/>
    <w:rsid w:val="00557E0F"/>
    <w:rsid w:val="0056049E"/>
    <w:rsid w:val="00564E34"/>
    <w:rsid w:val="00566B21"/>
    <w:rsid w:val="0056736A"/>
    <w:rsid w:val="00570612"/>
    <w:rsid w:val="00570795"/>
    <w:rsid w:val="00572F21"/>
    <w:rsid w:val="0057426A"/>
    <w:rsid w:val="005755CF"/>
    <w:rsid w:val="005758A3"/>
    <w:rsid w:val="0057728A"/>
    <w:rsid w:val="00580A75"/>
    <w:rsid w:val="005810DF"/>
    <w:rsid w:val="0058267A"/>
    <w:rsid w:val="00584F52"/>
    <w:rsid w:val="00585D19"/>
    <w:rsid w:val="0058677B"/>
    <w:rsid w:val="0059388B"/>
    <w:rsid w:val="00594B91"/>
    <w:rsid w:val="00594C66"/>
    <w:rsid w:val="00596621"/>
    <w:rsid w:val="005A127E"/>
    <w:rsid w:val="005A2F39"/>
    <w:rsid w:val="005A3629"/>
    <w:rsid w:val="005A373A"/>
    <w:rsid w:val="005A54FD"/>
    <w:rsid w:val="005A746F"/>
    <w:rsid w:val="005A751C"/>
    <w:rsid w:val="005B7292"/>
    <w:rsid w:val="005B7C40"/>
    <w:rsid w:val="005C0C5B"/>
    <w:rsid w:val="005C12B5"/>
    <w:rsid w:val="005C59B0"/>
    <w:rsid w:val="005C666F"/>
    <w:rsid w:val="005C6ED2"/>
    <w:rsid w:val="005C72E2"/>
    <w:rsid w:val="005C763A"/>
    <w:rsid w:val="005D0C29"/>
    <w:rsid w:val="005D30C4"/>
    <w:rsid w:val="005D5266"/>
    <w:rsid w:val="005D727B"/>
    <w:rsid w:val="005E1DA4"/>
    <w:rsid w:val="005E4206"/>
    <w:rsid w:val="005F13A3"/>
    <w:rsid w:val="005F5565"/>
    <w:rsid w:val="0060009B"/>
    <w:rsid w:val="00600420"/>
    <w:rsid w:val="0060463F"/>
    <w:rsid w:val="00604E89"/>
    <w:rsid w:val="006052DF"/>
    <w:rsid w:val="00605BA3"/>
    <w:rsid w:val="00606C90"/>
    <w:rsid w:val="006149A8"/>
    <w:rsid w:val="00616ECD"/>
    <w:rsid w:val="00617329"/>
    <w:rsid w:val="00622A4F"/>
    <w:rsid w:val="00624C01"/>
    <w:rsid w:val="006257BA"/>
    <w:rsid w:val="00626D4F"/>
    <w:rsid w:val="006315DA"/>
    <w:rsid w:val="00631B35"/>
    <w:rsid w:val="006323BD"/>
    <w:rsid w:val="006362DE"/>
    <w:rsid w:val="00637C35"/>
    <w:rsid w:val="00643377"/>
    <w:rsid w:val="00643772"/>
    <w:rsid w:val="00644AD2"/>
    <w:rsid w:val="006505F2"/>
    <w:rsid w:val="006506E3"/>
    <w:rsid w:val="00650ED3"/>
    <w:rsid w:val="00650F5A"/>
    <w:rsid w:val="00652F1A"/>
    <w:rsid w:val="0065392E"/>
    <w:rsid w:val="006547CF"/>
    <w:rsid w:val="00660062"/>
    <w:rsid w:val="00661D65"/>
    <w:rsid w:val="00662955"/>
    <w:rsid w:val="00664D30"/>
    <w:rsid w:val="00670622"/>
    <w:rsid w:val="00670ACF"/>
    <w:rsid w:val="00671658"/>
    <w:rsid w:val="00673ED1"/>
    <w:rsid w:val="00676528"/>
    <w:rsid w:val="006769A1"/>
    <w:rsid w:val="00677A9F"/>
    <w:rsid w:val="00680B8D"/>
    <w:rsid w:val="00683ECF"/>
    <w:rsid w:val="0068617E"/>
    <w:rsid w:val="00690D82"/>
    <w:rsid w:val="00693905"/>
    <w:rsid w:val="006A0147"/>
    <w:rsid w:val="006A5636"/>
    <w:rsid w:val="006A7292"/>
    <w:rsid w:val="006B117D"/>
    <w:rsid w:val="006B149A"/>
    <w:rsid w:val="006B1BA8"/>
    <w:rsid w:val="006B5D97"/>
    <w:rsid w:val="006C0BC3"/>
    <w:rsid w:val="006C1D8D"/>
    <w:rsid w:val="006C2139"/>
    <w:rsid w:val="006C4F55"/>
    <w:rsid w:val="006C59AD"/>
    <w:rsid w:val="006C6EF2"/>
    <w:rsid w:val="006D7AF7"/>
    <w:rsid w:val="006E1B83"/>
    <w:rsid w:val="006E3A63"/>
    <w:rsid w:val="006E7828"/>
    <w:rsid w:val="006E7CA3"/>
    <w:rsid w:val="006F0F4B"/>
    <w:rsid w:val="006F2878"/>
    <w:rsid w:val="006F4059"/>
    <w:rsid w:val="006F6DBA"/>
    <w:rsid w:val="0070266A"/>
    <w:rsid w:val="007029BC"/>
    <w:rsid w:val="00702D6D"/>
    <w:rsid w:val="00704AAA"/>
    <w:rsid w:val="007060E1"/>
    <w:rsid w:val="00710B68"/>
    <w:rsid w:val="007112D9"/>
    <w:rsid w:val="00714D55"/>
    <w:rsid w:val="0071560B"/>
    <w:rsid w:val="007171FF"/>
    <w:rsid w:val="007174D0"/>
    <w:rsid w:val="00722F8A"/>
    <w:rsid w:val="00726FC9"/>
    <w:rsid w:val="007318AD"/>
    <w:rsid w:val="007400FF"/>
    <w:rsid w:val="00740185"/>
    <w:rsid w:val="00740512"/>
    <w:rsid w:val="00745EDD"/>
    <w:rsid w:val="00746D18"/>
    <w:rsid w:val="007508DD"/>
    <w:rsid w:val="00750988"/>
    <w:rsid w:val="007514A1"/>
    <w:rsid w:val="00754EF0"/>
    <w:rsid w:val="0076049D"/>
    <w:rsid w:val="00762430"/>
    <w:rsid w:val="00762ED5"/>
    <w:rsid w:val="00765C1D"/>
    <w:rsid w:val="00766655"/>
    <w:rsid w:val="007673D6"/>
    <w:rsid w:val="00767AA3"/>
    <w:rsid w:val="00775288"/>
    <w:rsid w:val="00776865"/>
    <w:rsid w:val="00780120"/>
    <w:rsid w:val="00780B68"/>
    <w:rsid w:val="00781576"/>
    <w:rsid w:val="00782DD0"/>
    <w:rsid w:val="007830CB"/>
    <w:rsid w:val="00784ACC"/>
    <w:rsid w:val="0078594A"/>
    <w:rsid w:val="00785C47"/>
    <w:rsid w:val="00785C6A"/>
    <w:rsid w:val="007865B7"/>
    <w:rsid w:val="00786A74"/>
    <w:rsid w:val="007917D4"/>
    <w:rsid w:val="00791ABE"/>
    <w:rsid w:val="00792B1E"/>
    <w:rsid w:val="007949A7"/>
    <w:rsid w:val="007962B6"/>
    <w:rsid w:val="007A07F0"/>
    <w:rsid w:val="007A1C28"/>
    <w:rsid w:val="007A318E"/>
    <w:rsid w:val="007A5261"/>
    <w:rsid w:val="007A66FD"/>
    <w:rsid w:val="007A67AE"/>
    <w:rsid w:val="007B0D7A"/>
    <w:rsid w:val="007B14B3"/>
    <w:rsid w:val="007B1F76"/>
    <w:rsid w:val="007B25EA"/>
    <w:rsid w:val="007B2B09"/>
    <w:rsid w:val="007B3E4D"/>
    <w:rsid w:val="007B5635"/>
    <w:rsid w:val="007B6726"/>
    <w:rsid w:val="007B7530"/>
    <w:rsid w:val="007C1C30"/>
    <w:rsid w:val="007C460E"/>
    <w:rsid w:val="007C505A"/>
    <w:rsid w:val="007C60AF"/>
    <w:rsid w:val="007C7CF7"/>
    <w:rsid w:val="007D3BB0"/>
    <w:rsid w:val="007D4725"/>
    <w:rsid w:val="007D4736"/>
    <w:rsid w:val="007D48F4"/>
    <w:rsid w:val="007D7C91"/>
    <w:rsid w:val="007E03CE"/>
    <w:rsid w:val="007E0B32"/>
    <w:rsid w:val="007E2FEF"/>
    <w:rsid w:val="007E3054"/>
    <w:rsid w:val="007E489F"/>
    <w:rsid w:val="007E6782"/>
    <w:rsid w:val="007E6C94"/>
    <w:rsid w:val="007F4CCA"/>
    <w:rsid w:val="007F5B8E"/>
    <w:rsid w:val="007F6CE6"/>
    <w:rsid w:val="0080019E"/>
    <w:rsid w:val="008009DF"/>
    <w:rsid w:val="00801F0C"/>
    <w:rsid w:val="008042A4"/>
    <w:rsid w:val="008066FA"/>
    <w:rsid w:val="00806BB4"/>
    <w:rsid w:val="00806DAE"/>
    <w:rsid w:val="00810C3C"/>
    <w:rsid w:val="00811508"/>
    <w:rsid w:val="00812047"/>
    <w:rsid w:val="0081767C"/>
    <w:rsid w:val="00822331"/>
    <w:rsid w:val="00822B4E"/>
    <w:rsid w:val="0082314E"/>
    <w:rsid w:val="00823B92"/>
    <w:rsid w:val="008309D1"/>
    <w:rsid w:val="00830C40"/>
    <w:rsid w:val="00833F97"/>
    <w:rsid w:val="0083470C"/>
    <w:rsid w:val="0083495F"/>
    <w:rsid w:val="00834AD3"/>
    <w:rsid w:val="0083649A"/>
    <w:rsid w:val="008425C0"/>
    <w:rsid w:val="008431F2"/>
    <w:rsid w:val="008505EF"/>
    <w:rsid w:val="00851D1C"/>
    <w:rsid w:val="00852E2C"/>
    <w:rsid w:val="00855E80"/>
    <w:rsid w:val="00860B38"/>
    <w:rsid w:val="008617C7"/>
    <w:rsid w:val="00861CD9"/>
    <w:rsid w:val="0086220D"/>
    <w:rsid w:val="0086396F"/>
    <w:rsid w:val="00865DDC"/>
    <w:rsid w:val="00867CB9"/>
    <w:rsid w:val="008706A1"/>
    <w:rsid w:val="0087145F"/>
    <w:rsid w:val="00871D62"/>
    <w:rsid w:val="0087265C"/>
    <w:rsid w:val="008744A7"/>
    <w:rsid w:val="0087690C"/>
    <w:rsid w:val="00880760"/>
    <w:rsid w:val="008817FA"/>
    <w:rsid w:val="00883695"/>
    <w:rsid w:val="00892470"/>
    <w:rsid w:val="00894DE8"/>
    <w:rsid w:val="00895525"/>
    <w:rsid w:val="008A0D1F"/>
    <w:rsid w:val="008A213A"/>
    <w:rsid w:val="008A2E24"/>
    <w:rsid w:val="008A4088"/>
    <w:rsid w:val="008A4DE7"/>
    <w:rsid w:val="008A56B0"/>
    <w:rsid w:val="008B6A58"/>
    <w:rsid w:val="008B7786"/>
    <w:rsid w:val="008B7C71"/>
    <w:rsid w:val="008C1921"/>
    <w:rsid w:val="008C5745"/>
    <w:rsid w:val="008D1763"/>
    <w:rsid w:val="008D4B07"/>
    <w:rsid w:val="008D5676"/>
    <w:rsid w:val="008E069D"/>
    <w:rsid w:val="008E3C12"/>
    <w:rsid w:val="008E3EE2"/>
    <w:rsid w:val="008E42DC"/>
    <w:rsid w:val="008E5670"/>
    <w:rsid w:val="008E6FB0"/>
    <w:rsid w:val="008E750E"/>
    <w:rsid w:val="008F193B"/>
    <w:rsid w:val="008F252E"/>
    <w:rsid w:val="008F2999"/>
    <w:rsid w:val="008F3315"/>
    <w:rsid w:val="008F4032"/>
    <w:rsid w:val="008F4107"/>
    <w:rsid w:val="008F510C"/>
    <w:rsid w:val="008F57D0"/>
    <w:rsid w:val="00900237"/>
    <w:rsid w:val="00900464"/>
    <w:rsid w:val="009039BD"/>
    <w:rsid w:val="00904AA6"/>
    <w:rsid w:val="00904B13"/>
    <w:rsid w:val="00904C80"/>
    <w:rsid w:val="0090523E"/>
    <w:rsid w:val="009059E9"/>
    <w:rsid w:val="00905F53"/>
    <w:rsid w:val="009064D8"/>
    <w:rsid w:val="00906ED5"/>
    <w:rsid w:val="00911D34"/>
    <w:rsid w:val="00912C9F"/>
    <w:rsid w:val="00913237"/>
    <w:rsid w:val="0091473B"/>
    <w:rsid w:val="00915A3C"/>
    <w:rsid w:val="0092014B"/>
    <w:rsid w:val="009318AA"/>
    <w:rsid w:val="00934132"/>
    <w:rsid w:val="009369CD"/>
    <w:rsid w:val="00936BFC"/>
    <w:rsid w:val="009411F2"/>
    <w:rsid w:val="009411FB"/>
    <w:rsid w:val="009419BD"/>
    <w:rsid w:val="00943AD9"/>
    <w:rsid w:val="00951169"/>
    <w:rsid w:val="0095281D"/>
    <w:rsid w:val="00953103"/>
    <w:rsid w:val="00956166"/>
    <w:rsid w:val="009571BD"/>
    <w:rsid w:val="00963DC2"/>
    <w:rsid w:val="009641A8"/>
    <w:rsid w:val="00966D9B"/>
    <w:rsid w:val="00966F3E"/>
    <w:rsid w:val="00967A31"/>
    <w:rsid w:val="009713B9"/>
    <w:rsid w:val="00973C00"/>
    <w:rsid w:val="00975827"/>
    <w:rsid w:val="009806E4"/>
    <w:rsid w:val="009811AD"/>
    <w:rsid w:val="00983666"/>
    <w:rsid w:val="00985685"/>
    <w:rsid w:val="00985D9A"/>
    <w:rsid w:val="00985F0C"/>
    <w:rsid w:val="00991347"/>
    <w:rsid w:val="009919DE"/>
    <w:rsid w:val="00993687"/>
    <w:rsid w:val="00994137"/>
    <w:rsid w:val="0099427E"/>
    <w:rsid w:val="00994645"/>
    <w:rsid w:val="00997601"/>
    <w:rsid w:val="009A29D5"/>
    <w:rsid w:val="009B12E7"/>
    <w:rsid w:val="009B3957"/>
    <w:rsid w:val="009B4D33"/>
    <w:rsid w:val="009B671D"/>
    <w:rsid w:val="009B7D99"/>
    <w:rsid w:val="009C4718"/>
    <w:rsid w:val="009C4E79"/>
    <w:rsid w:val="009C79AB"/>
    <w:rsid w:val="009C7D2F"/>
    <w:rsid w:val="009D16A6"/>
    <w:rsid w:val="009D3406"/>
    <w:rsid w:val="009E175E"/>
    <w:rsid w:val="009E2555"/>
    <w:rsid w:val="009E301F"/>
    <w:rsid w:val="009E6256"/>
    <w:rsid w:val="009E71B5"/>
    <w:rsid w:val="009E7EF0"/>
    <w:rsid w:val="009F0311"/>
    <w:rsid w:val="009F04C4"/>
    <w:rsid w:val="009F0951"/>
    <w:rsid w:val="009F2C0D"/>
    <w:rsid w:val="009F587F"/>
    <w:rsid w:val="009F5A53"/>
    <w:rsid w:val="009F7E33"/>
    <w:rsid w:val="00A0159E"/>
    <w:rsid w:val="00A01C74"/>
    <w:rsid w:val="00A01E5A"/>
    <w:rsid w:val="00A01E7B"/>
    <w:rsid w:val="00A0367F"/>
    <w:rsid w:val="00A03ED2"/>
    <w:rsid w:val="00A04D33"/>
    <w:rsid w:val="00A10C88"/>
    <w:rsid w:val="00A1126D"/>
    <w:rsid w:val="00A13396"/>
    <w:rsid w:val="00A15E14"/>
    <w:rsid w:val="00A167DC"/>
    <w:rsid w:val="00A21C83"/>
    <w:rsid w:val="00A22412"/>
    <w:rsid w:val="00A224E8"/>
    <w:rsid w:val="00A24171"/>
    <w:rsid w:val="00A24D6B"/>
    <w:rsid w:val="00A24F40"/>
    <w:rsid w:val="00A24F68"/>
    <w:rsid w:val="00A25DAA"/>
    <w:rsid w:val="00A271E1"/>
    <w:rsid w:val="00A31F43"/>
    <w:rsid w:val="00A342B9"/>
    <w:rsid w:val="00A36B35"/>
    <w:rsid w:val="00A40FF5"/>
    <w:rsid w:val="00A4159C"/>
    <w:rsid w:val="00A45371"/>
    <w:rsid w:val="00A47357"/>
    <w:rsid w:val="00A47DDA"/>
    <w:rsid w:val="00A47ED3"/>
    <w:rsid w:val="00A51ECC"/>
    <w:rsid w:val="00A55458"/>
    <w:rsid w:val="00A6259B"/>
    <w:rsid w:val="00A62BED"/>
    <w:rsid w:val="00A640DE"/>
    <w:rsid w:val="00A650EF"/>
    <w:rsid w:val="00A66696"/>
    <w:rsid w:val="00A66AAA"/>
    <w:rsid w:val="00A67EAA"/>
    <w:rsid w:val="00A740E6"/>
    <w:rsid w:val="00A76FB9"/>
    <w:rsid w:val="00A80327"/>
    <w:rsid w:val="00A8105B"/>
    <w:rsid w:val="00A81118"/>
    <w:rsid w:val="00A86466"/>
    <w:rsid w:val="00A86722"/>
    <w:rsid w:val="00A90AA9"/>
    <w:rsid w:val="00A90D2E"/>
    <w:rsid w:val="00A95C58"/>
    <w:rsid w:val="00A96AC1"/>
    <w:rsid w:val="00AA4442"/>
    <w:rsid w:val="00AA65EA"/>
    <w:rsid w:val="00AA6A96"/>
    <w:rsid w:val="00AA71F4"/>
    <w:rsid w:val="00AB1341"/>
    <w:rsid w:val="00AB296D"/>
    <w:rsid w:val="00AB6B41"/>
    <w:rsid w:val="00AC5AD2"/>
    <w:rsid w:val="00AC74BD"/>
    <w:rsid w:val="00AD1CA4"/>
    <w:rsid w:val="00AD22BD"/>
    <w:rsid w:val="00AD3A44"/>
    <w:rsid w:val="00AD4871"/>
    <w:rsid w:val="00AD62BA"/>
    <w:rsid w:val="00AE28C7"/>
    <w:rsid w:val="00AF1070"/>
    <w:rsid w:val="00AF233A"/>
    <w:rsid w:val="00AF7287"/>
    <w:rsid w:val="00B026C2"/>
    <w:rsid w:val="00B02F97"/>
    <w:rsid w:val="00B03D81"/>
    <w:rsid w:val="00B040AF"/>
    <w:rsid w:val="00B1133A"/>
    <w:rsid w:val="00B1415B"/>
    <w:rsid w:val="00B14765"/>
    <w:rsid w:val="00B167DC"/>
    <w:rsid w:val="00B20D2A"/>
    <w:rsid w:val="00B20D32"/>
    <w:rsid w:val="00B213E8"/>
    <w:rsid w:val="00B238A3"/>
    <w:rsid w:val="00B24754"/>
    <w:rsid w:val="00B25226"/>
    <w:rsid w:val="00B25999"/>
    <w:rsid w:val="00B2618E"/>
    <w:rsid w:val="00B27026"/>
    <w:rsid w:val="00B31BB5"/>
    <w:rsid w:val="00B3413E"/>
    <w:rsid w:val="00B35595"/>
    <w:rsid w:val="00B40BB6"/>
    <w:rsid w:val="00B43496"/>
    <w:rsid w:val="00B44C4A"/>
    <w:rsid w:val="00B44EEC"/>
    <w:rsid w:val="00B466AF"/>
    <w:rsid w:val="00B4674F"/>
    <w:rsid w:val="00B46863"/>
    <w:rsid w:val="00B54637"/>
    <w:rsid w:val="00B55170"/>
    <w:rsid w:val="00B560CF"/>
    <w:rsid w:val="00B56E06"/>
    <w:rsid w:val="00B60937"/>
    <w:rsid w:val="00B61727"/>
    <w:rsid w:val="00B63F18"/>
    <w:rsid w:val="00B724FF"/>
    <w:rsid w:val="00B74D16"/>
    <w:rsid w:val="00B828AA"/>
    <w:rsid w:val="00B8433F"/>
    <w:rsid w:val="00B8484B"/>
    <w:rsid w:val="00B8553D"/>
    <w:rsid w:val="00B90D0E"/>
    <w:rsid w:val="00B92185"/>
    <w:rsid w:val="00B922A1"/>
    <w:rsid w:val="00B93148"/>
    <w:rsid w:val="00B93D03"/>
    <w:rsid w:val="00B9529C"/>
    <w:rsid w:val="00BA306D"/>
    <w:rsid w:val="00BA55B3"/>
    <w:rsid w:val="00BA64AF"/>
    <w:rsid w:val="00BB183E"/>
    <w:rsid w:val="00BB5448"/>
    <w:rsid w:val="00BB64DF"/>
    <w:rsid w:val="00BB64F9"/>
    <w:rsid w:val="00BB6D88"/>
    <w:rsid w:val="00BC068E"/>
    <w:rsid w:val="00BC122E"/>
    <w:rsid w:val="00BC267D"/>
    <w:rsid w:val="00BC49BD"/>
    <w:rsid w:val="00BC5FCF"/>
    <w:rsid w:val="00BC6618"/>
    <w:rsid w:val="00BD15AF"/>
    <w:rsid w:val="00BD2DD5"/>
    <w:rsid w:val="00BD49D9"/>
    <w:rsid w:val="00BD5FF1"/>
    <w:rsid w:val="00BE39CB"/>
    <w:rsid w:val="00BE41F6"/>
    <w:rsid w:val="00BE4F82"/>
    <w:rsid w:val="00BE657F"/>
    <w:rsid w:val="00BE789C"/>
    <w:rsid w:val="00BF20D8"/>
    <w:rsid w:val="00BF7A88"/>
    <w:rsid w:val="00C003F5"/>
    <w:rsid w:val="00C00673"/>
    <w:rsid w:val="00C00C74"/>
    <w:rsid w:val="00C023C3"/>
    <w:rsid w:val="00C02D29"/>
    <w:rsid w:val="00C10B47"/>
    <w:rsid w:val="00C12BB5"/>
    <w:rsid w:val="00C12CD6"/>
    <w:rsid w:val="00C13020"/>
    <w:rsid w:val="00C15913"/>
    <w:rsid w:val="00C178BC"/>
    <w:rsid w:val="00C20791"/>
    <w:rsid w:val="00C2200A"/>
    <w:rsid w:val="00C24C27"/>
    <w:rsid w:val="00C27065"/>
    <w:rsid w:val="00C30B4B"/>
    <w:rsid w:val="00C319C9"/>
    <w:rsid w:val="00C338E3"/>
    <w:rsid w:val="00C33AA2"/>
    <w:rsid w:val="00C449CD"/>
    <w:rsid w:val="00C47C71"/>
    <w:rsid w:val="00C504E3"/>
    <w:rsid w:val="00C515A8"/>
    <w:rsid w:val="00C52A2F"/>
    <w:rsid w:val="00C53884"/>
    <w:rsid w:val="00C5425A"/>
    <w:rsid w:val="00C55D47"/>
    <w:rsid w:val="00C56C44"/>
    <w:rsid w:val="00C57893"/>
    <w:rsid w:val="00C60C45"/>
    <w:rsid w:val="00C63094"/>
    <w:rsid w:val="00C64BA8"/>
    <w:rsid w:val="00C66CF0"/>
    <w:rsid w:val="00C66D21"/>
    <w:rsid w:val="00C67A37"/>
    <w:rsid w:val="00C70828"/>
    <w:rsid w:val="00C71C81"/>
    <w:rsid w:val="00C73DB1"/>
    <w:rsid w:val="00C74FAB"/>
    <w:rsid w:val="00C750D8"/>
    <w:rsid w:val="00C75DC0"/>
    <w:rsid w:val="00C76A56"/>
    <w:rsid w:val="00C81F2B"/>
    <w:rsid w:val="00C82DA8"/>
    <w:rsid w:val="00C84E08"/>
    <w:rsid w:val="00C8546C"/>
    <w:rsid w:val="00C87BFF"/>
    <w:rsid w:val="00C921AC"/>
    <w:rsid w:val="00C94AD9"/>
    <w:rsid w:val="00C94BB3"/>
    <w:rsid w:val="00C94EE3"/>
    <w:rsid w:val="00C955AE"/>
    <w:rsid w:val="00C977A3"/>
    <w:rsid w:val="00C97AE0"/>
    <w:rsid w:val="00CA1626"/>
    <w:rsid w:val="00CA1F3C"/>
    <w:rsid w:val="00CA7260"/>
    <w:rsid w:val="00CA7C43"/>
    <w:rsid w:val="00CB01EB"/>
    <w:rsid w:val="00CB4D29"/>
    <w:rsid w:val="00CB501D"/>
    <w:rsid w:val="00CB5CE7"/>
    <w:rsid w:val="00CB63E7"/>
    <w:rsid w:val="00CB7289"/>
    <w:rsid w:val="00CC0130"/>
    <w:rsid w:val="00CC138F"/>
    <w:rsid w:val="00CC1582"/>
    <w:rsid w:val="00CC2146"/>
    <w:rsid w:val="00CC30F7"/>
    <w:rsid w:val="00CD068A"/>
    <w:rsid w:val="00CD1227"/>
    <w:rsid w:val="00CD1A2B"/>
    <w:rsid w:val="00CD6800"/>
    <w:rsid w:val="00CD7CA4"/>
    <w:rsid w:val="00CE6A09"/>
    <w:rsid w:val="00CE7040"/>
    <w:rsid w:val="00CE7DF4"/>
    <w:rsid w:val="00CF35D5"/>
    <w:rsid w:val="00CF3C01"/>
    <w:rsid w:val="00CF655F"/>
    <w:rsid w:val="00CF6E34"/>
    <w:rsid w:val="00CF7213"/>
    <w:rsid w:val="00D0005D"/>
    <w:rsid w:val="00D04CFF"/>
    <w:rsid w:val="00D04EC3"/>
    <w:rsid w:val="00D05E97"/>
    <w:rsid w:val="00D063FE"/>
    <w:rsid w:val="00D071DB"/>
    <w:rsid w:val="00D07CE3"/>
    <w:rsid w:val="00D12184"/>
    <w:rsid w:val="00D1260F"/>
    <w:rsid w:val="00D12C7A"/>
    <w:rsid w:val="00D16400"/>
    <w:rsid w:val="00D218C2"/>
    <w:rsid w:val="00D231F2"/>
    <w:rsid w:val="00D233BA"/>
    <w:rsid w:val="00D2367C"/>
    <w:rsid w:val="00D23C81"/>
    <w:rsid w:val="00D257EB"/>
    <w:rsid w:val="00D26197"/>
    <w:rsid w:val="00D26ADA"/>
    <w:rsid w:val="00D27104"/>
    <w:rsid w:val="00D27846"/>
    <w:rsid w:val="00D34424"/>
    <w:rsid w:val="00D344BA"/>
    <w:rsid w:val="00D36C30"/>
    <w:rsid w:val="00D37029"/>
    <w:rsid w:val="00D41D38"/>
    <w:rsid w:val="00D4398E"/>
    <w:rsid w:val="00D4423A"/>
    <w:rsid w:val="00D44B91"/>
    <w:rsid w:val="00D556E6"/>
    <w:rsid w:val="00D56225"/>
    <w:rsid w:val="00D5736D"/>
    <w:rsid w:val="00D5755E"/>
    <w:rsid w:val="00D60552"/>
    <w:rsid w:val="00D634CB"/>
    <w:rsid w:val="00D65335"/>
    <w:rsid w:val="00D703B9"/>
    <w:rsid w:val="00D71476"/>
    <w:rsid w:val="00D7481A"/>
    <w:rsid w:val="00D74F82"/>
    <w:rsid w:val="00D7790E"/>
    <w:rsid w:val="00D80605"/>
    <w:rsid w:val="00D8190C"/>
    <w:rsid w:val="00D8265E"/>
    <w:rsid w:val="00D85746"/>
    <w:rsid w:val="00D90E79"/>
    <w:rsid w:val="00D944CD"/>
    <w:rsid w:val="00D944DE"/>
    <w:rsid w:val="00D94B76"/>
    <w:rsid w:val="00DA1EB7"/>
    <w:rsid w:val="00DA1F5B"/>
    <w:rsid w:val="00DA2789"/>
    <w:rsid w:val="00DA393B"/>
    <w:rsid w:val="00DA49F2"/>
    <w:rsid w:val="00DA4A50"/>
    <w:rsid w:val="00DA4BD1"/>
    <w:rsid w:val="00DA52B6"/>
    <w:rsid w:val="00DA68D4"/>
    <w:rsid w:val="00DA762F"/>
    <w:rsid w:val="00DB0F4C"/>
    <w:rsid w:val="00DB1862"/>
    <w:rsid w:val="00DB3E76"/>
    <w:rsid w:val="00DC2575"/>
    <w:rsid w:val="00DC2792"/>
    <w:rsid w:val="00DC3800"/>
    <w:rsid w:val="00DC454D"/>
    <w:rsid w:val="00DC4BC1"/>
    <w:rsid w:val="00DC58A1"/>
    <w:rsid w:val="00DC6A61"/>
    <w:rsid w:val="00DD0B3A"/>
    <w:rsid w:val="00DD56BF"/>
    <w:rsid w:val="00DE224D"/>
    <w:rsid w:val="00DE44CE"/>
    <w:rsid w:val="00DE48BF"/>
    <w:rsid w:val="00DE5499"/>
    <w:rsid w:val="00DE6122"/>
    <w:rsid w:val="00DE67DB"/>
    <w:rsid w:val="00DE6EE5"/>
    <w:rsid w:val="00DF3DCE"/>
    <w:rsid w:val="00DF502C"/>
    <w:rsid w:val="00DF7D35"/>
    <w:rsid w:val="00E0004D"/>
    <w:rsid w:val="00E008B4"/>
    <w:rsid w:val="00E00F8F"/>
    <w:rsid w:val="00E1036D"/>
    <w:rsid w:val="00E11E9E"/>
    <w:rsid w:val="00E16FA6"/>
    <w:rsid w:val="00E2442C"/>
    <w:rsid w:val="00E260FE"/>
    <w:rsid w:val="00E31056"/>
    <w:rsid w:val="00E333AC"/>
    <w:rsid w:val="00E37E6E"/>
    <w:rsid w:val="00E44833"/>
    <w:rsid w:val="00E45C0B"/>
    <w:rsid w:val="00E477D9"/>
    <w:rsid w:val="00E523FC"/>
    <w:rsid w:val="00E5308B"/>
    <w:rsid w:val="00E5689B"/>
    <w:rsid w:val="00E6010E"/>
    <w:rsid w:val="00E607EA"/>
    <w:rsid w:val="00E6244C"/>
    <w:rsid w:val="00E63C97"/>
    <w:rsid w:val="00E64ABC"/>
    <w:rsid w:val="00E667C5"/>
    <w:rsid w:val="00E7092F"/>
    <w:rsid w:val="00E7125D"/>
    <w:rsid w:val="00E7503C"/>
    <w:rsid w:val="00E75EC8"/>
    <w:rsid w:val="00E8088F"/>
    <w:rsid w:val="00E8153D"/>
    <w:rsid w:val="00E82C64"/>
    <w:rsid w:val="00E82E3D"/>
    <w:rsid w:val="00E867C8"/>
    <w:rsid w:val="00E926ED"/>
    <w:rsid w:val="00E92F03"/>
    <w:rsid w:val="00E938C9"/>
    <w:rsid w:val="00EA0963"/>
    <w:rsid w:val="00EA1707"/>
    <w:rsid w:val="00EA2478"/>
    <w:rsid w:val="00EA32F9"/>
    <w:rsid w:val="00EA5286"/>
    <w:rsid w:val="00EB16A4"/>
    <w:rsid w:val="00EB4A94"/>
    <w:rsid w:val="00EB6579"/>
    <w:rsid w:val="00EB771C"/>
    <w:rsid w:val="00EC26FB"/>
    <w:rsid w:val="00EC4914"/>
    <w:rsid w:val="00EC5DA0"/>
    <w:rsid w:val="00ED18D6"/>
    <w:rsid w:val="00ED246B"/>
    <w:rsid w:val="00ED2539"/>
    <w:rsid w:val="00ED2723"/>
    <w:rsid w:val="00ED6B34"/>
    <w:rsid w:val="00ED7EBA"/>
    <w:rsid w:val="00EE0BBE"/>
    <w:rsid w:val="00EE1385"/>
    <w:rsid w:val="00EE4051"/>
    <w:rsid w:val="00EE45D6"/>
    <w:rsid w:val="00EE51B5"/>
    <w:rsid w:val="00EE62B8"/>
    <w:rsid w:val="00EF1BED"/>
    <w:rsid w:val="00EF2D12"/>
    <w:rsid w:val="00EF3496"/>
    <w:rsid w:val="00EF3F63"/>
    <w:rsid w:val="00EF7679"/>
    <w:rsid w:val="00F00B1D"/>
    <w:rsid w:val="00F01753"/>
    <w:rsid w:val="00F04304"/>
    <w:rsid w:val="00F05817"/>
    <w:rsid w:val="00F05FBF"/>
    <w:rsid w:val="00F12882"/>
    <w:rsid w:val="00F142E9"/>
    <w:rsid w:val="00F24325"/>
    <w:rsid w:val="00F25BF4"/>
    <w:rsid w:val="00F261D2"/>
    <w:rsid w:val="00F26EF5"/>
    <w:rsid w:val="00F278C3"/>
    <w:rsid w:val="00F30042"/>
    <w:rsid w:val="00F31B4D"/>
    <w:rsid w:val="00F37A1F"/>
    <w:rsid w:val="00F414E5"/>
    <w:rsid w:val="00F52C6F"/>
    <w:rsid w:val="00F53A54"/>
    <w:rsid w:val="00F55979"/>
    <w:rsid w:val="00F56FF2"/>
    <w:rsid w:val="00F67090"/>
    <w:rsid w:val="00F7273D"/>
    <w:rsid w:val="00F7712A"/>
    <w:rsid w:val="00F77210"/>
    <w:rsid w:val="00F8190E"/>
    <w:rsid w:val="00F861DB"/>
    <w:rsid w:val="00F86469"/>
    <w:rsid w:val="00F902C2"/>
    <w:rsid w:val="00F93B6A"/>
    <w:rsid w:val="00F93EA8"/>
    <w:rsid w:val="00F95646"/>
    <w:rsid w:val="00F96F01"/>
    <w:rsid w:val="00F97724"/>
    <w:rsid w:val="00FA0769"/>
    <w:rsid w:val="00FA2087"/>
    <w:rsid w:val="00FA488A"/>
    <w:rsid w:val="00FB2BD1"/>
    <w:rsid w:val="00FB6C9D"/>
    <w:rsid w:val="00FC2D7E"/>
    <w:rsid w:val="00FC3DFA"/>
    <w:rsid w:val="00FC4303"/>
    <w:rsid w:val="00FD04FD"/>
    <w:rsid w:val="00FD0A71"/>
    <w:rsid w:val="00FD2952"/>
    <w:rsid w:val="00FD3DC2"/>
    <w:rsid w:val="00FD4747"/>
    <w:rsid w:val="00FD6157"/>
    <w:rsid w:val="00FD63E4"/>
    <w:rsid w:val="00FE4E8A"/>
    <w:rsid w:val="00FE672F"/>
    <w:rsid w:val="00FE78E5"/>
    <w:rsid w:val="00FF0ED2"/>
    <w:rsid w:val="00FF1FF7"/>
    <w:rsid w:val="00FF30EF"/>
    <w:rsid w:val="00FF374D"/>
    <w:rsid w:val="00FF4023"/>
    <w:rsid w:val="00FF5594"/>
    <w:rsid w:val="00FF7186"/>
    <w:rsid w:val="00FF73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013F3333"/>
  <w15:docId w15:val="{2AE180A7-92A4-48F7-AE13-09FE72AF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en-CA"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6A09"/>
    <w:pPr>
      <w:spacing w:before="120" w:after="120"/>
    </w:pPr>
    <w:rPr>
      <w:rFonts w:ascii="Arial" w:hAnsi="Arial"/>
      <w:sz w:val="22"/>
      <w:lang w:val="en-US" w:eastAsia="en-US"/>
    </w:rPr>
  </w:style>
  <w:style w:type="paragraph" w:styleId="Heading1">
    <w:name w:val="heading 1"/>
    <w:basedOn w:val="Normal"/>
    <w:next w:val="Normal"/>
    <w:link w:val="Heading1Char"/>
    <w:autoRedefine/>
    <w:qFormat/>
    <w:rsid w:val="00CE6A09"/>
    <w:pPr>
      <w:keepNext/>
      <w:spacing w:before="360"/>
      <w:jc w:val="center"/>
      <w:outlineLvl w:val="0"/>
    </w:pPr>
    <w:rPr>
      <w:b/>
      <w:caps/>
      <w:sz w:val="24"/>
      <w:szCs w:val="24"/>
      <w:lang w:val="en-CA"/>
    </w:rPr>
  </w:style>
  <w:style w:type="paragraph" w:styleId="Heading2">
    <w:name w:val="heading 2"/>
    <w:basedOn w:val="Normal"/>
    <w:next w:val="Normal"/>
    <w:link w:val="Heading2Char"/>
    <w:autoRedefine/>
    <w:qFormat/>
    <w:rsid w:val="00CE6A09"/>
    <w:pPr>
      <w:keepNext/>
      <w:spacing w:before="240"/>
      <w:outlineLvl w:val="1"/>
    </w:pPr>
    <w:rPr>
      <w:b/>
      <w:caps/>
      <w:sz w:val="24"/>
      <w:szCs w:val="24"/>
      <w:lang w:val="en-CA"/>
    </w:rPr>
  </w:style>
  <w:style w:type="paragraph" w:styleId="Heading3">
    <w:name w:val="heading 3"/>
    <w:basedOn w:val="Normal"/>
    <w:next w:val="Normal"/>
    <w:link w:val="Heading3Char"/>
    <w:autoRedefine/>
    <w:qFormat/>
    <w:rsid w:val="00CE6A09"/>
    <w:pPr>
      <w:keepNext/>
      <w:spacing w:before="240"/>
      <w:contextualSpacing/>
      <w:outlineLvl w:val="2"/>
    </w:pPr>
    <w:rPr>
      <w:b/>
      <w:sz w:val="24"/>
      <w:szCs w:val="22"/>
      <w:lang w:val="fr-CA"/>
    </w:rPr>
  </w:style>
  <w:style w:type="paragraph" w:styleId="Heading4">
    <w:name w:val="heading 4"/>
    <w:basedOn w:val="Normal"/>
    <w:next w:val="Normal"/>
    <w:link w:val="Heading4Char"/>
    <w:autoRedefine/>
    <w:qFormat/>
    <w:rsid w:val="00CE6A09"/>
    <w:pPr>
      <w:keepNext/>
      <w:ind w:left="360"/>
      <w:outlineLvl w:val="3"/>
    </w:pPr>
    <w:rPr>
      <w:b/>
      <w:bCs/>
      <w:szCs w:val="28"/>
    </w:rPr>
  </w:style>
  <w:style w:type="character" w:default="1" w:styleId="DefaultParagraphFont">
    <w:name w:val="Default Paragraph Font"/>
    <w:uiPriority w:val="1"/>
    <w:unhideWhenUsed/>
    <w:rsid w:val="00CE6A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6A09"/>
  </w:style>
  <w:style w:type="paragraph" w:styleId="Header">
    <w:name w:val="header"/>
    <w:basedOn w:val="Normal"/>
    <w:rsid w:val="00CE6A09"/>
    <w:pPr>
      <w:tabs>
        <w:tab w:val="center" w:pos="4320"/>
        <w:tab w:val="right" w:pos="8640"/>
      </w:tabs>
    </w:pPr>
  </w:style>
  <w:style w:type="paragraph" w:styleId="Footer">
    <w:name w:val="footer"/>
    <w:basedOn w:val="Normal"/>
    <w:link w:val="FooterChar"/>
    <w:rsid w:val="00CE6A09"/>
    <w:pPr>
      <w:tabs>
        <w:tab w:val="center" w:pos="4320"/>
        <w:tab w:val="right" w:pos="8640"/>
      </w:tabs>
    </w:pPr>
  </w:style>
  <w:style w:type="paragraph" w:customStyle="1" w:styleId="CoverPageHeaderCSAS">
    <w:name w:val="Cover Page: Header (CSAS)"/>
    <w:basedOn w:val="Normal"/>
    <w:rsid w:val="00CE6A09"/>
    <w:pPr>
      <w:pBdr>
        <w:bottom w:val="single" w:sz="4" w:space="1" w:color="auto"/>
      </w:pBdr>
    </w:pPr>
    <w:rPr>
      <w:b/>
      <w:szCs w:val="24"/>
    </w:rPr>
  </w:style>
  <w:style w:type="character" w:styleId="Hyperlink">
    <w:name w:val="Hyperlink"/>
    <w:uiPriority w:val="99"/>
    <w:rsid w:val="00CE6A09"/>
    <w:rPr>
      <w:rFonts w:ascii="Arial" w:hAnsi="Arial"/>
      <w:color w:val="0000FF"/>
      <w:sz w:val="22"/>
      <w:u w:val="single"/>
    </w:rPr>
  </w:style>
  <w:style w:type="paragraph" w:customStyle="1" w:styleId="CoverPageHeaderseries">
    <w:name w:val="Cover Page: Header (series"/>
    <w:aliases w:val="number,region)"/>
    <w:basedOn w:val="Normal"/>
    <w:rsid w:val="00CE6A09"/>
    <w:rPr>
      <w:b/>
      <w:szCs w:val="24"/>
    </w:rPr>
  </w:style>
  <w:style w:type="paragraph" w:customStyle="1" w:styleId="citation">
    <w:name w:val="citation"/>
    <w:basedOn w:val="Normal"/>
    <w:qFormat/>
    <w:rsid w:val="00CE6A09"/>
    <w:pPr>
      <w:keepLines/>
      <w:ind w:left="360" w:hanging="360"/>
    </w:pPr>
    <w:rPr>
      <w:szCs w:val="22"/>
      <w:lang w:val="en-CA"/>
    </w:rPr>
  </w:style>
  <w:style w:type="paragraph" w:customStyle="1" w:styleId="BodyTextBold">
    <w:name w:val="Body Text + Bold"/>
    <w:basedOn w:val="BodyText"/>
    <w:rsid w:val="00CE6A09"/>
    <w:rPr>
      <w:b/>
    </w:rPr>
  </w:style>
  <w:style w:type="paragraph" w:styleId="BalloonText">
    <w:name w:val="Balloon Text"/>
    <w:basedOn w:val="Normal"/>
    <w:link w:val="BalloonTextChar"/>
    <w:uiPriority w:val="99"/>
    <w:semiHidden/>
    <w:unhideWhenUsed/>
    <w:rsid w:val="00CE6A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A09"/>
    <w:rPr>
      <w:rFonts w:ascii="Tahoma" w:hAnsi="Tahoma" w:cs="Tahoma"/>
      <w:sz w:val="16"/>
      <w:szCs w:val="16"/>
      <w:lang w:val="en-US" w:eastAsia="en-US"/>
    </w:rPr>
  </w:style>
  <w:style w:type="paragraph" w:styleId="FootnoteText">
    <w:name w:val="footnote text"/>
    <w:basedOn w:val="Normal"/>
    <w:link w:val="FootnoteTextChar"/>
    <w:uiPriority w:val="99"/>
    <w:semiHidden/>
    <w:unhideWhenUsed/>
    <w:rsid w:val="00CE6A09"/>
    <w:rPr>
      <w:sz w:val="20"/>
    </w:rPr>
  </w:style>
  <w:style w:type="character" w:customStyle="1" w:styleId="FootnoteTextChar">
    <w:name w:val="Footnote Text Char"/>
    <w:link w:val="FootnoteText"/>
    <w:uiPriority w:val="99"/>
    <w:semiHidden/>
    <w:rsid w:val="00CE6A09"/>
    <w:rPr>
      <w:rFonts w:ascii="Arial" w:hAnsi="Arial"/>
      <w:lang w:val="en-US" w:eastAsia="en-US"/>
    </w:rPr>
  </w:style>
  <w:style w:type="character" w:styleId="FootnoteReference">
    <w:name w:val="footnote reference"/>
    <w:uiPriority w:val="99"/>
    <w:semiHidden/>
    <w:unhideWhenUsed/>
    <w:rsid w:val="00CE6A09"/>
    <w:rPr>
      <w:vertAlign w:val="superscript"/>
    </w:rPr>
  </w:style>
  <w:style w:type="paragraph" w:styleId="ListBullet2">
    <w:name w:val="List Bullet 2"/>
    <w:basedOn w:val="Normal"/>
    <w:unhideWhenUsed/>
    <w:rsid w:val="00CE6A09"/>
    <w:pPr>
      <w:numPr>
        <w:numId w:val="16"/>
      </w:numPr>
      <w:tabs>
        <w:tab w:val="left" w:pos="720"/>
      </w:tabs>
      <w:spacing w:before="0"/>
      <w:contextualSpacing/>
    </w:pPr>
  </w:style>
  <w:style w:type="paragraph" w:styleId="TOC1">
    <w:name w:val="toc 1"/>
    <w:basedOn w:val="Normal"/>
    <w:next w:val="Normal"/>
    <w:autoRedefine/>
    <w:uiPriority w:val="39"/>
    <w:rsid w:val="00CE6A09"/>
    <w:pPr>
      <w:tabs>
        <w:tab w:val="right" w:leader="dot" w:pos="9350"/>
      </w:tabs>
    </w:pPr>
    <w:rPr>
      <w:caps/>
    </w:rPr>
  </w:style>
  <w:style w:type="paragraph" w:customStyle="1" w:styleId="CoverTitle">
    <w:name w:val="Cover: Title"/>
    <w:basedOn w:val="Normal"/>
    <w:qFormat/>
    <w:rsid w:val="00CE6A09"/>
    <w:pPr>
      <w:spacing w:before="480" w:after="480"/>
    </w:pPr>
    <w:rPr>
      <w:b/>
      <w:sz w:val="24"/>
      <w:szCs w:val="24"/>
    </w:rPr>
  </w:style>
  <w:style w:type="paragraph" w:styleId="TOC2">
    <w:name w:val="toc 2"/>
    <w:basedOn w:val="Normal"/>
    <w:next w:val="Normal"/>
    <w:autoRedefine/>
    <w:uiPriority w:val="39"/>
    <w:rsid w:val="00CE6A09"/>
    <w:pPr>
      <w:spacing w:before="60" w:after="60"/>
      <w:ind w:left="240"/>
    </w:pPr>
    <w:rPr>
      <w:caps/>
    </w:rPr>
  </w:style>
  <w:style w:type="paragraph" w:customStyle="1" w:styleId="CoverMtgDate">
    <w:name w:val="Cover: Mtg Date"/>
    <w:basedOn w:val="Normal"/>
    <w:link w:val="CoverMtgDateChar"/>
    <w:qFormat/>
    <w:rsid w:val="00CE6A09"/>
    <w:pPr>
      <w:spacing w:before="480" w:after="0"/>
    </w:pPr>
    <w:rPr>
      <w:b/>
    </w:rPr>
  </w:style>
  <w:style w:type="character" w:customStyle="1" w:styleId="CoverMtgDateChar">
    <w:name w:val="Cover: Mtg Date Char"/>
    <w:link w:val="CoverMtgDate"/>
    <w:rsid w:val="00CE6A09"/>
    <w:rPr>
      <w:rFonts w:ascii="Arial" w:hAnsi="Arial"/>
      <w:b/>
      <w:sz w:val="22"/>
      <w:lang w:val="en-US" w:eastAsia="en-US"/>
    </w:rPr>
  </w:style>
  <w:style w:type="paragraph" w:customStyle="1" w:styleId="CoverChairperson">
    <w:name w:val="Cover: Chairperson"/>
    <w:basedOn w:val="Normal"/>
    <w:link w:val="CoverChairpersonChar"/>
    <w:rsid w:val="00CE6A09"/>
    <w:pPr>
      <w:spacing w:before="480" w:after="0"/>
    </w:pPr>
    <w:rPr>
      <w:b/>
    </w:rPr>
  </w:style>
  <w:style w:type="character" w:customStyle="1" w:styleId="CoverChairpersonChar">
    <w:name w:val="Cover: Chairperson Char"/>
    <w:link w:val="CoverChairperson"/>
    <w:rsid w:val="00CE6A09"/>
    <w:rPr>
      <w:rFonts w:ascii="Arial" w:hAnsi="Arial"/>
      <w:b/>
      <w:sz w:val="22"/>
      <w:lang w:val="en-US" w:eastAsia="en-US"/>
    </w:rPr>
  </w:style>
  <w:style w:type="paragraph" w:customStyle="1" w:styleId="CoverEditor">
    <w:name w:val="Cover: Editor"/>
    <w:basedOn w:val="Normal"/>
    <w:link w:val="CoverEditorChar"/>
    <w:qFormat/>
    <w:rsid w:val="00CE6A09"/>
    <w:pPr>
      <w:spacing w:before="0" w:after="480"/>
    </w:pPr>
    <w:rPr>
      <w:b/>
    </w:rPr>
  </w:style>
  <w:style w:type="character" w:customStyle="1" w:styleId="CoverEditorChar">
    <w:name w:val="Cover: Editor Char"/>
    <w:link w:val="CoverEditor"/>
    <w:rsid w:val="00CE6A09"/>
    <w:rPr>
      <w:rFonts w:ascii="Arial" w:hAnsi="Arial"/>
      <w:b/>
      <w:sz w:val="22"/>
      <w:lang w:val="en-US" w:eastAsia="en-US"/>
    </w:rPr>
  </w:style>
  <w:style w:type="paragraph" w:customStyle="1" w:styleId="CoverMailingAddress">
    <w:name w:val="Cover: Mailing Address"/>
    <w:basedOn w:val="Normal"/>
    <w:link w:val="CoverMailingAddressChar"/>
    <w:qFormat/>
    <w:rsid w:val="00CE6A09"/>
  </w:style>
  <w:style w:type="character" w:customStyle="1" w:styleId="CoverMailingAddressChar">
    <w:name w:val="Cover: Mailing Address Char"/>
    <w:link w:val="CoverMailingAddress"/>
    <w:rsid w:val="00CE6A09"/>
    <w:rPr>
      <w:rFonts w:ascii="Arial" w:hAnsi="Arial"/>
      <w:sz w:val="22"/>
      <w:lang w:val="en-US" w:eastAsia="en-US"/>
    </w:rPr>
  </w:style>
  <w:style w:type="paragraph" w:customStyle="1" w:styleId="ForewordPublishedby2ndpage">
    <w:name w:val="Foreword &amp; Published by (2nd page)"/>
    <w:basedOn w:val="Normal"/>
    <w:rsid w:val="00CE6A09"/>
    <w:pPr>
      <w:spacing w:before="360"/>
      <w:jc w:val="center"/>
    </w:pPr>
    <w:rPr>
      <w:b/>
      <w:bCs/>
      <w:szCs w:val="22"/>
    </w:rPr>
  </w:style>
  <w:style w:type="paragraph" w:styleId="BodyText">
    <w:name w:val="Body Text"/>
    <w:basedOn w:val="Normal"/>
    <w:link w:val="BodyTextChar"/>
    <w:qFormat/>
    <w:rsid w:val="00CE6A09"/>
  </w:style>
  <w:style w:type="paragraph" w:styleId="ListBullet">
    <w:name w:val="List Bullet"/>
    <w:basedOn w:val="Normal"/>
    <w:rsid w:val="00CE6A09"/>
    <w:pPr>
      <w:numPr>
        <w:numId w:val="15"/>
      </w:numPr>
      <w:spacing w:before="0"/>
    </w:pPr>
  </w:style>
  <w:style w:type="paragraph" w:customStyle="1" w:styleId="citation-translated">
    <w:name w:val="citation - translated"/>
    <w:basedOn w:val="citation"/>
    <w:qFormat/>
    <w:rsid w:val="00CE6A09"/>
    <w:rPr>
      <w:i/>
    </w:rPr>
  </w:style>
  <w:style w:type="paragraph" w:customStyle="1" w:styleId="BodyTextBoldItallics">
    <w:name w:val="Body Text + Bold + Itallics"/>
    <w:basedOn w:val="BodyText"/>
    <w:rsid w:val="00CE6A09"/>
    <w:rPr>
      <w:b/>
      <w:i/>
    </w:rPr>
  </w:style>
  <w:style w:type="paragraph" w:customStyle="1" w:styleId="CoverLocation">
    <w:name w:val="Cover: Location"/>
    <w:basedOn w:val="CoverMailingAddress"/>
    <w:link w:val="CoverLocationChar"/>
    <w:qFormat/>
    <w:rsid w:val="00CE6A09"/>
    <w:pPr>
      <w:spacing w:before="0" w:after="480"/>
    </w:pPr>
    <w:rPr>
      <w:b/>
    </w:rPr>
  </w:style>
  <w:style w:type="character" w:customStyle="1" w:styleId="CoverLocationChar">
    <w:name w:val="Cover: Location Char"/>
    <w:link w:val="CoverLocation"/>
    <w:rsid w:val="00CE6A09"/>
    <w:rPr>
      <w:rFonts w:ascii="Arial" w:hAnsi="Arial"/>
      <w:b/>
      <w:sz w:val="22"/>
      <w:lang w:val="en-US" w:eastAsia="en-US"/>
    </w:rPr>
  </w:style>
  <w:style w:type="paragraph" w:styleId="TOC3">
    <w:name w:val="toc 3"/>
    <w:basedOn w:val="Normal"/>
    <w:next w:val="Normal"/>
    <w:autoRedefine/>
    <w:uiPriority w:val="39"/>
    <w:rsid w:val="00CE6A09"/>
    <w:pPr>
      <w:spacing w:before="0" w:after="0"/>
      <w:ind w:left="480"/>
    </w:pPr>
    <w:rPr>
      <w:szCs w:val="22"/>
    </w:rPr>
  </w:style>
  <w:style w:type="character" w:styleId="FollowedHyperlink">
    <w:name w:val="FollowedHyperlink"/>
    <w:rsid w:val="00CE6A09"/>
    <w:rPr>
      <w:rFonts w:ascii="Arial" w:hAnsi="Arial"/>
      <w:color w:val="606420"/>
      <w:sz w:val="22"/>
      <w:u w:val="single"/>
    </w:rPr>
  </w:style>
  <w:style w:type="paragraph" w:customStyle="1" w:styleId="Caption-Table">
    <w:name w:val="Caption - Table"/>
    <w:basedOn w:val="Normal"/>
    <w:qFormat/>
    <w:rsid w:val="00CE6A09"/>
    <w:pPr>
      <w:keepNext/>
      <w:spacing w:before="240"/>
    </w:pPr>
    <w:rPr>
      <w:i/>
      <w:sz w:val="20"/>
      <w:lang w:val="en-CA"/>
    </w:rPr>
  </w:style>
  <w:style w:type="paragraph" w:customStyle="1" w:styleId="TranslatedTitle">
    <w:name w:val="Translated Title"/>
    <w:basedOn w:val="Normal"/>
    <w:qFormat/>
    <w:rsid w:val="00CE6A09"/>
    <w:pPr>
      <w:spacing w:before="240"/>
      <w:jc w:val="center"/>
    </w:pPr>
    <w:rPr>
      <w:b/>
      <w:sz w:val="24"/>
      <w:lang w:val="en-CA"/>
    </w:rPr>
  </w:style>
  <w:style w:type="paragraph" w:customStyle="1" w:styleId="Caption-Figure">
    <w:name w:val="Caption - Figure"/>
    <w:basedOn w:val="Normal"/>
    <w:qFormat/>
    <w:rsid w:val="00CE6A09"/>
    <w:pPr>
      <w:spacing w:after="240"/>
    </w:pPr>
    <w:rPr>
      <w:i/>
      <w:sz w:val="20"/>
    </w:rPr>
  </w:style>
  <w:style w:type="character" w:customStyle="1" w:styleId="BodyTextChar">
    <w:name w:val="Body Text Char"/>
    <w:basedOn w:val="DefaultParagraphFont"/>
    <w:link w:val="BodyText"/>
    <w:rsid w:val="00CE6A09"/>
    <w:rPr>
      <w:rFonts w:ascii="Arial" w:hAnsi="Arial"/>
      <w:sz w:val="22"/>
      <w:lang w:val="en-US" w:eastAsia="en-US"/>
    </w:rPr>
  </w:style>
  <w:style w:type="character" w:customStyle="1" w:styleId="Heading1Char">
    <w:name w:val="Heading 1 Char"/>
    <w:basedOn w:val="DefaultParagraphFont"/>
    <w:link w:val="Heading1"/>
    <w:rsid w:val="00CE6A09"/>
    <w:rPr>
      <w:rFonts w:ascii="Arial" w:hAnsi="Arial"/>
      <w:b/>
      <w:caps/>
      <w:sz w:val="24"/>
      <w:szCs w:val="24"/>
      <w:lang w:val="en-CA" w:eastAsia="en-US"/>
    </w:rPr>
  </w:style>
  <w:style w:type="character" w:customStyle="1" w:styleId="Heading2Char">
    <w:name w:val="Heading 2 Char"/>
    <w:basedOn w:val="DefaultParagraphFont"/>
    <w:link w:val="Heading2"/>
    <w:rsid w:val="00CE6A09"/>
    <w:rPr>
      <w:rFonts w:ascii="Arial" w:hAnsi="Arial"/>
      <w:b/>
      <w:caps/>
      <w:sz w:val="24"/>
      <w:szCs w:val="24"/>
      <w:lang w:val="en-CA" w:eastAsia="en-US"/>
    </w:rPr>
  </w:style>
  <w:style w:type="character" w:customStyle="1" w:styleId="Heading3Char">
    <w:name w:val="Heading 3 Char"/>
    <w:basedOn w:val="DefaultParagraphFont"/>
    <w:link w:val="Heading3"/>
    <w:rsid w:val="00CE6A09"/>
    <w:rPr>
      <w:rFonts w:ascii="Arial" w:hAnsi="Arial"/>
      <w:b/>
      <w:sz w:val="24"/>
      <w:szCs w:val="22"/>
      <w:lang w:eastAsia="en-US"/>
    </w:rPr>
  </w:style>
  <w:style w:type="character" w:customStyle="1" w:styleId="Heading4Char">
    <w:name w:val="Heading 4 Char"/>
    <w:basedOn w:val="DefaultParagraphFont"/>
    <w:link w:val="Heading4"/>
    <w:rsid w:val="00CE6A09"/>
    <w:rPr>
      <w:rFonts w:ascii="Arial" w:hAnsi="Arial"/>
      <w:b/>
      <w:bCs/>
      <w:sz w:val="22"/>
      <w:szCs w:val="28"/>
      <w:lang w:val="en-US" w:eastAsia="en-US"/>
    </w:rPr>
  </w:style>
  <w:style w:type="paragraph" w:styleId="ListNumber">
    <w:name w:val="List Number"/>
    <w:basedOn w:val="Normal"/>
    <w:unhideWhenUsed/>
    <w:rsid w:val="00CE6A09"/>
    <w:pPr>
      <w:numPr>
        <w:numId w:val="17"/>
      </w:numPr>
      <w:spacing w:before="0"/>
    </w:pPr>
  </w:style>
  <w:style w:type="paragraph" w:styleId="ListNumber2">
    <w:name w:val="List Number 2"/>
    <w:basedOn w:val="Normal"/>
    <w:unhideWhenUsed/>
    <w:rsid w:val="00CE6A09"/>
    <w:pPr>
      <w:numPr>
        <w:numId w:val="18"/>
      </w:numPr>
      <w:spacing w:before="0"/>
    </w:pPr>
  </w:style>
  <w:style w:type="paragraph" w:customStyle="1" w:styleId="Blockquote">
    <w:name w:val="Blockquote"/>
    <w:basedOn w:val="Normal"/>
    <w:rsid w:val="00CE6A09"/>
    <w:pPr>
      <w:ind w:left="720"/>
    </w:pPr>
  </w:style>
  <w:style w:type="paragraph" w:customStyle="1" w:styleId="TableofContents">
    <w:name w:val="Table of Contents"/>
    <w:basedOn w:val="ForewordPublishedby2ndpage"/>
    <w:rsid w:val="00CE6A09"/>
    <w:rPr>
      <w:caps/>
      <w:sz w:val="24"/>
    </w:rPr>
  </w:style>
  <w:style w:type="paragraph" w:customStyle="1" w:styleId="BodyTextcentered">
    <w:name w:val="Body Text + centered"/>
    <w:basedOn w:val="BodyText"/>
    <w:link w:val="BodyTextcenteredChar"/>
    <w:rsid w:val="00CE6A09"/>
    <w:pPr>
      <w:jc w:val="center"/>
    </w:pPr>
  </w:style>
  <w:style w:type="character" w:customStyle="1" w:styleId="BodyTextcenteredChar">
    <w:name w:val="Body Text + centered Char"/>
    <w:basedOn w:val="BodyTextChar"/>
    <w:link w:val="BodyTextcentered"/>
    <w:rsid w:val="00CE6A09"/>
    <w:rPr>
      <w:rFonts w:ascii="Arial" w:hAnsi="Arial"/>
      <w:sz w:val="22"/>
      <w:lang w:val="en-US" w:eastAsia="en-US"/>
    </w:rPr>
  </w:style>
  <w:style w:type="paragraph" w:customStyle="1" w:styleId="CoverAddress">
    <w:name w:val="Cover: Address"/>
    <w:basedOn w:val="Normal"/>
    <w:link w:val="CoverAddressChar"/>
    <w:qFormat/>
    <w:rsid w:val="00CE6A09"/>
    <w:pPr>
      <w:jc w:val="center"/>
    </w:pPr>
  </w:style>
  <w:style w:type="character" w:customStyle="1" w:styleId="CoverAddressChar">
    <w:name w:val="Cover: Address Char"/>
    <w:link w:val="CoverAddress"/>
    <w:rsid w:val="00CE6A09"/>
    <w:rPr>
      <w:rFonts w:ascii="Arial" w:hAnsi="Arial"/>
      <w:sz w:val="22"/>
      <w:lang w:val="en-US" w:eastAsia="en-US"/>
    </w:rPr>
  </w:style>
  <w:style w:type="paragraph" w:styleId="ListParagraph">
    <w:name w:val="List Paragraph"/>
    <w:basedOn w:val="Normal"/>
    <w:uiPriority w:val="1"/>
    <w:qFormat/>
    <w:rsid w:val="00CE6A09"/>
    <w:pPr>
      <w:ind w:left="720"/>
      <w:contextualSpacing/>
    </w:pPr>
  </w:style>
  <w:style w:type="paragraph" w:customStyle="1" w:styleId="Default">
    <w:name w:val="Default"/>
    <w:rsid w:val="00CE6A09"/>
    <w:pPr>
      <w:autoSpaceDE w:val="0"/>
      <w:autoSpaceDN w:val="0"/>
      <w:adjustRightInd w:val="0"/>
    </w:pPr>
    <w:rPr>
      <w:rFonts w:ascii="Arial" w:hAnsi="Arial" w:cs="Arial"/>
      <w:color w:val="000000"/>
      <w:sz w:val="24"/>
      <w:szCs w:val="24"/>
      <w:lang w:val="en-CA"/>
    </w:rPr>
  </w:style>
  <w:style w:type="paragraph" w:styleId="NoSpacing">
    <w:name w:val="No Spacing"/>
    <w:uiPriority w:val="1"/>
    <w:qFormat/>
    <w:rsid w:val="00CE6A09"/>
    <w:rPr>
      <w:rFonts w:asciiTheme="minorHAnsi" w:eastAsiaTheme="minorHAnsi" w:hAnsiTheme="minorHAnsi" w:cstheme="minorBidi"/>
      <w:sz w:val="22"/>
      <w:szCs w:val="22"/>
      <w:lang w:val="en-CA" w:eastAsia="en-US"/>
    </w:rPr>
  </w:style>
  <w:style w:type="character" w:customStyle="1" w:styleId="BodyTextChar3">
    <w:name w:val="Body Text Char3"/>
    <w:aliases w:val="Body Text Char2 Char,Body Text Char1 Char Char,Body Text Char Char Char Char,Body Text Char Char1 Char,Body Text Char1 Char1,Body Text Char Char Char1,Body Text Char Char2"/>
    <w:rsid w:val="00CE6A09"/>
    <w:rPr>
      <w:sz w:val="24"/>
      <w:szCs w:val="24"/>
      <w:lang w:val="en-US" w:eastAsia="en-US" w:bidi="ar-SA"/>
    </w:rPr>
  </w:style>
  <w:style w:type="table" w:styleId="TableGrid">
    <w:name w:val="Table Grid"/>
    <w:basedOn w:val="TableNormal"/>
    <w:uiPriority w:val="59"/>
    <w:rsid w:val="00CE6A0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6A09"/>
    <w:rPr>
      <w:sz w:val="16"/>
      <w:szCs w:val="16"/>
    </w:rPr>
  </w:style>
  <w:style w:type="paragraph" w:styleId="CommentText">
    <w:name w:val="annotation text"/>
    <w:basedOn w:val="Normal"/>
    <w:link w:val="CommentTextChar"/>
    <w:uiPriority w:val="99"/>
    <w:semiHidden/>
    <w:unhideWhenUsed/>
    <w:rsid w:val="00CE6A09"/>
    <w:rPr>
      <w:sz w:val="20"/>
    </w:rPr>
  </w:style>
  <w:style w:type="character" w:customStyle="1" w:styleId="CommentTextChar">
    <w:name w:val="Comment Text Char"/>
    <w:basedOn w:val="DefaultParagraphFont"/>
    <w:link w:val="CommentText"/>
    <w:uiPriority w:val="99"/>
    <w:semiHidden/>
    <w:rsid w:val="00CE6A09"/>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CE6A09"/>
    <w:rPr>
      <w:b/>
      <w:bCs/>
    </w:rPr>
  </w:style>
  <w:style w:type="character" w:customStyle="1" w:styleId="CommentSubjectChar">
    <w:name w:val="Comment Subject Char"/>
    <w:basedOn w:val="CommentTextChar"/>
    <w:link w:val="CommentSubject"/>
    <w:uiPriority w:val="99"/>
    <w:semiHidden/>
    <w:rsid w:val="00CE6A09"/>
    <w:rPr>
      <w:rFonts w:ascii="Arial" w:hAnsi="Arial"/>
      <w:b/>
      <w:bCs/>
      <w:lang w:val="en-US" w:eastAsia="en-US"/>
    </w:rPr>
  </w:style>
  <w:style w:type="paragraph" w:styleId="TOCHeading">
    <w:name w:val="TOC Heading"/>
    <w:basedOn w:val="Heading1"/>
    <w:next w:val="Normal"/>
    <w:uiPriority w:val="39"/>
    <w:unhideWhenUsed/>
    <w:qFormat/>
    <w:rsid w:val="00CE6A09"/>
    <w:pPr>
      <w:keepLines/>
      <w:spacing w:before="240" w:line="259" w:lineRule="auto"/>
      <w:jc w:val="left"/>
      <w:outlineLvl w:val="9"/>
    </w:pPr>
    <w:rPr>
      <w:rFonts w:asciiTheme="majorHAnsi" w:eastAsiaTheme="majorEastAsia" w:hAnsiTheme="majorHAnsi" w:cstheme="majorBidi"/>
      <w:b w:val="0"/>
      <w:bCs/>
      <w:color w:val="365F91" w:themeColor="accent1" w:themeShade="BF"/>
      <w:sz w:val="32"/>
      <w:szCs w:val="32"/>
      <w:lang w:val="en-US"/>
    </w:rPr>
  </w:style>
  <w:style w:type="paragraph" w:styleId="Revision">
    <w:name w:val="Revision"/>
    <w:hidden/>
    <w:uiPriority w:val="99"/>
    <w:semiHidden/>
    <w:rsid w:val="007A07F0"/>
    <w:rPr>
      <w:rFonts w:ascii="Arial" w:hAnsi="Arial"/>
      <w:sz w:val="22"/>
      <w:lang w:eastAsia="en-US"/>
    </w:rPr>
  </w:style>
  <w:style w:type="character" w:customStyle="1" w:styleId="FooterChar">
    <w:name w:val="Footer Char"/>
    <w:basedOn w:val="DefaultParagraphFont"/>
    <w:link w:val="Footer"/>
    <w:rsid w:val="00CE6A09"/>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78525">
      <w:bodyDiv w:val="1"/>
      <w:marLeft w:val="0"/>
      <w:marRight w:val="0"/>
      <w:marTop w:val="0"/>
      <w:marBottom w:val="0"/>
      <w:divBdr>
        <w:top w:val="none" w:sz="0" w:space="0" w:color="auto"/>
        <w:left w:val="none" w:sz="0" w:space="0" w:color="auto"/>
        <w:bottom w:val="none" w:sz="0" w:space="0" w:color="auto"/>
        <w:right w:val="none" w:sz="0" w:space="0" w:color="auto"/>
      </w:divBdr>
    </w:div>
    <w:div w:id="445807949">
      <w:bodyDiv w:val="1"/>
      <w:marLeft w:val="0"/>
      <w:marRight w:val="0"/>
      <w:marTop w:val="0"/>
      <w:marBottom w:val="0"/>
      <w:divBdr>
        <w:top w:val="none" w:sz="0" w:space="0" w:color="auto"/>
        <w:left w:val="none" w:sz="0" w:space="0" w:color="auto"/>
        <w:bottom w:val="none" w:sz="0" w:space="0" w:color="auto"/>
        <w:right w:val="none" w:sz="0" w:space="0" w:color="auto"/>
      </w:divBdr>
    </w:div>
    <w:div w:id="669793890">
      <w:bodyDiv w:val="1"/>
      <w:marLeft w:val="0"/>
      <w:marRight w:val="0"/>
      <w:marTop w:val="0"/>
      <w:marBottom w:val="0"/>
      <w:divBdr>
        <w:top w:val="none" w:sz="0" w:space="0" w:color="auto"/>
        <w:left w:val="none" w:sz="0" w:space="0" w:color="auto"/>
        <w:bottom w:val="none" w:sz="0" w:space="0" w:color="auto"/>
        <w:right w:val="none" w:sz="0" w:space="0" w:color="auto"/>
      </w:divBdr>
    </w:div>
    <w:div w:id="939289248">
      <w:bodyDiv w:val="1"/>
      <w:marLeft w:val="0"/>
      <w:marRight w:val="0"/>
      <w:marTop w:val="0"/>
      <w:marBottom w:val="0"/>
      <w:divBdr>
        <w:top w:val="none" w:sz="0" w:space="0" w:color="auto"/>
        <w:left w:val="none" w:sz="0" w:space="0" w:color="auto"/>
        <w:bottom w:val="none" w:sz="0" w:space="0" w:color="auto"/>
        <w:right w:val="none" w:sz="0" w:space="0" w:color="auto"/>
      </w:divBdr>
    </w:div>
    <w:div w:id="1104377649">
      <w:bodyDiv w:val="1"/>
      <w:marLeft w:val="0"/>
      <w:marRight w:val="0"/>
      <w:marTop w:val="0"/>
      <w:marBottom w:val="0"/>
      <w:divBdr>
        <w:top w:val="none" w:sz="0" w:space="0" w:color="auto"/>
        <w:left w:val="none" w:sz="0" w:space="0" w:color="auto"/>
        <w:bottom w:val="none" w:sz="0" w:space="0" w:color="auto"/>
        <w:right w:val="none" w:sz="0" w:space="0" w:color="auto"/>
      </w:divBdr>
    </w:div>
    <w:div w:id="1229997213">
      <w:bodyDiv w:val="1"/>
      <w:marLeft w:val="0"/>
      <w:marRight w:val="0"/>
      <w:marTop w:val="0"/>
      <w:marBottom w:val="0"/>
      <w:divBdr>
        <w:top w:val="none" w:sz="0" w:space="0" w:color="auto"/>
        <w:left w:val="none" w:sz="0" w:space="0" w:color="auto"/>
        <w:bottom w:val="none" w:sz="0" w:space="0" w:color="auto"/>
        <w:right w:val="none" w:sz="0" w:space="0" w:color="auto"/>
      </w:divBdr>
    </w:div>
    <w:div w:id="1349260766">
      <w:bodyDiv w:val="1"/>
      <w:marLeft w:val="0"/>
      <w:marRight w:val="0"/>
      <w:marTop w:val="0"/>
      <w:marBottom w:val="0"/>
      <w:divBdr>
        <w:top w:val="none" w:sz="0" w:space="0" w:color="auto"/>
        <w:left w:val="none" w:sz="0" w:space="0" w:color="auto"/>
        <w:bottom w:val="none" w:sz="0" w:space="0" w:color="auto"/>
        <w:right w:val="none" w:sz="0" w:space="0" w:color="auto"/>
      </w:divBdr>
    </w:div>
    <w:div w:id="1469014800">
      <w:bodyDiv w:val="1"/>
      <w:marLeft w:val="0"/>
      <w:marRight w:val="0"/>
      <w:marTop w:val="0"/>
      <w:marBottom w:val="0"/>
      <w:divBdr>
        <w:top w:val="none" w:sz="0" w:space="0" w:color="auto"/>
        <w:left w:val="none" w:sz="0" w:space="0" w:color="auto"/>
        <w:bottom w:val="none" w:sz="0" w:space="0" w:color="auto"/>
        <w:right w:val="none" w:sz="0" w:space="0" w:color="auto"/>
      </w:divBdr>
    </w:div>
    <w:div w:id="1869639289">
      <w:bodyDiv w:val="1"/>
      <w:marLeft w:val="0"/>
      <w:marRight w:val="0"/>
      <w:marTop w:val="0"/>
      <w:marBottom w:val="0"/>
      <w:divBdr>
        <w:top w:val="none" w:sz="0" w:space="0" w:color="auto"/>
        <w:left w:val="none" w:sz="0" w:space="0" w:color="auto"/>
        <w:bottom w:val="none" w:sz="0" w:space="0" w:color="auto"/>
        <w:right w:val="none" w:sz="0" w:space="0" w:color="auto"/>
      </w:divBdr>
    </w:div>
    <w:div w:id="1885555683">
      <w:bodyDiv w:val="1"/>
      <w:marLeft w:val="0"/>
      <w:marRight w:val="0"/>
      <w:marTop w:val="0"/>
      <w:marBottom w:val="0"/>
      <w:divBdr>
        <w:top w:val="none" w:sz="0" w:space="0" w:color="auto"/>
        <w:left w:val="none" w:sz="0" w:space="0" w:color="auto"/>
        <w:bottom w:val="none" w:sz="0" w:space="0" w:color="auto"/>
        <w:right w:val="none" w:sz="0" w:space="0" w:color="auto"/>
      </w:divBdr>
      <w:divsChild>
        <w:div w:id="1852716455">
          <w:marLeft w:val="0"/>
          <w:marRight w:val="0"/>
          <w:marTop w:val="0"/>
          <w:marBottom w:val="0"/>
          <w:divBdr>
            <w:top w:val="none" w:sz="0" w:space="0" w:color="auto"/>
            <w:left w:val="none" w:sz="0" w:space="0" w:color="auto"/>
            <w:bottom w:val="none" w:sz="0" w:space="0" w:color="auto"/>
            <w:right w:val="none" w:sz="0" w:space="0" w:color="auto"/>
          </w:divBdr>
          <w:divsChild>
            <w:div w:id="878468676">
              <w:marLeft w:val="0"/>
              <w:marRight w:val="0"/>
              <w:marTop w:val="0"/>
              <w:marBottom w:val="0"/>
              <w:divBdr>
                <w:top w:val="none" w:sz="0" w:space="0" w:color="auto"/>
                <w:left w:val="none" w:sz="0" w:space="0" w:color="auto"/>
                <w:bottom w:val="none" w:sz="0" w:space="0" w:color="auto"/>
                <w:right w:val="none" w:sz="0" w:space="0" w:color="auto"/>
              </w:divBdr>
              <w:divsChild>
                <w:div w:id="1974408909">
                  <w:marLeft w:val="0"/>
                  <w:marRight w:val="0"/>
                  <w:marTop w:val="0"/>
                  <w:marBottom w:val="0"/>
                  <w:divBdr>
                    <w:top w:val="none" w:sz="0" w:space="0" w:color="auto"/>
                    <w:left w:val="none" w:sz="0" w:space="0" w:color="auto"/>
                    <w:bottom w:val="none" w:sz="0" w:space="0" w:color="auto"/>
                    <w:right w:val="none" w:sz="0" w:space="0" w:color="auto"/>
                  </w:divBdr>
                  <w:divsChild>
                    <w:div w:id="99977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hyperlink" Target="http://www.bio.gc.ca/info/intercol/trac-cert/index-fr.php"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dfo-mpo.gc.ca/fisheries-peches/ifmp-gmp/flounder-limande/2018/index-fra.html" TargetMode="External"/><Relationship Id="rId7" Type="http://schemas.openxmlformats.org/officeDocument/2006/relationships/endnotes" Target="endnotes.xml"/><Relationship Id="rId12" Type="http://schemas.openxmlformats.org/officeDocument/2006/relationships/hyperlink" Target="mailto:csas-sccs@dfo-mpo.gc.ca" TargetMode="External"/><Relationship Id="rId17" Type="http://schemas.openxmlformats.org/officeDocument/2006/relationships/footer" Target="footer4.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nefsc.noaa.gov/nefsc/saw/pdfs/2019-aop-docs/nrcc20-process-doc-dec-2018-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Nadine\02-f&#233;vrier\10189847_227-22-05\TRANSIT\www.dfo-mpo.gc.ca\csas-sccs\" TargetMode="External"/><Relationship Id="rId24" Type="http://schemas.openxmlformats.org/officeDocument/2006/relationships/hyperlink" Target="http://www.bio.gc.ca/info/intercol/trac-cert/index-fr.php"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nefsc.noaa.gov/saw/trac/"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nefsc.noaa.gov/saw/trac/2018%20TMGC%20Guidance%20Document_FINAL.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yperlink" Target="https://seagrant.unh.edu/cod-population-symposium"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bio.gc.ca/info/intercol/index-en.ph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deauI\Desktop\Templates\2014\PRO2014_nnn-e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D961C-736E-489D-ABBE-414A31830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PRO2014_nnn-eng.dotx</Template>
  <TotalTime>177</TotalTime>
  <Pages>35</Pages>
  <Words>14749</Words>
  <Characters>84073</Characters>
  <Application>Microsoft Office Word</Application>
  <DocSecurity>0</DocSecurity>
  <Lines>700</Lines>
  <Paragraphs>197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Modèle de compte rendu</vt:lpstr>
      <vt:lpstr>Modèle de compte rendu</vt:lpstr>
    </vt:vector>
  </TitlesOfParts>
  <Company>MPO</Company>
  <LinksUpToDate>false</LinksUpToDate>
  <CharactersWithSpaces>98625</CharactersWithSpaces>
  <SharedDoc>false</SharedDoc>
  <HLinks>
    <vt:vector size="150" baseType="variant">
      <vt:variant>
        <vt:i4>6553707</vt:i4>
      </vt:variant>
      <vt:variant>
        <vt:i4>126</vt:i4>
      </vt:variant>
      <vt:variant>
        <vt:i4>0</vt:i4>
      </vt:variant>
      <vt:variant>
        <vt:i4>5</vt:i4>
      </vt:variant>
      <vt:variant>
        <vt:lpwstr>http://www.dfo-mpo.gc.ca/Library/333125.pdf</vt:lpwstr>
      </vt:variant>
      <vt:variant>
        <vt:lpwstr/>
      </vt:variant>
      <vt:variant>
        <vt:i4>4325450</vt:i4>
      </vt:variant>
      <vt:variant>
        <vt:i4>123</vt:i4>
      </vt:variant>
      <vt:variant>
        <vt:i4>0</vt:i4>
      </vt:variant>
      <vt:variant>
        <vt:i4>5</vt:i4>
      </vt:variant>
      <vt:variant>
        <vt:lpwstr>http://webaim.org/techniques/alttext/</vt:lpwstr>
      </vt:variant>
      <vt:variant>
        <vt:lpwstr/>
      </vt:variant>
      <vt:variant>
        <vt:i4>655429</vt:i4>
      </vt:variant>
      <vt:variant>
        <vt:i4>120</vt:i4>
      </vt:variant>
      <vt:variant>
        <vt:i4>0</vt:i4>
      </vt:variant>
      <vt:variant>
        <vt:i4>5</vt:i4>
      </vt:variant>
      <vt:variant>
        <vt:lpwstr>http://www.dfo-mpo.gc.ca/</vt:lpwstr>
      </vt:variant>
      <vt:variant>
        <vt:lpwstr/>
      </vt:variant>
      <vt:variant>
        <vt:i4>5505050</vt:i4>
      </vt:variant>
      <vt:variant>
        <vt:i4>117</vt:i4>
      </vt:variant>
      <vt:variant>
        <vt:i4>0</vt:i4>
      </vt:variant>
      <vt:variant>
        <vt:i4>5</vt:i4>
      </vt:variant>
      <vt:variant>
        <vt:lpwstr>http://www.shaunakelly.com/word/styles/tipsonstyles.html</vt:lpwstr>
      </vt:variant>
      <vt:variant>
        <vt:lpwstr/>
      </vt:variant>
      <vt:variant>
        <vt:i4>6881385</vt:i4>
      </vt:variant>
      <vt:variant>
        <vt:i4>114</vt:i4>
      </vt:variant>
      <vt:variant>
        <vt:i4>0</vt:i4>
      </vt:variant>
      <vt:variant>
        <vt:i4>5</vt:i4>
      </vt:variant>
      <vt:variant>
        <vt:lpwstr>http://office.microsoft.com/en-us/word-help/creating-accessible-word-documents-HA101999993.aspx</vt:lpwstr>
      </vt:variant>
      <vt:variant>
        <vt:lpwstr/>
      </vt:variant>
      <vt:variant>
        <vt:i4>6619253</vt:i4>
      </vt:variant>
      <vt:variant>
        <vt:i4>111</vt:i4>
      </vt:variant>
      <vt:variant>
        <vt:i4>0</vt:i4>
      </vt:variant>
      <vt:variant>
        <vt:i4>5</vt:i4>
      </vt:variant>
      <vt:variant>
        <vt:lpwstr>http://www.tbs-sct.gc.ca/ws-nw/wa-aw/index-eng.asp</vt:lpwstr>
      </vt:variant>
      <vt:variant>
        <vt:lpwstr/>
      </vt:variant>
      <vt:variant>
        <vt:i4>4718609</vt:i4>
      </vt:variant>
      <vt:variant>
        <vt:i4>108</vt:i4>
      </vt:variant>
      <vt:variant>
        <vt:i4>0</vt:i4>
      </vt:variant>
      <vt:variant>
        <vt:i4>5</vt:i4>
      </vt:variant>
      <vt:variant>
        <vt:lpwstr>http://www.dfo-mpo.gc.ca/csas-sccs/process-processus/Translation-Traduction-eng.html</vt:lpwstr>
      </vt:variant>
      <vt:variant>
        <vt:lpwstr/>
      </vt:variant>
      <vt:variant>
        <vt:i4>1900600</vt:i4>
      </vt:variant>
      <vt:variant>
        <vt:i4>101</vt:i4>
      </vt:variant>
      <vt:variant>
        <vt:i4>0</vt:i4>
      </vt:variant>
      <vt:variant>
        <vt:i4>5</vt:i4>
      </vt:variant>
      <vt:variant>
        <vt:lpwstr/>
      </vt:variant>
      <vt:variant>
        <vt:lpwstr>_Toc343592195</vt:lpwstr>
      </vt:variant>
      <vt:variant>
        <vt:i4>1900600</vt:i4>
      </vt:variant>
      <vt:variant>
        <vt:i4>95</vt:i4>
      </vt:variant>
      <vt:variant>
        <vt:i4>0</vt:i4>
      </vt:variant>
      <vt:variant>
        <vt:i4>5</vt:i4>
      </vt:variant>
      <vt:variant>
        <vt:lpwstr/>
      </vt:variant>
      <vt:variant>
        <vt:lpwstr>_Toc343592194</vt:lpwstr>
      </vt:variant>
      <vt:variant>
        <vt:i4>1900600</vt:i4>
      </vt:variant>
      <vt:variant>
        <vt:i4>89</vt:i4>
      </vt:variant>
      <vt:variant>
        <vt:i4>0</vt:i4>
      </vt:variant>
      <vt:variant>
        <vt:i4>5</vt:i4>
      </vt:variant>
      <vt:variant>
        <vt:lpwstr/>
      </vt:variant>
      <vt:variant>
        <vt:lpwstr>_Toc343592193</vt:lpwstr>
      </vt:variant>
      <vt:variant>
        <vt:i4>1900600</vt:i4>
      </vt:variant>
      <vt:variant>
        <vt:i4>83</vt:i4>
      </vt:variant>
      <vt:variant>
        <vt:i4>0</vt:i4>
      </vt:variant>
      <vt:variant>
        <vt:i4>5</vt:i4>
      </vt:variant>
      <vt:variant>
        <vt:lpwstr/>
      </vt:variant>
      <vt:variant>
        <vt:lpwstr>_Toc343592192</vt:lpwstr>
      </vt:variant>
      <vt:variant>
        <vt:i4>1900600</vt:i4>
      </vt:variant>
      <vt:variant>
        <vt:i4>77</vt:i4>
      </vt:variant>
      <vt:variant>
        <vt:i4>0</vt:i4>
      </vt:variant>
      <vt:variant>
        <vt:i4>5</vt:i4>
      </vt:variant>
      <vt:variant>
        <vt:lpwstr/>
      </vt:variant>
      <vt:variant>
        <vt:lpwstr>_Toc343592191</vt:lpwstr>
      </vt:variant>
      <vt:variant>
        <vt:i4>1900600</vt:i4>
      </vt:variant>
      <vt:variant>
        <vt:i4>71</vt:i4>
      </vt:variant>
      <vt:variant>
        <vt:i4>0</vt:i4>
      </vt:variant>
      <vt:variant>
        <vt:i4>5</vt:i4>
      </vt:variant>
      <vt:variant>
        <vt:lpwstr/>
      </vt:variant>
      <vt:variant>
        <vt:lpwstr>_Toc343592190</vt:lpwstr>
      </vt:variant>
      <vt:variant>
        <vt:i4>1835064</vt:i4>
      </vt:variant>
      <vt:variant>
        <vt:i4>65</vt:i4>
      </vt:variant>
      <vt:variant>
        <vt:i4>0</vt:i4>
      </vt:variant>
      <vt:variant>
        <vt:i4>5</vt:i4>
      </vt:variant>
      <vt:variant>
        <vt:lpwstr/>
      </vt:variant>
      <vt:variant>
        <vt:lpwstr>_Toc343592189</vt:lpwstr>
      </vt:variant>
      <vt:variant>
        <vt:i4>1835064</vt:i4>
      </vt:variant>
      <vt:variant>
        <vt:i4>59</vt:i4>
      </vt:variant>
      <vt:variant>
        <vt:i4>0</vt:i4>
      </vt:variant>
      <vt:variant>
        <vt:i4>5</vt:i4>
      </vt:variant>
      <vt:variant>
        <vt:lpwstr/>
      </vt:variant>
      <vt:variant>
        <vt:lpwstr>_Toc343592188</vt:lpwstr>
      </vt:variant>
      <vt:variant>
        <vt:i4>1835064</vt:i4>
      </vt:variant>
      <vt:variant>
        <vt:i4>53</vt:i4>
      </vt:variant>
      <vt:variant>
        <vt:i4>0</vt:i4>
      </vt:variant>
      <vt:variant>
        <vt:i4>5</vt:i4>
      </vt:variant>
      <vt:variant>
        <vt:lpwstr/>
      </vt:variant>
      <vt:variant>
        <vt:lpwstr>_Toc343592187</vt:lpwstr>
      </vt:variant>
      <vt:variant>
        <vt:i4>1835064</vt:i4>
      </vt:variant>
      <vt:variant>
        <vt:i4>47</vt:i4>
      </vt:variant>
      <vt:variant>
        <vt:i4>0</vt:i4>
      </vt:variant>
      <vt:variant>
        <vt:i4>5</vt:i4>
      </vt:variant>
      <vt:variant>
        <vt:lpwstr/>
      </vt:variant>
      <vt:variant>
        <vt:lpwstr>_Toc343592186</vt:lpwstr>
      </vt:variant>
      <vt:variant>
        <vt:i4>1835064</vt:i4>
      </vt:variant>
      <vt:variant>
        <vt:i4>41</vt:i4>
      </vt:variant>
      <vt:variant>
        <vt:i4>0</vt:i4>
      </vt:variant>
      <vt:variant>
        <vt:i4>5</vt:i4>
      </vt:variant>
      <vt:variant>
        <vt:lpwstr/>
      </vt:variant>
      <vt:variant>
        <vt:lpwstr>_Toc343592185</vt:lpwstr>
      </vt:variant>
      <vt:variant>
        <vt:i4>1835064</vt:i4>
      </vt:variant>
      <vt:variant>
        <vt:i4>35</vt:i4>
      </vt:variant>
      <vt:variant>
        <vt:i4>0</vt:i4>
      </vt:variant>
      <vt:variant>
        <vt:i4>5</vt:i4>
      </vt:variant>
      <vt:variant>
        <vt:lpwstr/>
      </vt:variant>
      <vt:variant>
        <vt:lpwstr>_Toc343592184</vt:lpwstr>
      </vt:variant>
      <vt:variant>
        <vt:i4>1835064</vt:i4>
      </vt:variant>
      <vt:variant>
        <vt:i4>29</vt:i4>
      </vt:variant>
      <vt:variant>
        <vt:i4>0</vt:i4>
      </vt:variant>
      <vt:variant>
        <vt:i4>5</vt:i4>
      </vt:variant>
      <vt:variant>
        <vt:lpwstr/>
      </vt:variant>
      <vt:variant>
        <vt:lpwstr>_Toc343592183</vt:lpwstr>
      </vt:variant>
      <vt:variant>
        <vt:i4>1835064</vt:i4>
      </vt:variant>
      <vt:variant>
        <vt:i4>23</vt:i4>
      </vt:variant>
      <vt:variant>
        <vt:i4>0</vt:i4>
      </vt:variant>
      <vt:variant>
        <vt:i4>5</vt:i4>
      </vt:variant>
      <vt:variant>
        <vt:lpwstr/>
      </vt:variant>
      <vt:variant>
        <vt:lpwstr>_Toc343592182</vt:lpwstr>
      </vt:variant>
      <vt:variant>
        <vt:i4>1835064</vt:i4>
      </vt:variant>
      <vt:variant>
        <vt:i4>17</vt:i4>
      </vt:variant>
      <vt:variant>
        <vt:i4>0</vt:i4>
      </vt:variant>
      <vt:variant>
        <vt:i4>5</vt:i4>
      </vt:variant>
      <vt:variant>
        <vt:lpwstr/>
      </vt:variant>
      <vt:variant>
        <vt:lpwstr>_Toc343592181</vt:lpwstr>
      </vt:variant>
      <vt:variant>
        <vt:i4>1835064</vt:i4>
      </vt:variant>
      <vt:variant>
        <vt:i4>11</vt:i4>
      </vt:variant>
      <vt:variant>
        <vt:i4>0</vt:i4>
      </vt:variant>
      <vt:variant>
        <vt:i4>5</vt:i4>
      </vt:variant>
      <vt:variant>
        <vt:lpwstr/>
      </vt:variant>
      <vt:variant>
        <vt:lpwstr>_Toc343592180</vt:lpwstr>
      </vt:variant>
      <vt:variant>
        <vt:i4>8126479</vt:i4>
      </vt:variant>
      <vt:variant>
        <vt:i4>3</vt:i4>
      </vt:variant>
      <vt:variant>
        <vt:i4>0</vt:i4>
      </vt:variant>
      <vt:variant>
        <vt:i4>5</vt:i4>
      </vt:variant>
      <vt:variant>
        <vt:lpwstr>mailto:csas-sccs@dfo-mpo.gc.ca</vt:lpwstr>
      </vt:variant>
      <vt:variant>
        <vt:lpwstr/>
      </vt:variant>
      <vt:variant>
        <vt:i4>3473530</vt:i4>
      </vt:variant>
      <vt:variant>
        <vt:i4>0</vt:i4>
      </vt:variant>
      <vt:variant>
        <vt:i4>0</vt:i4>
      </vt:variant>
      <vt:variant>
        <vt:i4>5</vt:i4>
      </vt:variant>
      <vt:variant>
        <vt:lpwstr>http://www.dfo-mpo.gc.ca/csas-sccs/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compte rendu</dc:title>
  <dc:creator>MPO-DFO</dc:creator>
  <cp:keywords>Pêches et Océans Canada; Secrétariat canadien de consultation scientifique; compte rendu</cp:keywords>
  <cp:lastModifiedBy>Smith, Charlotte</cp:lastModifiedBy>
  <cp:revision>7</cp:revision>
  <cp:lastPrinted>2018-07-02T14:29:00Z</cp:lastPrinted>
  <dcterms:created xsi:type="dcterms:W3CDTF">2020-02-05T16:07:00Z</dcterms:created>
  <dcterms:modified xsi:type="dcterms:W3CDTF">2020-06-26T13:28:00Z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RunPrepV5.0.2">
    <vt:lpwstr>1/14/2020 4:39:24 PM</vt:lpwstr>
  </property>
  <property fmtid="{D5CDD505-2E9C-101B-9397-08002B2CF9AE}" pid="4" name="MSIP_Label_1bfb733f-faef-464c-9b6d-731b56f94973_Enabled">
    <vt:lpwstr>true</vt:lpwstr>
  </property>
  <property fmtid="{D5CDD505-2E9C-101B-9397-08002B2CF9AE}" pid="5" name="MSIP_Label_1bfb733f-faef-464c-9b6d-731b56f94973_SetDate">
    <vt:lpwstr>2020-06-09T18:26:23Z</vt:lpwstr>
  </property>
  <property fmtid="{D5CDD505-2E9C-101B-9397-08002B2CF9AE}" pid="6" name="MSIP_Label_1bfb733f-faef-464c-9b6d-731b56f94973_Method">
    <vt:lpwstr>Standard</vt:lpwstr>
  </property>
  <property fmtid="{D5CDD505-2E9C-101B-9397-08002B2CF9AE}" pid="7" name="MSIP_Label_1bfb733f-faef-464c-9b6d-731b56f94973_Name">
    <vt:lpwstr>Unclass - Non-Classifié</vt:lpwstr>
  </property>
  <property fmtid="{D5CDD505-2E9C-101B-9397-08002B2CF9AE}" pid="8" name="MSIP_Label_1bfb733f-faef-464c-9b6d-731b56f94973_SiteId">
    <vt:lpwstr>1594fdae-a1d9-4405-915d-011467234338</vt:lpwstr>
  </property>
  <property fmtid="{D5CDD505-2E9C-101B-9397-08002B2CF9AE}" pid="9" name="MSIP_Label_1bfb733f-faef-464c-9b6d-731b56f94973_ActionId">
    <vt:lpwstr>a1465a64-32d2-420d-b7d7-000053a55683</vt:lpwstr>
  </property>
</Properties>
</file>