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8CA36" w14:textId="358AC9F2" w:rsidR="00C023C3" w:rsidRPr="005C12B5" w:rsidRDefault="00C023C3" w:rsidP="00001E5C">
      <w:pPr>
        <w:pStyle w:val="CoverTitle"/>
        <w:jc w:val="center"/>
      </w:pPr>
      <w:r w:rsidRPr="005C12B5">
        <w:t xml:space="preserve">Proceedings of the </w:t>
      </w:r>
      <w:r w:rsidR="006B5D97">
        <w:t>2019</w:t>
      </w:r>
      <w:r w:rsidR="0087145F">
        <w:t xml:space="preserve"> </w:t>
      </w:r>
      <w:r w:rsidR="00545346">
        <w:t>Transboundary Resources Assessment Committee</w:t>
      </w:r>
      <w:r w:rsidR="000E55E0">
        <w:t xml:space="preserve"> for</w:t>
      </w:r>
      <w:r w:rsidR="0089006E">
        <w:t xml:space="preserve"> </w:t>
      </w:r>
      <w:r w:rsidR="007B2B09">
        <w:t xml:space="preserve">Eastern Georges Bank Cod and Haddock, and </w:t>
      </w:r>
      <w:r w:rsidR="00545346">
        <w:t>Ge</w:t>
      </w:r>
      <w:r w:rsidR="007B2B09">
        <w:t>orges Bank Yellowtail Flounder</w:t>
      </w:r>
    </w:p>
    <w:p w14:paraId="541E11E5" w14:textId="158F0C8E" w:rsidR="00B31A0A" w:rsidRDefault="00B31A0A" w:rsidP="00001E5C">
      <w:pPr>
        <w:pStyle w:val="CoverMtgDate"/>
        <w:jc w:val="center"/>
      </w:pPr>
      <w:r>
        <w:t>Report of Meeting held</w:t>
      </w:r>
      <w:r>
        <w:br/>
        <w:t>9-11 July, 2019</w:t>
      </w:r>
    </w:p>
    <w:p w14:paraId="0F82781A" w14:textId="2C00F9D9" w:rsidR="00C515A8" w:rsidRPr="005C12B5" w:rsidRDefault="00545346" w:rsidP="00001E5C">
      <w:pPr>
        <w:pStyle w:val="CoverMtgDate"/>
        <w:jc w:val="center"/>
      </w:pPr>
      <w:r>
        <w:t xml:space="preserve">Harry </w:t>
      </w:r>
      <w:proofErr w:type="spellStart"/>
      <w:r>
        <w:t>Hachey</w:t>
      </w:r>
      <w:proofErr w:type="spellEnd"/>
      <w:r w:rsidR="00B31A0A">
        <w:t xml:space="preserve"> Conference Centre</w:t>
      </w:r>
      <w:r w:rsidR="00B31A0A">
        <w:br/>
      </w:r>
      <w:r>
        <w:t>St. Andr</w:t>
      </w:r>
      <w:r w:rsidR="00B31A0A">
        <w:t>ews Biological Station</w:t>
      </w:r>
      <w:r w:rsidR="00B31A0A">
        <w:br/>
      </w:r>
      <w:r>
        <w:t>St. Andrews, New Brunswick</w:t>
      </w:r>
    </w:p>
    <w:p w14:paraId="1B462D7A" w14:textId="18736419" w:rsidR="00C023C3" w:rsidRPr="005C12B5" w:rsidRDefault="00B31A0A" w:rsidP="00001E5C">
      <w:pPr>
        <w:pStyle w:val="CoverLocation"/>
        <w:jc w:val="center"/>
      </w:pPr>
      <w:r>
        <w:t>Canada</w:t>
      </w:r>
    </w:p>
    <w:p w14:paraId="756823A7" w14:textId="77777777" w:rsidR="005223A3" w:rsidRDefault="005223A3" w:rsidP="005223A3">
      <w:pPr>
        <w:pStyle w:val="CoverChairperson"/>
        <w:spacing w:before="0"/>
        <w:jc w:val="center"/>
      </w:pPr>
      <w:r>
        <w:t>TRAC Co-chairs: K.J. Clark (Canada)</w:t>
      </w:r>
      <w:r w:rsidRPr="007B2B09">
        <w:rPr>
          <w:vertAlign w:val="superscript"/>
        </w:rPr>
        <w:t>1</w:t>
      </w:r>
      <w:r>
        <w:t xml:space="preserve"> and T. </w:t>
      </w:r>
      <w:proofErr w:type="spellStart"/>
      <w:r>
        <w:t>Trinko</w:t>
      </w:r>
      <w:proofErr w:type="spellEnd"/>
      <w:r>
        <w:t>-Lake (U.S.A.)</w:t>
      </w:r>
      <w:r w:rsidRPr="007B2B09">
        <w:rPr>
          <w:vertAlign w:val="superscript"/>
        </w:rPr>
        <w:t>2</w:t>
      </w:r>
    </w:p>
    <w:p w14:paraId="5D7C2B33" w14:textId="781876DF" w:rsidR="007B2B09" w:rsidRDefault="007B2B09" w:rsidP="005223A3">
      <w:pPr>
        <w:pStyle w:val="CoverChairperson"/>
        <w:spacing w:before="0"/>
        <w:jc w:val="center"/>
      </w:pPr>
      <w:r>
        <w:t xml:space="preserve">Meeting </w:t>
      </w:r>
      <w:r w:rsidR="00906ED5" w:rsidRPr="005C12B5">
        <w:t>Chairperson</w:t>
      </w:r>
      <w:r w:rsidR="00317F53">
        <w:t xml:space="preserve">: </w:t>
      </w:r>
      <w:r>
        <w:t>J.</w:t>
      </w:r>
      <w:r w:rsidR="00001E5C">
        <w:t>D.</w:t>
      </w:r>
      <w:r>
        <w:t xml:space="preserve"> Neilson</w:t>
      </w:r>
    </w:p>
    <w:p w14:paraId="68279D73" w14:textId="77777777" w:rsidR="007B2B09" w:rsidRDefault="007B2B09" w:rsidP="00001E5C">
      <w:pPr>
        <w:pStyle w:val="CoverMailingAddress"/>
        <w:jc w:val="center"/>
      </w:pPr>
      <w:r w:rsidRPr="007B2B09">
        <w:rPr>
          <w:vertAlign w:val="superscript"/>
        </w:rPr>
        <w:t>1</w:t>
      </w:r>
      <w:r>
        <w:t>Fisheries and Oceans Canada</w:t>
      </w:r>
      <w:r>
        <w:br/>
        <w:t>St. Andrews Biological Station</w:t>
      </w:r>
      <w:r>
        <w:br/>
        <w:t>St. Andrews, New Brunswick, Canada</w:t>
      </w:r>
    </w:p>
    <w:p w14:paraId="52D04175" w14:textId="77777777" w:rsidR="007B2B09" w:rsidRPr="007B2B09" w:rsidRDefault="007B2B09" w:rsidP="00001E5C">
      <w:pPr>
        <w:pStyle w:val="CoverMailingAddress"/>
        <w:jc w:val="center"/>
        <w:sectPr w:rsidR="007B2B09" w:rsidRPr="007B2B09" w:rsidSect="002C515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vAlign w:val="center"/>
        </w:sectPr>
      </w:pPr>
      <w:r w:rsidRPr="007B2B09">
        <w:rPr>
          <w:vertAlign w:val="superscript"/>
        </w:rPr>
        <w:t>2</w:t>
      </w:r>
      <w:r>
        <w:t>National Marine Fisheries Service</w:t>
      </w:r>
      <w:r>
        <w:br/>
        <w:t xml:space="preserve"> Northeast Fisheries Science Center </w:t>
      </w:r>
      <w:r>
        <w:br/>
        <w:t>Woods Hole, Massachusetts, USA</w:t>
      </w:r>
    </w:p>
    <w:p w14:paraId="1A6C08F0" w14:textId="77777777" w:rsidR="00D90E79" w:rsidRPr="005C12B5" w:rsidRDefault="00D90E79" w:rsidP="000B1AEC">
      <w:pPr>
        <w:pStyle w:val="ForewordPublishedby2ndpage"/>
      </w:pPr>
      <w:r w:rsidRPr="005C12B5">
        <w:lastRenderedPageBreak/>
        <w:t>Foreword</w:t>
      </w:r>
    </w:p>
    <w:p w14:paraId="3D9F9416" w14:textId="77777777" w:rsidR="00FF1FF7" w:rsidRPr="005C12B5" w:rsidRDefault="00FF1FF7" w:rsidP="00E82E3D">
      <w:pPr>
        <w:pStyle w:val="BodyText"/>
      </w:pPr>
      <w:r w:rsidRPr="005C12B5">
        <w:t>The purpose</w:t>
      </w:r>
      <w:r w:rsidR="00E2442C" w:rsidRPr="005C12B5">
        <w:t xml:space="preserve"> of these P</w:t>
      </w:r>
      <w:r w:rsidRPr="005C12B5">
        <w:t>roceedings is to document the activities and key discussions of the meeting.</w:t>
      </w:r>
      <w:r w:rsidR="00754EF0" w:rsidRPr="005C12B5">
        <w:t xml:space="preserve"> </w:t>
      </w:r>
      <w:r w:rsidRPr="005C12B5">
        <w:t xml:space="preserve">The Proceedings </w:t>
      </w:r>
      <w:r w:rsidR="00004F56" w:rsidRPr="005C12B5">
        <w:t xml:space="preserve">may </w:t>
      </w:r>
      <w:r w:rsidRPr="005C12B5">
        <w:t xml:space="preserve">include research recommendations, uncertainties, and the rationale for decisions made </w:t>
      </w:r>
      <w:r w:rsidR="009E2555" w:rsidRPr="005C12B5">
        <w:t>during</w:t>
      </w:r>
      <w:r w:rsidR="00664D30" w:rsidRPr="005C12B5">
        <w:t xml:space="preserve"> </w:t>
      </w:r>
      <w:r w:rsidRPr="005C12B5">
        <w:t>the meeting.</w:t>
      </w:r>
      <w:r w:rsidR="00754EF0" w:rsidRPr="005C12B5">
        <w:t xml:space="preserve"> </w:t>
      </w:r>
      <w:r w:rsidR="00321678" w:rsidRPr="005C12B5">
        <w:t xml:space="preserve">Proceedings </w:t>
      </w:r>
      <w:r w:rsidR="00004F56" w:rsidRPr="005C12B5">
        <w:t xml:space="preserve">may </w:t>
      </w:r>
      <w:r w:rsidR="00321678" w:rsidRPr="005C12B5">
        <w:t>also document when data, analyses or interpretations were reviewed and rejected on scientific grounds, including the reason(s) for rejection.</w:t>
      </w:r>
      <w:r w:rsidR="00754EF0" w:rsidRPr="005C12B5">
        <w:t xml:space="preserve"> </w:t>
      </w:r>
      <w:r w:rsidRPr="005C12B5">
        <w:t>As such, interpretations and opinions presented in this report individually may be factually incorrect or misleading, but are included to record as faithfully as possible what was considered at the meeting. No statements are to be taken as reflecting the conclusions of the meeting unless they are clearly identified as such. Moreover, further review may result in a change of conclusions where additional information was identified as relevant to the topics being considered, but not available in the timeframe of the meeting.</w:t>
      </w:r>
      <w:r w:rsidR="00754EF0" w:rsidRPr="005C12B5">
        <w:t xml:space="preserve"> </w:t>
      </w:r>
      <w:r w:rsidRPr="005C12B5">
        <w:t>In the rare case when there are formal dissenting views, these are also archived as Annexes to the Proceedings.</w:t>
      </w:r>
    </w:p>
    <w:p w14:paraId="781A270A" w14:textId="77777777" w:rsidR="00863168" w:rsidRPr="005C12B5" w:rsidRDefault="00863168" w:rsidP="00863168">
      <w:pPr>
        <w:pStyle w:val="ForewordPublishedby2ndpage"/>
      </w:pPr>
      <w:r w:rsidRPr="005C12B5">
        <w:t>Published by:</w:t>
      </w:r>
    </w:p>
    <w:p w14:paraId="1E58B4F4" w14:textId="77777777" w:rsidR="00863168" w:rsidRPr="005C12B5" w:rsidRDefault="00863168" w:rsidP="00863168">
      <w:pPr>
        <w:pStyle w:val="BodyTextcentered"/>
        <w:rPr>
          <w:lang w:val="en-CA"/>
        </w:rPr>
      </w:pPr>
      <w:r w:rsidRPr="005C12B5">
        <w:rPr>
          <w:lang w:val="en-CA"/>
        </w:rPr>
        <w:t xml:space="preserve">Fisheries and Oceans Canada </w:t>
      </w:r>
      <w:r w:rsidRPr="005C12B5">
        <w:rPr>
          <w:lang w:val="en-CA"/>
        </w:rPr>
        <w:br/>
        <w:t xml:space="preserve">Canadian Science Advisory Secretariat </w:t>
      </w:r>
      <w:r w:rsidRPr="005C12B5">
        <w:rPr>
          <w:lang w:val="en-CA"/>
        </w:rPr>
        <w:br/>
        <w:t>200 Kent Street</w:t>
      </w:r>
      <w:r w:rsidRPr="005C12B5">
        <w:rPr>
          <w:lang w:val="en-CA"/>
        </w:rPr>
        <w:br/>
        <w:t>Ottawa</w:t>
      </w:r>
      <w:r>
        <w:rPr>
          <w:lang w:val="en-CA"/>
        </w:rPr>
        <w:t xml:space="preserve"> ON  </w:t>
      </w:r>
      <w:r w:rsidRPr="005C12B5">
        <w:rPr>
          <w:lang w:val="en-CA"/>
        </w:rPr>
        <w:t>K1A 0E6</w:t>
      </w:r>
    </w:p>
    <w:p w14:paraId="4C22B41B" w14:textId="77777777" w:rsidR="00863168" w:rsidRPr="005C12B5" w:rsidRDefault="00B31526" w:rsidP="00863168">
      <w:pPr>
        <w:pStyle w:val="BodyText"/>
        <w:jc w:val="center"/>
        <w:rPr>
          <w:lang w:val="en-CA"/>
        </w:rPr>
      </w:pPr>
      <w:hyperlink r:id="rId14" w:tooltip="Fisheries and Oceans Canada / Canadian Science Advisory Secretariat" w:history="1">
        <w:r w:rsidR="00863168" w:rsidRPr="005C12B5">
          <w:rPr>
            <w:rStyle w:val="Hyperlink"/>
            <w:szCs w:val="22"/>
            <w:lang w:val="en-CA"/>
          </w:rPr>
          <w:t>http://www.dfo-mpo.gc.ca/csas-sccs/</w:t>
        </w:r>
      </w:hyperlink>
      <w:r w:rsidR="00863168" w:rsidRPr="005C12B5">
        <w:rPr>
          <w:lang w:val="en-CA"/>
        </w:rPr>
        <w:t xml:space="preserve"> </w:t>
      </w:r>
      <w:r w:rsidR="00863168" w:rsidRPr="005C12B5">
        <w:rPr>
          <w:lang w:val="en-CA"/>
        </w:rPr>
        <w:br/>
      </w:r>
      <w:hyperlink r:id="rId15" w:tooltip="E-mail the Canadian Science Advisory Secretariat" w:history="1">
        <w:r w:rsidR="00863168" w:rsidRPr="005C12B5">
          <w:rPr>
            <w:rStyle w:val="Hyperlink"/>
            <w:szCs w:val="22"/>
            <w:lang w:val="en-CA"/>
          </w:rPr>
          <w:t>csas-sccs@dfo-mpo.gc.ca</w:t>
        </w:r>
      </w:hyperlink>
    </w:p>
    <w:p w14:paraId="6A6443E0" w14:textId="77777777" w:rsidR="00863168" w:rsidRPr="005C12B5" w:rsidRDefault="00863168" w:rsidP="00863168">
      <w:pPr>
        <w:pStyle w:val="BodyText"/>
        <w:jc w:val="center"/>
      </w:pPr>
      <w:r w:rsidRPr="005C12B5">
        <w:rPr>
          <w:noProof/>
        </w:rPr>
        <w:drawing>
          <wp:inline distT="0" distB="0" distL="0" distR="0" wp14:anchorId="6E9E14A0" wp14:editId="418A3C3B">
            <wp:extent cx="476250" cy="476250"/>
            <wp:effectExtent l="19050" t="0" r="0" b="0"/>
            <wp:docPr id="1" name="Picture 3" descr="please re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476250" cy="476250"/>
                    </a:xfrm>
                    <a:prstGeom prst="rect">
                      <a:avLst/>
                    </a:prstGeom>
                    <a:noFill/>
                  </pic:spPr>
                </pic:pic>
              </a:graphicData>
            </a:graphic>
          </wp:inline>
        </w:drawing>
      </w:r>
    </w:p>
    <w:p w14:paraId="238CE0F0" w14:textId="77777777" w:rsidR="00863168" w:rsidRPr="005C12B5" w:rsidRDefault="00863168" w:rsidP="00863168">
      <w:pPr>
        <w:pStyle w:val="BodyText"/>
        <w:jc w:val="center"/>
      </w:pPr>
      <w:r w:rsidRPr="005C12B5">
        <w:t>©</w:t>
      </w:r>
      <w:r w:rsidRPr="00C67A37">
        <w:rPr>
          <w:rStyle w:val="BodyTextcenteredChar"/>
        </w:rPr>
        <w:t xml:space="preserve"> Her Majesty the Queen in Right of Canada, </w:t>
      </w:r>
      <w:r>
        <w:rPr>
          <w:rStyle w:val="BodyTextcenteredChar"/>
        </w:rPr>
        <w:t>2020</w:t>
      </w:r>
      <w:r w:rsidRPr="00C67A37">
        <w:rPr>
          <w:rStyle w:val="BodyTextcenteredChar"/>
        </w:rPr>
        <w:br/>
        <w:t>ISSN 1701-1280</w:t>
      </w:r>
    </w:p>
    <w:p w14:paraId="12B527AD" w14:textId="44B1EF51" w:rsidR="0014186E" w:rsidRPr="005C12B5" w:rsidRDefault="0014186E" w:rsidP="009411F2">
      <w:pPr>
        <w:pStyle w:val="BodyTextBold"/>
      </w:pPr>
      <w:r w:rsidRPr="005C12B5">
        <w:t xml:space="preserve">Correct citation for this publication: </w:t>
      </w:r>
    </w:p>
    <w:p w14:paraId="4ABFD118" w14:textId="53D0FEFB" w:rsidR="0014186E" w:rsidRDefault="0022350A" w:rsidP="00285CAB">
      <w:pPr>
        <w:pStyle w:val="citation"/>
        <w:rPr>
          <w:lang w:val="fr-CA"/>
        </w:rPr>
      </w:pPr>
      <w:r>
        <w:t xml:space="preserve">Clark, K.J. and </w:t>
      </w:r>
      <w:proofErr w:type="spellStart"/>
      <w:r>
        <w:t>Trinko</w:t>
      </w:r>
      <w:proofErr w:type="spellEnd"/>
      <w:r>
        <w:t>-Lake, T</w:t>
      </w:r>
      <w:r w:rsidR="0014186E" w:rsidRPr="005C12B5">
        <w:t xml:space="preserve">. </w:t>
      </w:r>
      <w:r w:rsidR="000665EB">
        <w:t>2020</w:t>
      </w:r>
      <w:r w:rsidR="0087145F">
        <w:t xml:space="preserve">. Proceedings of the </w:t>
      </w:r>
      <w:r w:rsidR="000665EB">
        <w:t xml:space="preserve">2019 </w:t>
      </w:r>
      <w:r w:rsidR="0087145F">
        <w:t>Transboundary Resources Assessment Committee for Eastern Georges Bank Cod and Haddock, and Georges Bank Yellowtail Flounder</w:t>
      </w:r>
      <w:r w:rsidR="0014186E" w:rsidRPr="005C12B5">
        <w:t xml:space="preserve">. </w:t>
      </w:r>
      <w:r w:rsidR="0048637A" w:rsidRPr="00164B35">
        <w:rPr>
          <w:lang w:val="fr-CA"/>
        </w:rPr>
        <w:t xml:space="preserve">TRAC </w:t>
      </w:r>
      <w:proofErr w:type="spellStart"/>
      <w:r w:rsidR="0014186E" w:rsidRPr="00164B35">
        <w:rPr>
          <w:lang w:val="fr-CA"/>
        </w:rPr>
        <w:t>Proceed</w:t>
      </w:r>
      <w:proofErr w:type="spellEnd"/>
      <w:r w:rsidR="0014186E" w:rsidRPr="00164B35">
        <w:rPr>
          <w:lang w:val="fr-CA"/>
        </w:rPr>
        <w:t xml:space="preserve">. </w:t>
      </w:r>
      <w:proofErr w:type="spellStart"/>
      <w:r w:rsidR="0014186E" w:rsidRPr="00164B35">
        <w:rPr>
          <w:lang w:val="fr-CA"/>
        </w:rPr>
        <w:t>Ser</w:t>
      </w:r>
      <w:proofErr w:type="spellEnd"/>
      <w:r w:rsidR="0014186E" w:rsidRPr="00164B35">
        <w:rPr>
          <w:lang w:val="fr-CA"/>
        </w:rPr>
        <w:t xml:space="preserve">. </w:t>
      </w:r>
      <w:r w:rsidR="0048637A" w:rsidRPr="00164B35">
        <w:rPr>
          <w:lang w:val="fr-CA"/>
        </w:rPr>
        <w:t>2019/001</w:t>
      </w:r>
      <w:r w:rsidR="0087145F" w:rsidRPr="00164B35">
        <w:rPr>
          <w:lang w:val="fr-CA"/>
        </w:rPr>
        <w:t>.</w:t>
      </w:r>
      <w:r w:rsidR="0014186E" w:rsidRPr="00164B35">
        <w:rPr>
          <w:lang w:val="fr-CA"/>
        </w:rPr>
        <w:t xml:space="preserve"> </w:t>
      </w:r>
    </w:p>
    <w:p w14:paraId="3015E1A3" w14:textId="77777777" w:rsidR="00863168" w:rsidRPr="00227CD9" w:rsidRDefault="00863168" w:rsidP="00863168">
      <w:pPr>
        <w:pStyle w:val="BodyTextBoldItallics"/>
        <w:rPr>
          <w:lang w:val="fr-CA"/>
        </w:rPr>
      </w:pPr>
      <w:r w:rsidRPr="00227CD9">
        <w:rPr>
          <w:lang w:val="fr-CA"/>
        </w:rPr>
        <w:t>Aussi disponible en français :</w:t>
      </w:r>
    </w:p>
    <w:p w14:paraId="13D2CC16" w14:textId="7A0182A1" w:rsidR="00D1314A" w:rsidRPr="00164B35" w:rsidRDefault="00863168" w:rsidP="00863168">
      <w:pPr>
        <w:pStyle w:val="citation-translated"/>
      </w:pPr>
      <w:r w:rsidRPr="00B56E06">
        <w:t xml:space="preserve">Clark, K.J. et </w:t>
      </w:r>
      <w:proofErr w:type="spellStart"/>
      <w:r w:rsidRPr="00B56E06">
        <w:t>Trinko</w:t>
      </w:r>
      <w:proofErr w:type="spellEnd"/>
      <w:r w:rsidRPr="00B56E06">
        <w:t xml:space="preserve">-Lake, T. 2020. </w:t>
      </w:r>
      <w:proofErr w:type="spellStart"/>
      <w:r w:rsidRPr="00B56E06">
        <w:t>Compte</w:t>
      </w:r>
      <w:proofErr w:type="spellEnd"/>
      <w:r w:rsidRPr="00B56E06">
        <w:t xml:space="preserve"> </w:t>
      </w:r>
      <w:proofErr w:type="spellStart"/>
      <w:r w:rsidRPr="00B56E06">
        <w:t>rendu</w:t>
      </w:r>
      <w:proofErr w:type="spellEnd"/>
      <w:r w:rsidRPr="00B56E06">
        <w:t xml:space="preserve"> de la </w:t>
      </w:r>
      <w:proofErr w:type="spellStart"/>
      <w:r w:rsidRPr="00B56E06">
        <w:t>réunion</w:t>
      </w:r>
      <w:proofErr w:type="spellEnd"/>
      <w:r>
        <w:t xml:space="preserve"> de 2019</w:t>
      </w:r>
      <w:r w:rsidRPr="00B56E06">
        <w:t xml:space="preserve"> du </w:t>
      </w:r>
      <w:proofErr w:type="spellStart"/>
      <w:r w:rsidRPr="00B56E06">
        <w:t>Comité</w:t>
      </w:r>
      <w:proofErr w:type="spellEnd"/>
      <w:r w:rsidRPr="00B56E06">
        <w:t xml:space="preserve"> </w:t>
      </w:r>
      <w:proofErr w:type="spellStart"/>
      <w:r w:rsidRPr="00B56E06">
        <w:t>d’évaluation</w:t>
      </w:r>
      <w:proofErr w:type="spellEnd"/>
      <w:r w:rsidRPr="00B56E06">
        <w:t xml:space="preserve"> des </w:t>
      </w:r>
      <w:proofErr w:type="spellStart"/>
      <w:r w:rsidRPr="00B56E06">
        <w:t>ressources</w:t>
      </w:r>
      <w:proofErr w:type="spellEnd"/>
      <w:r w:rsidRPr="00B56E06">
        <w:t xml:space="preserve"> </w:t>
      </w:r>
      <w:proofErr w:type="spellStart"/>
      <w:r w:rsidRPr="00B56E06">
        <w:t>transfrontalières</w:t>
      </w:r>
      <w:proofErr w:type="spellEnd"/>
      <w:r w:rsidRPr="00B56E06">
        <w:t xml:space="preserve"> pour la </w:t>
      </w:r>
      <w:proofErr w:type="spellStart"/>
      <w:r w:rsidRPr="00B56E06">
        <w:t>morue</w:t>
      </w:r>
      <w:proofErr w:type="spellEnd"/>
      <w:r w:rsidRPr="00B56E06">
        <w:t xml:space="preserve"> et </w:t>
      </w:r>
      <w:proofErr w:type="spellStart"/>
      <w:r w:rsidRPr="00B56E06">
        <w:t>l’aiglefin</w:t>
      </w:r>
      <w:proofErr w:type="spellEnd"/>
      <w:r w:rsidRPr="00B56E06">
        <w:t xml:space="preserve"> de </w:t>
      </w:r>
      <w:proofErr w:type="spellStart"/>
      <w:r w:rsidRPr="00B56E06">
        <w:t>l’est</w:t>
      </w:r>
      <w:proofErr w:type="spellEnd"/>
      <w:r w:rsidRPr="00B56E06">
        <w:t xml:space="preserve"> du banc Georges et la </w:t>
      </w:r>
      <w:proofErr w:type="spellStart"/>
      <w:r w:rsidRPr="00B56E06">
        <w:t>limande</w:t>
      </w:r>
      <w:proofErr w:type="spellEnd"/>
      <w:r w:rsidRPr="00B56E06">
        <w:t xml:space="preserve"> à que</w:t>
      </w:r>
      <w:r>
        <w:t xml:space="preserve">ue </w:t>
      </w:r>
      <w:proofErr w:type="spellStart"/>
      <w:r>
        <w:t>jaune</w:t>
      </w:r>
      <w:proofErr w:type="spellEnd"/>
      <w:r>
        <w:t xml:space="preserve"> du banc Georges. </w:t>
      </w:r>
      <w:proofErr w:type="spellStart"/>
      <w:r>
        <w:t>C</w:t>
      </w:r>
      <w:r w:rsidRPr="00B56E06">
        <w:t>ompte</w:t>
      </w:r>
      <w:proofErr w:type="spellEnd"/>
      <w:r w:rsidRPr="00B56E06">
        <w:t xml:space="preserve"> </w:t>
      </w:r>
      <w:proofErr w:type="spellStart"/>
      <w:r w:rsidRPr="00B56E06">
        <w:t>rendu</w:t>
      </w:r>
      <w:proofErr w:type="spellEnd"/>
      <w:r w:rsidRPr="00B56E06">
        <w:t xml:space="preserve"> du CERT 2019/001. </w:t>
      </w:r>
    </w:p>
    <w:p w14:paraId="1A222BD6" w14:textId="77777777" w:rsidR="00285CAB" w:rsidRPr="005C12B5" w:rsidRDefault="00285CAB" w:rsidP="00285CAB">
      <w:pPr>
        <w:pStyle w:val="citation"/>
        <w:rPr>
          <w:b/>
          <w:i/>
          <w:lang w:val="fr-CA"/>
        </w:rPr>
        <w:sectPr w:rsidR="00285CAB" w:rsidRPr="005C12B5" w:rsidSect="000B1AEC">
          <w:headerReference w:type="default" r:id="rId17"/>
          <w:footerReference w:type="default" r:id="rId18"/>
          <w:pgSz w:w="12240" w:h="15840" w:code="1"/>
          <w:pgMar w:top="1440" w:right="1440" w:bottom="1440" w:left="1440" w:header="709" w:footer="618" w:gutter="0"/>
          <w:cols w:space="720"/>
          <w:vAlign w:val="center"/>
        </w:sectPr>
      </w:pPr>
    </w:p>
    <w:sdt>
      <w:sdtPr>
        <w:rPr>
          <w:rFonts w:ascii="Arial" w:eastAsia="Times New Roman" w:hAnsi="Arial" w:cs="Times New Roman"/>
          <w:bCs w:val="0"/>
          <w:caps w:val="0"/>
          <w:color w:val="auto"/>
          <w:sz w:val="22"/>
          <w:szCs w:val="20"/>
        </w:rPr>
        <w:id w:val="-106354618"/>
        <w:docPartObj>
          <w:docPartGallery w:val="Table of Contents"/>
          <w:docPartUnique/>
        </w:docPartObj>
      </w:sdtPr>
      <w:sdtEndPr>
        <w:rPr>
          <w:b/>
          <w:noProof/>
        </w:rPr>
      </w:sdtEndPr>
      <w:sdtContent>
        <w:p w14:paraId="5AB671E5" w14:textId="10652270" w:rsidR="00354A60" w:rsidRPr="000665EB" w:rsidRDefault="00354A60" w:rsidP="00704AAA">
          <w:pPr>
            <w:pStyle w:val="TOCHeading"/>
            <w:jc w:val="center"/>
            <w:rPr>
              <w:rFonts w:ascii="Arial" w:hAnsi="Arial" w:cs="Arial"/>
              <w:b/>
              <w:color w:val="000000" w:themeColor="text1"/>
              <w:sz w:val="24"/>
              <w:szCs w:val="24"/>
              <w:lang w:val="fr-CA"/>
            </w:rPr>
          </w:pPr>
          <w:r w:rsidRPr="000665EB">
            <w:rPr>
              <w:rFonts w:ascii="Arial" w:hAnsi="Arial" w:cs="Arial"/>
              <w:b/>
              <w:color w:val="000000" w:themeColor="text1"/>
              <w:sz w:val="24"/>
              <w:szCs w:val="24"/>
              <w:lang w:val="fr-CA"/>
            </w:rPr>
            <w:t>Table of Contents</w:t>
          </w:r>
        </w:p>
        <w:p w14:paraId="39D0E546" w14:textId="19036BBD" w:rsidR="00B31526" w:rsidRDefault="00354A60">
          <w:pPr>
            <w:pStyle w:val="TOC1"/>
            <w:rPr>
              <w:rFonts w:asciiTheme="minorHAnsi" w:eastAsiaTheme="minorEastAsia" w:hAnsiTheme="minorHAnsi" w:cstheme="minorBidi"/>
              <w:caps w:val="0"/>
              <w:noProof/>
              <w:szCs w:val="22"/>
            </w:rPr>
          </w:pPr>
          <w:r>
            <w:fldChar w:fldCharType="begin"/>
          </w:r>
          <w:r>
            <w:instrText xml:space="preserve"> TOC \o "1-3" \h \z \u </w:instrText>
          </w:r>
          <w:r>
            <w:fldChar w:fldCharType="separate"/>
          </w:r>
          <w:bookmarkStart w:id="0" w:name="_GoBack"/>
          <w:bookmarkEnd w:id="0"/>
          <w:r w:rsidR="00B31526" w:rsidRPr="00EF61A2">
            <w:rPr>
              <w:rStyle w:val="Hyperlink"/>
              <w:noProof/>
            </w:rPr>
            <w:fldChar w:fldCharType="begin"/>
          </w:r>
          <w:r w:rsidR="00B31526" w:rsidRPr="00EF61A2">
            <w:rPr>
              <w:rStyle w:val="Hyperlink"/>
              <w:noProof/>
            </w:rPr>
            <w:instrText xml:space="preserve"> </w:instrText>
          </w:r>
          <w:r w:rsidR="00B31526">
            <w:rPr>
              <w:noProof/>
            </w:rPr>
            <w:instrText>HYPERLINK \l "_Toc44061504"</w:instrText>
          </w:r>
          <w:r w:rsidR="00B31526" w:rsidRPr="00EF61A2">
            <w:rPr>
              <w:rStyle w:val="Hyperlink"/>
              <w:noProof/>
            </w:rPr>
            <w:instrText xml:space="preserve"> </w:instrText>
          </w:r>
          <w:r w:rsidR="00B31526" w:rsidRPr="00EF61A2">
            <w:rPr>
              <w:rStyle w:val="Hyperlink"/>
              <w:noProof/>
            </w:rPr>
          </w:r>
          <w:r w:rsidR="00B31526" w:rsidRPr="00EF61A2">
            <w:rPr>
              <w:rStyle w:val="Hyperlink"/>
              <w:noProof/>
            </w:rPr>
            <w:fldChar w:fldCharType="separate"/>
          </w:r>
          <w:r w:rsidR="00B31526" w:rsidRPr="00EF61A2">
            <w:rPr>
              <w:rStyle w:val="Hyperlink"/>
              <w:noProof/>
            </w:rPr>
            <w:t>ABSTRACT</w:t>
          </w:r>
          <w:r w:rsidR="00B31526">
            <w:rPr>
              <w:noProof/>
              <w:webHidden/>
            </w:rPr>
            <w:tab/>
          </w:r>
          <w:r w:rsidR="00B31526">
            <w:rPr>
              <w:noProof/>
              <w:webHidden/>
            </w:rPr>
            <w:fldChar w:fldCharType="begin"/>
          </w:r>
          <w:r w:rsidR="00B31526">
            <w:rPr>
              <w:noProof/>
              <w:webHidden/>
            </w:rPr>
            <w:instrText xml:space="preserve"> PAGEREF _Toc44061504 \h </w:instrText>
          </w:r>
          <w:r w:rsidR="00B31526">
            <w:rPr>
              <w:noProof/>
              <w:webHidden/>
            </w:rPr>
          </w:r>
          <w:r w:rsidR="00B31526">
            <w:rPr>
              <w:noProof/>
              <w:webHidden/>
            </w:rPr>
            <w:fldChar w:fldCharType="separate"/>
          </w:r>
          <w:r w:rsidR="00B31526">
            <w:rPr>
              <w:noProof/>
              <w:webHidden/>
            </w:rPr>
            <w:t>iv</w:t>
          </w:r>
          <w:r w:rsidR="00B31526">
            <w:rPr>
              <w:noProof/>
              <w:webHidden/>
            </w:rPr>
            <w:fldChar w:fldCharType="end"/>
          </w:r>
          <w:r w:rsidR="00B31526" w:rsidRPr="00EF61A2">
            <w:rPr>
              <w:rStyle w:val="Hyperlink"/>
              <w:noProof/>
            </w:rPr>
            <w:fldChar w:fldCharType="end"/>
          </w:r>
        </w:p>
        <w:p w14:paraId="1DF8905D" w14:textId="13C59F76" w:rsidR="00B31526" w:rsidRDefault="00B31526">
          <w:pPr>
            <w:pStyle w:val="TOC1"/>
            <w:rPr>
              <w:rFonts w:asciiTheme="minorHAnsi" w:eastAsiaTheme="minorEastAsia" w:hAnsiTheme="minorHAnsi" w:cstheme="minorBidi"/>
              <w:caps w:val="0"/>
              <w:noProof/>
              <w:szCs w:val="22"/>
            </w:rPr>
          </w:pPr>
          <w:hyperlink w:anchor="_Toc44061505" w:history="1">
            <w:r w:rsidRPr="00EF61A2">
              <w:rPr>
                <w:rStyle w:val="Hyperlink"/>
                <w:noProof/>
              </w:rPr>
              <w:t>INTRODUCTION</w:t>
            </w:r>
            <w:r>
              <w:rPr>
                <w:noProof/>
                <w:webHidden/>
              </w:rPr>
              <w:tab/>
            </w:r>
            <w:r>
              <w:rPr>
                <w:noProof/>
                <w:webHidden/>
              </w:rPr>
              <w:fldChar w:fldCharType="begin"/>
            </w:r>
            <w:r>
              <w:rPr>
                <w:noProof/>
                <w:webHidden/>
              </w:rPr>
              <w:instrText xml:space="preserve"> PAGEREF _Toc44061505 \h </w:instrText>
            </w:r>
            <w:r>
              <w:rPr>
                <w:noProof/>
                <w:webHidden/>
              </w:rPr>
            </w:r>
            <w:r>
              <w:rPr>
                <w:noProof/>
                <w:webHidden/>
              </w:rPr>
              <w:fldChar w:fldCharType="separate"/>
            </w:r>
            <w:r>
              <w:rPr>
                <w:noProof/>
                <w:webHidden/>
              </w:rPr>
              <w:t>1</w:t>
            </w:r>
            <w:r>
              <w:rPr>
                <w:noProof/>
                <w:webHidden/>
              </w:rPr>
              <w:fldChar w:fldCharType="end"/>
            </w:r>
          </w:hyperlink>
        </w:p>
        <w:p w14:paraId="63C702C5" w14:textId="159A60E8" w:rsidR="00B31526" w:rsidRDefault="00B31526">
          <w:pPr>
            <w:pStyle w:val="TOC2"/>
            <w:tabs>
              <w:tab w:val="right" w:leader="dot" w:pos="9350"/>
            </w:tabs>
            <w:rPr>
              <w:rFonts w:asciiTheme="minorHAnsi" w:eastAsiaTheme="minorEastAsia" w:hAnsiTheme="minorHAnsi" w:cstheme="minorBidi"/>
              <w:caps w:val="0"/>
              <w:noProof/>
              <w:szCs w:val="22"/>
            </w:rPr>
          </w:pPr>
          <w:hyperlink w:anchor="_Toc44061506" w:history="1">
            <w:r w:rsidRPr="00EF61A2">
              <w:rPr>
                <w:rStyle w:val="Hyperlink"/>
                <w:noProof/>
              </w:rPr>
              <w:t>GEORGES BANK YELLOWTAIL FLOUNDER</w:t>
            </w:r>
            <w:r>
              <w:rPr>
                <w:noProof/>
                <w:webHidden/>
              </w:rPr>
              <w:tab/>
            </w:r>
            <w:r>
              <w:rPr>
                <w:noProof/>
                <w:webHidden/>
              </w:rPr>
              <w:fldChar w:fldCharType="begin"/>
            </w:r>
            <w:r>
              <w:rPr>
                <w:noProof/>
                <w:webHidden/>
              </w:rPr>
              <w:instrText xml:space="preserve"> PAGEREF _Toc44061506 \h </w:instrText>
            </w:r>
            <w:r>
              <w:rPr>
                <w:noProof/>
                <w:webHidden/>
              </w:rPr>
            </w:r>
            <w:r>
              <w:rPr>
                <w:noProof/>
                <w:webHidden/>
              </w:rPr>
              <w:fldChar w:fldCharType="separate"/>
            </w:r>
            <w:r>
              <w:rPr>
                <w:noProof/>
                <w:webHidden/>
              </w:rPr>
              <w:t>1</w:t>
            </w:r>
            <w:r>
              <w:rPr>
                <w:noProof/>
                <w:webHidden/>
              </w:rPr>
              <w:fldChar w:fldCharType="end"/>
            </w:r>
          </w:hyperlink>
        </w:p>
        <w:p w14:paraId="64C2283D" w14:textId="5035CCFD" w:rsidR="00B31526" w:rsidRDefault="00B31526">
          <w:pPr>
            <w:pStyle w:val="TOC3"/>
            <w:tabs>
              <w:tab w:val="right" w:leader="dot" w:pos="9350"/>
            </w:tabs>
            <w:rPr>
              <w:rFonts w:asciiTheme="minorHAnsi" w:eastAsiaTheme="minorEastAsia" w:hAnsiTheme="minorHAnsi" w:cstheme="minorBidi"/>
              <w:noProof/>
            </w:rPr>
          </w:pPr>
          <w:hyperlink w:anchor="_Toc44061507" w:history="1">
            <w:r w:rsidRPr="00EF61A2">
              <w:rPr>
                <w:rStyle w:val="Hyperlink"/>
                <w:noProof/>
              </w:rPr>
              <w:t>Stock Assessment of Georges Bank Yellowtail Flounder for 2019</w:t>
            </w:r>
            <w:r>
              <w:rPr>
                <w:noProof/>
                <w:webHidden/>
              </w:rPr>
              <w:tab/>
            </w:r>
            <w:r>
              <w:rPr>
                <w:noProof/>
                <w:webHidden/>
              </w:rPr>
              <w:fldChar w:fldCharType="begin"/>
            </w:r>
            <w:r>
              <w:rPr>
                <w:noProof/>
                <w:webHidden/>
              </w:rPr>
              <w:instrText xml:space="preserve"> PAGEREF _Toc44061507 \h </w:instrText>
            </w:r>
            <w:r>
              <w:rPr>
                <w:noProof/>
                <w:webHidden/>
              </w:rPr>
            </w:r>
            <w:r>
              <w:rPr>
                <w:noProof/>
                <w:webHidden/>
              </w:rPr>
              <w:fldChar w:fldCharType="separate"/>
            </w:r>
            <w:r>
              <w:rPr>
                <w:noProof/>
                <w:webHidden/>
              </w:rPr>
              <w:t>1</w:t>
            </w:r>
            <w:r>
              <w:rPr>
                <w:noProof/>
                <w:webHidden/>
              </w:rPr>
              <w:fldChar w:fldCharType="end"/>
            </w:r>
          </w:hyperlink>
        </w:p>
        <w:p w14:paraId="078EA2DA" w14:textId="2B4C0E27" w:rsidR="00B31526" w:rsidRDefault="00B31526">
          <w:pPr>
            <w:pStyle w:val="TOC3"/>
            <w:tabs>
              <w:tab w:val="right" w:leader="dot" w:pos="9350"/>
            </w:tabs>
            <w:rPr>
              <w:rFonts w:asciiTheme="minorHAnsi" w:eastAsiaTheme="minorEastAsia" w:hAnsiTheme="minorHAnsi" w:cstheme="minorBidi"/>
              <w:noProof/>
            </w:rPr>
          </w:pPr>
          <w:hyperlink w:anchor="_Toc44061508" w:history="1">
            <w:r w:rsidRPr="00EF61A2">
              <w:rPr>
                <w:rStyle w:val="Hyperlink"/>
                <w:noProof/>
              </w:rPr>
              <w:t>Estimates from VIMS Industry-Based Scallop Dredge Surveys</w:t>
            </w:r>
            <w:r>
              <w:rPr>
                <w:noProof/>
                <w:webHidden/>
              </w:rPr>
              <w:tab/>
            </w:r>
            <w:r>
              <w:rPr>
                <w:noProof/>
                <w:webHidden/>
              </w:rPr>
              <w:fldChar w:fldCharType="begin"/>
            </w:r>
            <w:r>
              <w:rPr>
                <w:noProof/>
                <w:webHidden/>
              </w:rPr>
              <w:instrText xml:space="preserve"> PAGEREF _Toc44061508 \h </w:instrText>
            </w:r>
            <w:r>
              <w:rPr>
                <w:noProof/>
                <w:webHidden/>
              </w:rPr>
            </w:r>
            <w:r>
              <w:rPr>
                <w:noProof/>
                <w:webHidden/>
              </w:rPr>
              <w:fldChar w:fldCharType="separate"/>
            </w:r>
            <w:r>
              <w:rPr>
                <w:noProof/>
                <w:webHidden/>
              </w:rPr>
              <w:t>6</w:t>
            </w:r>
            <w:r>
              <w:rPr>
                <w:noProof/>
                <w:webHidden/>
              </w:rPr>
              <w:fldChar w:fldCharType="end"/>
            </w:r>
          </w:hyperlink>
        </w:p>
        <w:p w14:paraId="060A2DE3" w14:textId="12C023DF" w:rsidR="00B31526" w:rsidRDefault="00B31526">
          <w:pPr>
            <w:pStyle w:val="TOC2"/>
            <w:tabs>
              <w:tab w:val="right" w:leader="dot" w:pos="9350"/>
            </w:tabs>
            <w:rPr>
              <w:rFonts w:asciiTheme="minorHAnsi" w:eastAsiaTheme="minorEastAsia" w:hAnsiTheme="minorHAnsi" w:cstheme="minorBidi"/>
              <w:caps w:val="0"/>
              <w:noProof/>
              <w:szCs w:val="22"/>
            </w:rPr>
          </w:pPr>
          <w:hyperlink w:anchor="_Toc44061509" w:history="1">
            <w:r w:rsidRPr="00EF61A2">
              <w:rPr>
                <w:rStyle w:val="Hyperlink"/>
                <w:noProof/>
              </w:rPr>
              <w:t>EASTERN GEORGES BANK HADDOCK</w:t>
            </w:r>
            <w:r>
              <w:rPr>
                <w:noProof/>
                <w:webHidden/>
              </w:rPr>
              <w:tab/>
            </w:r>
            <w:r>
              <w:rPr>
                <w:noProof/>
                <w:webHidden/>
              </w:rPr>
              <w:fldChar w:fldCharType="begin"/>
            </w:r>
            <w:r>
              <w:rPr>
                <w:noProof/>
                <w:webHidden/>
              </w:rPr>
              <w:instrText xml:space="preserve"> PAGEREF _Toc44061509 \h </w:instrText>
            </w:r>
            <w:r>
              <w:rPr>
                <w:noProof/>
                <w:webHidden/>
              </w:rPr>
            </w:r>
            <w:r>
              <w:rPr>
                <w:noProof/>
                <w:webHidden/>
              </w:rPr>
              <w:fldChar w:fldCharType="separate"/>
            </w:r>
            <w:r>
              <w:rPr>
                <w:noProof/>
                <w:webHidden/>
              </w:rPr>
              <w:t>7</w:t>
            </w:r>
            <w:r>
              <w:rPr>
                <w:noProof/>
                <w:webHidden/>
              </w:rPr>
              <w:fldChar w:fldCharType="end"/>
            </w:r>
          </w:hyperlink>
        </w:p>
        <w:p w14:paraId="4F8F02C7" w14:textId="0B98723E" w:rsidR="00B31526" w:rsidRDefault="00B31526">
          <w:pPr>
            <w:pStyle w:val="TOC3"/>
            <w:tabs>
              <w:tab w:val="right" w:leader="dot" w:pos="9350"/>
            </w:tabs>
            <w:rPr>
              <w:rFonts w:asciiTheme="minorHAnsi" w:eastAsiaTheme="minorEastAsia" w:hAnsiTheme="minorHAnsi" w:cstheme="minorBidi"/>
              <w:noProof/>
            </w:rPr>
          </w:pPr>
          <w:hyperlink w:anchor="_Toc44061510" w:history="1">
            <w:r w:rsidRPr="00EF61A2">
              <w:rPr>
                <w:rStyle w:val="Hyperlink"/>
                <w:noProof/>
              </w:rPr>
              <w:t>Assessment of Haddock on Eastern Georges Bank for 2019</w:t>
            </w:r>
            <w:r>
              <w:rPr>
                <w:noProof/>
                <w:webHidden/>
              </w:rPr>
              <w:tab/>
            </w:r>
            <w:r>
              <w:rPr>
                <w:noProof/>
                <w:webHidden/>
              </w:rPr>
              <w:fldChar w:fldCharType="begin"/>
            </w:r>
            <w:r>
              <w:rPr>
                <w:noProof/>
                <w:webHidden/>
              </w:rPr>
              <w:instrText xml:space="preserve"> PAGEREF _Toc44061510 \h </w:instrText>
            </w:r>
            <w:r>
              <w:rPr>
                <w:noProof/>
                <w:webHidden/>
              </w:rPr>
            </w:r>
            <w:r>
              <w:rPr>
                <w:noProof/>
                <w:webHidden/>
              </w:rPr>
              <w:fldChar w:fldCharType="separate"/>
            </w:r>
            <w:r>
              <w:rPr>
                <w:noProof/>
                <w:webHidden/>
              </w:rPr>
              <w:t>7</w:t>
            </w:r>
            <w:r>
              <w:rPr>
                <w:noProof/>
                <w:webHidden/>
              </w:rPr>
              <w:fldChar w:fldCharType="end"/>
            </w:r>
          </w:hyperlink>
        </w:p>
        <w:p w14:paraId="3C6A77AA" w14:textId="2EACF62A" w:rsidR="00B31526" w:rsidRDefault="00B31526">
          <w:pPr>
            <w:pStyle w:val="TOC3"/>
            <w:tabs>
              <w:tab w:val="right" w:leader="dot" w:pos="9350"/>
            </w:tabs>
            <w:rPr>
              <w:rFonts w:asciiTheme="minorHAnsi" w:eastAsiaTheme="minorEastAsia" w:hAnsiTheme="minorHAnsi" w:cstheme="minorBidi"/>
              <w:noProof/>
            </w:rPr>
          </w:pPr>
          <w:hyperlink w:anchor="_Toc44061511" w:history="1">
            <w:r w:rsidRPr="00EF61A2">
              <w:rPr>
                <w:rStyle w:val="Hyperlink"/>
                <w:noProof/>
              </w:rPr>
              <w:t>Haddock Somatic Growth Changes on Eastern Georges Bank</w:t>
            </w:r>
            <w:r>
              <w:rPr>
                <w:noProof/>
                <w:webHidden/>
              </w:rPr>
              <w:tab/>
            </w:r>
            <w:r>
              <w:rPr>
                <w:noProof/>
                <w:webHidden/>
              </w:rPr>
              <w:fldChar w:fldCharType="begin"/>
            </w:r>
            <w:r>
              <w:rPr>
                <w:noProof/>
                <w:webHidden/>
              </w:rPr>
              <w:instrText xml:space="preserve"> PAGEREF _Toc44061511 \h </w:instrText>
            </w:r>
            <w:r>
              <w:rPr>
                <w:noProof/>
                <w:webHidden/>
              </w:rPr>
            </w:r>
            <w:r>
              <w:rPr>
                <w:noProof/>
                <w:webHidden/>
              </w:rPr>
              <w:fldChar w:fldCharType="separate"/>
            </w:r>
            <w:r>
              <w:rPr>
                <w:noProof/>
                <w:webHidden/>
              </w:rPr>
              <w:t>11</w:t>
            </w:r>
            <w:r>
              <w:rPr>
                <w:noProof/>
                <w:webHidden/>
              </w:rPr>
              <w:fldChar w:fldCharType="end"/>
            </w:r>
          </w:hyperlink>
        </w:p>
        <w:p w14:paraId="5B7D99C3" w14:textId="25CFA131" w:rsidR="00B31526" w:rsidRDefault="00B31526">
          <w:pPr>
            <w:pStyle w:val="TOC2"/>
            <w:tabs>
              <w:tab w:val="right" w:leader="dot" w:pos="9350"/>
            </w:tabs>
            <w:rPr>
              <w:rFonts w:asciiTheme="minorHAnsi" w:eastAsiaTheme="minorEastAsia" w:hAnsiTheme="minorHAnsi" w:cstheme="minorBidi"/>
              <w:caps w:val="0"/>
              <w:noProof/>
              <w:szCs w:val="22"/>
            </w:rPr>
          </w:pPr>
          <w:hyperlink w:anchor="_Toc44061512" w:history="1">
            <w:r w:rsidRPr="00EF61A2">
              <w:rPr>
                <w:rStyle w:val="Hyperlink"/>
                <w:noProof/>
              </w:rPr>
              <w:t>ALLOCATION SHARES</w:t>
            </w:r>
            <w:r>
              <w:rPr>
                <w:noProof/>
                <w:webHidden/>
              </w:rPr>
              <w:tab/>
            </w:r>
            <w:r>
              <w:rPr>
                <w:noProof/>
                <w:webHidden/>
              </w:rPr>
              <w:fldChar w:fldCharType="begin"/>
            </w:r>
            <w:r>
              <w:rPr>
                <w:noProof/>
                <w:webHidden/>
              </w:rPr>
              <w:instrText xml:space="preserve"> PAGEREF _Toc44061512 \h </w:instrText>
            </w:r>
            <w:r>
              <w:rPr>
                <w:noProof/>
                <w:webHidden/>
              </w:rPr>
            </w:r>
            <w:r>
              <w:rPr>
                <w:noProof/>
                <w:webHidden/>
              </w:rPr>
              <w:fldChar w:fldCharType="separate"/>
            </w:r>
            <w:r>
              <w:rPr>
                <w:noProof/>
                <w:webHidden/>
              </w:rPr>
              <w:t>12</w:t>
            </w:r>
            <w:r>
              <w:rPr>
                <w:noProof/>
                <w:webHidden/>
              </w:rPr>
              <w:fldChar w:fldCharType="end"/>
            </w:r>
          </w:hyperlink>
        </w:p>
        <w:p w14:paraId="7C80A1FB" w14:textId="0A28DE58" w:rsidR="00B31526" w:rsidRDefault="00B31526">
          <w:pPr>
            <w:pStyle w:val="TOC2"/>
            <w:tabs>
              <w:tab w:val="right" w:leader="dot" w:pos="9350"/>
            </w:tabs>
            <w:rPr>
              <w:rFonts w:asciiTheme="minorHAnsi" w:eastAsiaTheme="minorEastAsia" w:hAnsiTheme="minorHAnsi" w:cstheme="minorBidi"/>
              <w:caps w:val="0"/>
              <w:noProof/>
              <w:szCs w:val="22"/>
            </w:rPr>
          </w:pPr>
          <w:hyperlink w:anchor="_Toc44061513" w:history="1">
            <w:r w:rsidRPr="00EF61A2">
              <w:rPr>
                <w:rStyle w:val="Hyperlink"/>
                <w:noProof/>
              </w:rPr>
              <w:t>EASTERN GEORGES BANK HADDOCK ASSESSMENT HOMEWORK</w:t>
            </w:r>
            <w:r>
              <w:rPr>
                <w:noProof/>
                <w:webHidden/>
              </w:rPr>
              <w:tab/>
            </w:r>
            <w:r>
              <w:rPr>
                <w:noProof/>
                <w:webHidden/>
              </w:rPr>
              <w:fldChar w:fldCharType="begin"/>
            </w:r>
            <w:r>
              <w:rPr>
                <w:noProof/>
                <w:webHidden/>
              </w:rPr>
              <w:instrText xml:space="preserve"> PAGEREF _Toc44061513 \h </w:instrText>
            </w:r>
            <w:r>
              <w:rPr>
                <w:noProof/>
                <w:webHidden/>
              </w:rPr>
            </w:r>
            <w:r>
              <w:rPr>
                <w:noProof/>
                <w:webHidden/>
              </w:rPr>
              <w:fldChar w:fldCharType="separate"/>
            </w:r>
            <w:r>
              <w:rPr>
                <w:noProof/>
                <w:webHidden/>
              </w:rPr>
              <w:t>13</w:t>
            </w:r>
            <w:r>
              <w:rPr>
                <w:noProof/>
                <w:webHidden/>
              </w:rPr>
              <w:fldChar w:fldCharType="end"/>
            </w:r>
          </w:hyperlink>
        </w:p>
        <w:p w14:paraId="6DD319B6" w14:textId="2264A8CE" w:rsidR="00B31526" w:rsidRDefault="00B31526">
          <w:pPr>
            <w:pStyle w:val="TOC2"/>
            <w:tabs>
              <w:tab w:val="right" w:leader="dot" w:pos="9350"/>
            </w:tabs>
            <w:rPr>
              <w:rFonts w:asciiTheme="minorHAnsi" w:eastAsiaTheme="minorEastAsia" w:hAnsiTheme="minorHAnsi" w:cstheme="minorBidi"/>
              <w:caps w:val="0"/>
              <w:noProof/>
              <w:szCs w:val="22"/>
            </w:rPr>
          </w:pPr>
          <w:hyperlink w:anchor="_Toc44061514" w:history="1">
            <w:r w:rsidRPr="00EF61A2">
              <w:rPr>
                <w:rStyle w:val="Hyperlink"/>
                <w:noProof/>
              </w:rPr>
              <w:t>SPATIO-TEMPORAL CHANGES IN ENCOUNTER PROBABILITY OF COD AND YELLOWTAIL ON GEORGES BANK</w:t>
            </w:r>
            <w:r>
              <w:rPr>
                <w:noProof/>
                <w:webHidden/>
              </w:rPr>
              <w:tab/>
            </w:r>
            <w:r>
              <w:rPr>
                <w:noProof/>
                <w:webHidden/>
              </w:rPr>
              <w:fldChar w:fldCharType="begin"/>
            </w:r>
            <w:r>
              <w:rPr>
                <w:noProof/>
                <w:webHidden/>
              </w:rPr>
              <w:instrText xml:space="preserve"> PAGEREF _Toc44061514 \h </w:instrText>
            </w:r>
            <w:r>
              <w:rPr>
                <w:noProof/>
                <w:webHidden/>
              </w:rPr>
            </w:r>
            <w:r>
              <w:rPr>
                <w:noProof/>
                <w:webHidden/>
              </w:rPr>
              <w:fldChar w:fldCharType="separate"/>
            </w:r>
            <w:r>
              <w:rPr>
                <w:noProof/>
                <w:webHidden/>
              </w:rPr>
              <w:t>14</w:t>
            </w:r>
            <w:r>
              <w:rPr>
                <w:noProof/>
                <w:webHidden/>
              </w:rPr>
              <w:fldChar w:fldCharType="end"/>
            </w:r>
          </w:hyperlink>
        </w:p>
        <w:p w14:paraId="568E3AF3" w14:textId="79300556" w:rsidR="00B31526" w:rsidRDefault="00B31526">
          <w:pPr>
            <w:pStyle w:val="TOC2"/>
            <w:tabs>
              <w:tab w:val="right" w:leader="dot" w:pos="9350"/>
            </w:tabs>
            <w:rPr>
              <w:rFonts w:asciiTheme="minorHAnsi" w:eastAsiaTheme="minorEastAsia" w:hAnsiTheme="minorHAnsi" w:cstheme="minorBidi"/>
              <w:caps w:val="0"/>
              <w:noProof/>
              <w:szCs w:val="22"/>
            </w:rPr>
          </w:pPr>
          <w:hyperlink w:anchor="_Toc44061515" w:history="1">
            <w:r w:rsidRPr="00EF61A2">
              <w:rPr>
                <w:rStyle w:val="Hyperlink"/>
                <w:noProof/>
                <w:lang w:eastAsia="en-CA"/>
              </w:rPr>
              <w:t>PROGRESS OF THE ATLANTIC COD STOCK STRUCTURE WORKING GROUP</w:t>
            </w:r>
            <w:r>
              <w:rPr>
                <w:noProof/>
                <w:webHidden/>
              </w:rPr>
              <w:tab/>
            </w:r>
            <w:r>
              <w:rPr>
                <w:noProof/>
                <w:webHidden/>
              </w:rPr>
              <w:fldChar w:fldCharType="begin"/>
            </w:r>
            <w:r>
              <w:rPr>
                <w:noProof/>
                <w:webHidden/>
              </w:rPr>
              <w:instrText xml:space="preserve"> PAGEREF _Toc44061515 \h </w:instrText>
            </w:r>
            <w:r>
              <w:rPr>
                <w:noProof/>
                <w:webHidden/>
              </w:rPr>
            </w:r>
            <w:r>
              <w:rPr>
                <w:noProof/>
                <w:webHidden/>
              </w:rPr>
              <w:fldChar w:fldCharType="separate"/>
            </w:r>
            <w:r>
              <w:rPr>
                <w:noProof/>
                <w:webHidden/>
              </w:rPr>
              <w:t>15</w:t>
            </w:r>
            <w:r>
              <w:rPr>
                <w:noProof/>
                <w:webHidden/>
              </w:rPr>
              <w:fldChar w:fldCharType="end"/>
            </w:r>
          </w:hyperlink>
        </w:p>
        <w:p w14:paraId="29786268" w14:textId="72795016" w:rsidR="00B31526" w:rsidRDefault="00B31526">
          <w:pPr>
            <w:pStyle w:val="TOC2"/>
            <w:tabs>
              <w:tab w:val="right" w:leader="dot" w:pos="9350"/>
            </w:tabs>
            <w:rPr>
              <w:rFonts w:asciiTheme="minorHAnsi" w:eastAsiaTheme="minorEastAsia" w:hAnsiTheme="minorHAnsi" w:cstheme="minorBidi"/>
              <w:caps w:val="0"/>
              <w:noProof/>
              <w:szCs w:val="22"/>
            </w:rPr>
          </w:pPr>
          <w:hyperlink w:anchor="_Toc44061516" w:history="1">
            <w:r w:rsidRPr="00EF61A2">
              <w:rPr>
                <w:rStyle w:val="Hyperlink"/>
                <w:noProof/>
              </w:rPr>
              <w:t>EASTERN GEORGES BANK COD</w:t>
            </w:r>
            <w:r>
              <w:rPr>
                <w:noProof/>
                <w:webHidden/>
              </w:rPr>
              <w:tab/>
            </w:r>
            <w:r>
              <w:rPr>
                <w:noProof/>
                <w:webHidden/>
              </w:rPr>
              <w:fldChar w:fldCharType="begin"/>
            </w:r>
            <w:r>
              <w:rPr>
                <w:noProof/>
                <w:webHidden/>
              </w:rPr>
              <w:instrText xml:space="preserve"> PAGEREF _Toc44061516 \h </w:instrText>
            </w:r>
            <w:r>
              <w:rPr>
                <w:noProof/>
                <w:webHidden/>
              </w:rPr>
            </w:r>
            <w:r>
              <w:rPr>
                <w:noProof/>
                <w:webHidden/>
              </w:rPr>
              <w:fldChar w:fldCharType="separate"/>
            </w:r>
            <w:r>
              <w:rPr>
                <w:noProof/>
                <w:webHidden/>
              </w:rPr>
              <w:t>16</w:t>
            </w:r>
            <w:r>
              <w:rPr>
                <w:noProof/>
                <w:webHidden/>
              </w:rPr>
              <w:fldChar w:fldCharType="end"/>
            </w:r>
          </w:hyperlink>
        </w:p>
        <w:p w14:paraId="0A63F95D" w14:textId="05795748" w:rsidR="00B31526" w:rsidRDefault="00B31526">
          <w:pPr>
            <w:pStyle w:val="TOC3"/>
            <w:tabs>
              <w:tab w:val="right" w:leader="dot" w:pos="9350"/>
            </w:tabs>
            <w:rPr>
              <w:rFonts w:asciiTheme="minorHAnsi" w:eastAsiaTheme="minorEastAsia" w:hAnsiTheme="minorHAnsi" w:cstheme="minorBidi"/>
              <w:noProof/>
            </w:rPr>
          </w:pPr>
          <w:hyperlink w:anchor="_Toc44061517" w:history="1">
            <w:r w:rsidRPr="00EF61A2">
              <w:rPr>
                <w:rStyle w:val="Hyperlink"/>
                <w:noProof/>
              </w:rPr>
              <w:t>Data Update for Eastern Georges Bank Cod in 2019</w:t>
            </w:r>
            <w:r>
              <w:rPr>
                <w:noProof/>
                <w:webHidden/>
              </w:rPr>
              <w:tab/>
            </w:r>
            <w:r>
              <w:rPr>
                <w:noProof/>
                <w:webHidden/>
              </w:rPr>
              <w:fldChar w:fldCharType="begin"/>
            </w:r>
            <w:r>
              <w:rPr>
                <w:noProof/>
                <w:webHidden/>
              </w:rPr>
              <w:instrText xml:space="preserve"> PAGEREF _Toc44061517 \h </w:instrText>
            </w:r>
            <w:r>
              <w:rPr>
                <w:noProof/>
                <w:webHidden/>
              </w:rPr>
            </w:r>
            <w:r>
              <w:rPr>
                <w:noProof/>
                <w:webHidden/>
              </w:rPr>
              <w:fldChar w:fldCharType="separate"/>
            </w:r>
            <w:r>
              <w:rPr>
                <w:noProof/>
                <w:webHidden/>
              </w:rPr>
              <w:t>16</w:t>
            </w:r>
            <w:r>
              <w:rPr>
                <w:noProof/>
                <w:webHidden/>
              </w:rPr>
              <w:fldChar w:fldCharType="end"/>
            </w:r>
          </w:hyperlink>
        </w:p>
        <w:p w14:paraId="38622680" w14:textId="3C6ACE8B" w:rsidR="00B31526" w:rsidRDefault="00B31526">
          <w:pPr>
            <w:pStyle w:val="TOC3"/>
            <w:tabs>
              <w:tab w:val="right" w:leader="dot" w:pos="9350"/>
            </w:tabs>
            <w:rPr>
              <w:rFonts w:asciiTheme="minorHAnsi" w:eastAsiaTheme="minorEastAsia" w:hAnsiTheme="minorHAnsi" w:cstheme="minorBidi"/>
              <w:noProof/>
            </w:rPr>
          </w:pPr>
          <w:hyperlink w:anchor="_Toc44061518" w:history="1">
            <w:r w:rsidRPr="00EF61A2">
              <w:rPr>
                <w:rStyle w:val="Hyperlink"/>
                <w:noProof/>
              </w:rPr>
              <w:t>Alternative Methodologies for Providing Interim Catch Advice for Eastern Georges Bank Cod</w:t>
            </w:r>
            <w:r>
              <w:rPr>
                <w:noProof/>
                <w:webHidden/>
              </w:rPr>
              <w:tab/>
            </w:r>
            <w:r>
              <w:rPr>
                <w:noProof/>
                <w:webHidden/>
              </w:rPr>
              <w:fldChar w:fldCharType="begin"/>
            </w:r>
            <w:r>
              <w:rPr>
                <w:noProof/>
                <w:webHidden/>
              </w:rPr>
              <w:instrText xml:space="preserve"> PAGEREF _Toc44061518 \h </w:instrText>
            </w:r>
            <w:r>
              <w:rPr>
                <w:noProof/>
                <w:webHidden/>
              </w:rPr>
            </w:r>
            <w:r>
              <w:rPr>
                <w:noProof/>
                <w:webHidden/>
              </w:rPr>
              <w:fldChar w:fldCharType="separate"/>
            </w:r>
            <w:r>
              <w:rPr>
                <w:noProof/>
                <w:webHidden/>
              </w:rPr>
              <w:t>17</w:t>
            </w:r>
            <w:r>
              <w:rPr>
                <w:noProof/>
                <w:webHidden/>
              </w:rPr>
              <w:fldChar w:fldCharType="end"/>
            </w:r>
          </w:hyperlink>
        </w:p>
        <w:p w14:paraId="286BBB71" w14:textId="4D953FBF" w:rsidR="00B31526" w:rsidRDefault="00B31526">
          <w:pPr>
            <w:pStyle w:val="TOC3"/>
            <w:tabs>
              <w:tab w:val="right" w:leader="dot" w:pos="9350"/>
            </w:tabs>
            <w:rPr>
              <w:rFonts w:asciiTheme="minorHAnsi" w:eastAsiaTheme="minorEastAsia" w:hAnsiTheme="minorHAnsi" w:cstheme="minorBidi"/>
              <w:noProof/>
            </w:rPr>
          </w:pPr>
          <w:hyperlink w:anchor="_Toc44061519" w:history="1">
            <w:r w:rsidRPr="00EF61A2">
              <w:rPr>
                <w:rStyle w:val="Hyperlink"/>
                <w:noProof/>
              </w:rPr>
              <w:t>Summary of Conclusions for Cod</w:t>
            </w:r>
            <w:r>
              <w:rPr>
                <w:noProof/>
                <w:webHidden/>
              </w:rPr>
              <w:tab/>
            </w:r>
            <w:r>
              <w:rPr>
                <w:noProof/>
                <w:webHidden/>
              </w:rPr>
              <w:fldChar w:fldCharType="begin"/>
            </w:r>
            <w:r>
              <w:rPr>
                <w:noProof/>
                <w:webHidden/>
              </w:rPr>
              <w:instrText xml:space="preserve"> PAGEREF _Toc44061519 \h </w:instrText>
            </w:r>
            <w:r>
              <w:rPr>
                <w:noProof/>
                <w:webHidden/>
              </w:rPr>
            </w:r>
            <w:r>
              <w:rPr>
                <w:noProof/>
                <w:webHidden/>
              </w:rPr>
              <w:fldChar w:fldCharType="separate"/>
            </w:r>
            <w:r>
              <w:rPr>
                <w:noProof/>
                <w:webHidden/>
              </w:rPr>
              <w:t>19</w:t>
            </w:r>
            <w:r>
              <w:rPr>
                <w:noProof/>
                <w:webHidden/>
              </w:rPr>
              <w:fldChar w:fldCharType="end"/>
            </w:r>
          </w:hyperlink>
        </w:p>
        <w:p w14:paraId="4802A7B5" w14:textId="0D5D468A" w:rsidR="00B31526" w:rsidRDefault="00B31526">
          <w:pPr>
            <w:pStyle w:val="TOC2"/>
            <w:tabs>
              <w:tab w:val="right" w:leader="dot" w:pos="9350"/>
            </w:tabs>
            <w:rPr>
              <w:rFonts w:asciiTheme="minorHAnsi" w:eastAsiaTheme="minorEastAsia" w:hAnsiTheme="minorHAnsi" w:cstheme="minorBidi"/>
              <w:caps w:val="0"/>
              <w:noProof/>
              <w:szCs w:val="22"/>
            </w:rPr>
          </w:pPr>
          <w:hyperlink w:anchor="_Toc44061520" w:history="1">
            <w:r w:rsidRPr="00EF61A2">
              <w:rPr>
                <w:rStyle w:val="Hyperlink"/>
                <w:noProof/>
              </w:rPr>
              <w:t>DRAFT TERMS OF REFERENCE FOR 2020</w:t>
            </w:r>
            <w:r>
              <w:rPr>
                <w:noProof/>
                <w:webHidden/>
              </w:rPr>
              <w:tab/>
            </w:r>
            <w:r>
              <w:rPr>
                <w:noProof/>
                <w:webHidden/>
              </w:rPr>
              <w:fldChar w:fldCharType="begin"/>
            </w:r>
            <w:r>
              <w:rPr>
                <w:noProof/>
                <w:webHidden/>
              </w:rPr>
              <w:instrText xml:space="preserve"> PAGEREF _Toc44061520 \h </w:instrText>
            </w:r>
            <w:r>
              <w:rPr>
                <w:noProof/>
                <w:webHidden/>
              </w:rPr>
            </w:r>
            <w:r>
              <w:rPr>
                <w:noProof/>
                <w:webHidden/>
              </w:rPr>
              <w:fldChar w:fldCharType="separate"/>
            </w:r>
            <w:r>
              <w:rPr>
                <w:noProof/>
                <w:webHidden/>
              </w:rPr>
              <w:t>20</w:t>
            </w:r>
            <w:r>
              <w:rPr>
                <w:noProof/>
                <w:webHidden/>
              </w:rPr>
              <w:fldChar w:fldCharType="end"/>
            </w:r>
          </w:hyperlink>
        </w:p>
        <w:p w14:paraId="28E89370" w14:textId="366B5802" w:rsidR="00B31526" w:rsidRDefault="00B31526">
          <w:pPr>
            <w:pStyle w:val="TOC2"/>
            <w:tabs>
              <w:tab w:val="right" w:leader="dot" w:pos="9350"/>
            </w:tabs>
            <w:rPr>
              <w:rFonts w:asciiTheme="minorHAnsi" w:eastAsiaTheme="minorEastAsia" w:hAnsiTheme="minorHAnsi" w:cstheme="minorBidi"/>
              <w:caps w:val="0"/>
              <w:noProof/>
              <w:szCs w:val="22"/>
            </w:rPr>
          </w:pPr>
          <w:hyperlink w:anchor="_Toc44061521" w:history="1">
            <w:r w:rsidRPr="00EF61A2">
              <w:rPr>
                <w:rStyle w:val="Hyperlink"/>
                <w:noProof/>
              </w:rPr>
              <w:t>CONCLUSIONS</w:t>
            </w:r>
            <w:r>
              <w:rPr>
                <w:noProof/>
                <w:webHidden/>
              </w:rPr>
              <w:tab/>
            </w:r>
            <w:r>
              <w:rPr>
                <w:noProof/>
                <w:webHidden/>
              </w:rPr>
              <w:fldChar w:fldCharType="begin"/>
            </w:r>
            <w:r>
              <w:rPr>
                <w:noProof/>
                <w:webHidden/>
              </w:rPr>
              <w:instrText xml:space="preserve"> PAGEREF _Toc44061521 \h </w:instrText>
            </w:r>
            <w:r>
              <w:rPr>
                <w:noProof/>
                <w:webHidden/>
              </w:rPr>
            </w:r>
            <w:r>
              <w:rPr>
                <w:noProof/>
                <w:webHidden/>
              </w:rPr>
              <w:fldChar w:fldCharType="separate"/>
            </w:r>
            <w:r>
              <w:rPr>
                <w:noProof/>
                <w:webHidden/>
              </w:rPr>
              <w:t>20</w:t>
            </w:r>
            <w:r>
              <w:rPr>
                <w:noProof/>
                <w:webHidden/>
              </w:rPr>
              <w:fldChar w:fldCharType="end"/>
            </w:r>
          </w:hyperlink>
        </w:p>
        <w:p w14:paraId="7D6CEA81" w14:textId="1D5FF167" w:rsidR="00B31526" w:rsidRDefault="00B31526">
          <w:pPr>
            <w:pStyle w:val="TOC1"/>
            <w:rPr>
              <w:rFonts w:asciiTheme="minorHAnsi" w:eastAsiaTheme="minorEastAsia" w:hAnsiTheme="minorHAnsi" w:cstheme="minorBidi"/>
              <w:caps w:val="0"/>
              <w:noProof/>
              <w:szCs w:val="22"/>
            </w:rPr>
          </w:pPr>
          <w:hyperlink w:anchor="_Toc44061522" w:history="1">
            <w:r w:rsidRPr="00EF61A2">
              <w:rPr>
                <w:rStyle w:val="Hyperlink"/>
                <w:noProof/>
              </w:rPr>
              <w:t>REFERENCES CITED</w:t>
            </w:r>
            <w:r>
              <w:rPr>
                <w:noProof/>
                <w:webHidden/>
              </w:rPr>
              <w:tab/>
            </w:r>
            <w:r>
              <w:rPr>
                <w:noProof/>
                <w:webHidden/>
              </w:rPr>
              <w:fldChar w:fldCharType="begin"/>
            </w:r>
            <w:r>
              <w:rPr>
                <w:noProof/>
                <w:webHidden/>
              </w:rPr>
              <w:instrText xml:space="preserve"> PAGEREF _Toc44061522 \h </w:instrText>
            </w:r>
            <w:r>
              <w:rPr>
                <w:noProof/>
                <w:webHidden/>
              </w:rPr>
            </w:r>
            <w:r>
              <w:rPr>
                <w:noProof/>
                <w:webHidden/>
              </w:rPr>
              <w:fldChar w:fldCharType="separate"/>
            </w:r>
            <w:r>
              <w:rPr>
                <w:noProof/>
                <w:webHidden/>
              </w:rPr>
              <w:t>20</w:t>
            </w:r>
            <w:r>
              <w:rPr>
                <w:noProof/>
                <w:webHidden/>
              </w:rPr>
              <w:fldChar w:fldCharType="end"/>
            </w:r>
          </w:hyperlink>
        </w:p>
        <w:p w14:paraId="566D4741" w14:textId="6AC86921" w:rsidR="00B31526" w:rsidRDefault="00B31526">
          <w:pPr>
            <w:pStyle w:val="TOC1"/>
            <w:rPr>
              <w:rFonts w:asciiTheme="minorHAnsi" w:eastAsiaTheme="minorEastAsia" w:hAnsiTheme="minorHAnsi" w:cstheme="minorBidi"/>
              <w:caps w:val="0"/>
              <w:noProof/>
              <w:szCs w:val="22"/>
            </w:rPr>
          </w:pPr>
          <w:hyperlink w:anchor="_Toc44061523" w:history="1">
            <w:r w:rsidRPr="00EF61A2">
              <w:rPr>
                <w:rStyle w:val="Hyperlink"/>
                <w:noProof/>
              </w:rPr>
              <w:t>APPENDICES</w:t>
            </w:r>
            <w:r>
              <w:rPr>
                <w:noProof/>
                <w:webHidden/>
              </w:rPr>
              <w:tab/>
            </w:r>
            <w:r>
              <w:rPr>
                <w:noProof/>
                <w:webHidden/>
              </w:rPr>
              <w:fldChar w:fldCharType="begin"/>
            </w:r>
            <w:r>
              <w:rPr>
                <w:noProof/>
                <w:webHidden/>
              </w:rPr>
              <w:instrText xml:space="preserve"> PAGEREF _Toc44061523 \h </w:instrText>
            </w:r>
            <w:r>
              <w:rPr>
                <w:noProof/>
                <w:webHidden/>
              </w:rPr>
            </w:r>
            <w:r>
              <w:rPr>
                <w:noProof/>
                <w:webHidden/>
              </w:rPr>
              <w:fldChar w:fldCharType="separate"/>
            </w:r>
            <w:r>
              <w:rPr>
                <w:noProof/>
                <w:webHidden/>
              </w:rPr>
              <w:t>21</w:t>
            </w:r>
            <w:r>
              <w:rPr>
                <w:noProof/>
                <w:webHidden/>
              </w:rPr>
              <w:fldChar w:fldCharType="end"/>
            </w:r>
          </w:hyperlink>
        </w:p>
        <w:p w14:paraId="39537423" w14:textId="144F01CD" w:rsidR="00B31526" w:rsidRDefault="00B31526">
          <w:pPr>
            <w:pStyle w:val="TOC2"/>
            <w:tabs>
              <w:tab w:val="right" w:leader="dot" w:pos="9350"/>
            </w:tabs>
            <w:rPr>
              <w:rFonts w:asciiTheme="minorHAnsi" w:eastAsiaTheme="minorEastAsia" w:hAnsiTheme="minorHAnsi" w:cstheme="minorBidi"/>
              <w:caps w:val="0"/>
              <w:noProof/>
              <w:szCs w:val="22"/>
            </w:rPr>
          </w:pPr>
          <w:hyperlink w:anchor="_Toc44061524" w:history="1">
            <w:r w:rsidRPr="00EF61A2">
              <w:rPr>
                <w:rStyle w:val="Hyperlink"/>
                <w:noProof/>
              </w:rPr>
              <w:t>APPENDIX I. LIST OF MEETING PARTICIPANTS</w:t>
            </w:r>
            <w:r>
              <w:rPr>
                <w:noProof/>
                <w:webHidden/>
              </w:rPr>
              <w:tab/>
            </w:r>
            <w:r>
              <w:rPr>
                <w:noProof/>
                <w:webHidden/>
              </w:rPr>
              <w:fldChar w:fldCharType="begin"/>
            </w:r>
            <w:r>
              <w:rPr>
                <w:noProof/>
                <w:webHidden/>
              </w:rPr>
              <w:instrText xml:space="preserve"> PAGEREF _Toc44061524 \h </w:instrText>
            </w:r>
            <w:r>
              <w:rPr>
                <w:noProof/>
                <w:webHidden/>
              </w:rPr>
            </w:r>
            <w:r>
              <w:rPr>
                <w:noProof/>
                <w:webHidden/>
              </w:rPr>
              <w:fldChar w:fldCharType="separate"/>
            </w:r>
            <w:r>
              <w:rPr>
                <w:noProof/>
                <w:webHidden/>
              </w:rPr>
              <w:t>21</w:t>
            </w:r>
            <w:r>
              <w:rPr>
                <w:noProof/>
                <w:webHidden/>
              </w:rPr>
              <w:fldChar w:fldCharType="end"/>
            </w:r>
          </w:hyperlink>
        </w:p>
        <w:p w14:paraId="519B2F4A" w14:textId="050CF2FD" w:rsidR="00B31526" w:rsidRDefault="00B31526">
          <w:pPr>
            <w:pStyle w:val="TOC2"/>
            <w:tabs>
              <w:tab w:val="right" w:leader="dot" w:pos="9350"/>
            </w:tabs>
            <w:rPr>
              <w:rFonts w:asciiTheme="minorHAnsi" w:eastAsiaTheme="minorEastAsia" w:hAnsiTheme="minorHAnsi" w:cstheme="minorBidi"/>
              <w:caps w:val="0"/>
              <w:noProof/>
              <w:szCs w:val="22"/>
            </w:rPr>
          </w:pPr>
          <w:hyperlink w:anchor="_Toc44061525" w:history="1">
            <w:r w:rsidRPr="00EF61A2">
              <w:rPr>
                <w:rStyle w:val="Hyperlink"/>
                <w:noProof/>
              </w:rPr>
              <w:t>APPENDIX II. 2019 TERMS OF REFERENCE</w:t>
            </w:r>
            <w:r>
              <w:rPr>
                <w:noProof/>
                <w:webHidden/>
              </w:rPr>
              <w:tab/>
            </w:r>
            <w:r>
              <w:rPr>
                <w:noProof/>
                <w:webHidden/>
              </w:rPr>
              <w:fldChar w:fldCharType="begin"/>
            </w:r>
            <w:r>
              <w:rPr>
                <w:noProof/>
                <w:webHidden/>
              </w:rPr>
              <w:instrText xml:space="preserve"> PAGEREF _Toc44061525 \h </w:instrText>
            </w:r>
            <w:r>
              <w:rPr>
                <w:noProof/>
                <w:webHidden/>
              </w:rPr>
            </w:r>
            <w:r>
              <w:rPr>
                <w:noProof/>
                <w:webHidden/>
              </w:rPr>
              <w:fldChar w:fldCharType="separate"/>
            </w:r>
            <w:r>
              <w:rPr>
                <w:noProof/>
                <w:webHidden/>
              </w:rPr>
              <w:t>23</w:t>
            </w:r>
            <w:r>
              <w:rPr>
                <w:noProof/>
                <w:webHidden/>
              </w:rPr>
              <w:fldChar w:fldCharType="end"/>
            </w:r>
          </w:hyperlink>
        </w:p>
        <w:p w14:paraId="49721C26" w14:textId="4628776B" w:rsidR="00B31526" w:rsidRDefault="00B31526">
          <w:pPr>
            <w:pStyle w:val="TOC2"/>
            <w:tabs>
              <w:tab w:val="right" w:leader="dot" w:pos="9350"/>
            </w:tabs>
            <w:rPr>
              <w:rFonts w:asciiTheme="minorHAnsi" w:eastAsiaTheme="minorEastAsia" w:hAnsiTheme="minorHAnsi" w:cstheme="minorBidi"/>
              <w:caps w:val="0"/>
              <w:noProof/>
              <w:szCs w:val="22"/>
            </w:rPr>
          </w:pPr>
          <w:hyperlink w:anchor="_Toc44061526" w:history="1">
            <w:r w:rsidRPr="00EF61A2">
              <w:rPr>
                <w:rStyle w:val="Hyperlink"/>
                <w:noProof/>
              </w:rPr>
              <w:t>APPENDIX III. 2019 TRAC AGENDA</w:t>
            </w:r>
            <w:r>
              <w:rPr>
                <w:noProof/>
                <w:webHidden/>
              </w:rPr>
              <w:tab/>
            </w:r>
            <w:r>
              <w:rPr>
                <w:noProof/>
                <w:webHidden/>
              </w:rPr>
              <w:fldChar w:fldCharType="begin"/>
            </w:r>
            <w:r>
              <w:rPr>
                <w:noProof/>
                <w:webHidden/>
              </w:rPr>
              <w:instrText xml:space="preserve"> PAGEREF _Toc44061526 \h </w:instrText>
            </w:r>
            <w:r>
              <w:rPr>
                <w:noProof/>
                <w:webHidden/>
              </w:rPr>
            </w:r>
            <w:r>
              <w:rPr>
                <w:noProof/>
                <w:webHidden/>
              </w:rPr>
              <w:fldChar w:fldCharType="separate"/>
            </w:r>
            <w:r>
              <w:rPr>
                <w:noProof/>
                <w:webHidden/>
              </w:rPr>
              <w:t>26</w:t>
            </w:r>
            <w:r>
              <w:rPr>
                <w:noProof/>
                <w:webHidden/>
              </w:rPr>
              <w:fldChar w:fldCharType="end"/>
            </w:r>
          </w:hyperlink>
        </w:p>
        <w:p w14:paraId="243C3230" w14:textId="0799FECE" w:rsidR="00354A60" w:rsidRDefault="00354A60">
          <w:r>
            <w:rPr>
              <w:b/>
              <w:bCs/>
              <w:noProof/>
            </w:rPr>
            <w:fldChar w:fldCharType="end"/>
          </w:r>
        </w:p>
      </w:sdtContent>
    </w:sdt>
    <w:p w14:paraId="6786318D" w14:textId="77777777" w:rsidR="00354A60" w:rsidRDefault="00354A60">
      <w:pPr>
        <w:spacing w:before="0" w:after="0"/>
        <w:rPr>
          <w:b/>
          <w:bCs/>
          <w:caps/>
          <w:sz w:val="24"/>
          <w:szCs w:val="22"/>
          <w:highlight w:val="yellow"/>
        </w:rPr>
      </w:pPr>
      <w:r>
        <w:rPr>
          <w:highlight w:val="yellow"/>
        </w:rPr>
        <w:br w:type="page"/>
      </w:r>
    </w:p>
    <w:p w14:paraId="17143B7D" w14:textId="77777777" w:rsidR="00120C4A" w:rsidRPr="00606C90" w:rsidRDefault="007B2B09" w:rsidP="00606C90">
      <w:pPr>
        <w:pStyle w:val="Heading1"/>
      </w:pPr>
      <w:bookmarkStart w:id="1" w:name="_Toc44061504"/>
      <w:r w:rsidRPr="00606C90">
        <w:lastRenderedPageBreak/>
        <w:t>ABSTRACT</w:t>
      </w:r>
      <w:bookmarkEnd w:id="1"/>
    </w:p>
    <w:p w14:paraId="7E3AEFCA" w14:textId="77777777" w:rsidR="00E00F8F" w:rsidRPr="00072A36" w:rsidRDefault="007B2B09" w:rsidP="00072A36">
      <w:pPr>
        <w:pStyle w:val="BodyText"/>
      </w:pPr>
      <w:r w:rsidRPr="00072A36">
        <w:t>The Transboundary Resources Assessment</w:t>
      </w:r>
      <w:r w:rsidR="006B5D97" w:rsidRPr="00072A36">
        <w:t xml:space="preserve"> Committee (TRAC) met during 9 to </w:t>
      </w:r>
      <w:r w:rsidR="00F278C3" w:rsidRPr="00072A36">
        <w:t>1</w:t>
      </w:r>
      <w:r w:rsidR="006B5D97" w:rsidRPr="00072A36">
        <w:t>1</w:t>
      </w:r>
      <w:r w:rsidR="00F278C3" w:rsidRPr="00072A36">
        <w:t xml:space="preserve"> July </w:t>
      </w:r>
      <w:r w:rsidR="006B5D97" w:rsidRPr="00072A36">
        <w:t>2019</w:t>
      </w:r>
      <w:r w:rsidRPr="00072A36">
        <w:t xml:space="preserve"> in St. Andrews, New Brunswick, Canada, to review u</w:t>
      </w:r>
      <w:r w:rsidR="00F278C3" w:rsidRPr="00072A36">
        <w:t xml:space="preserve">pdated </w:t>
      </w:r>
      <w:r w:rsidR="006B5D97" w:rsidRPr="00072A36">
        <w:t>assessments (through 2018</w:t>
      </w:r>
      <w:r w:rsidRPr="00072A36">
        <w:t xml:space="preserve">) of Eastern Georges Bank Atlantic Cod, Eastern Georges Bank Haddock, and Georges Bank Yellowtail Flounder, and to consider a number of other related scientific issues. Results of these assessments will be used by the Transboundary Management Guidance Committee (TMGC) in developing </w:t>
      </w:r>
      <w:r w:rsidR="006B5D97" w:rsidRPr="00072A36">
        <w:t>management guidance for the 2020</w:t>
      </w:r>
      <w:r w:rsidRPr="00072A36">
        <w:t xml:space="preserve"> fishing year for these transboundary resources. </w:t>
      </w:r>
    </w:p>
    <w:p w14:paraId="6507A95D" w14:textId="7F60BCB6" w:rsidR="00E82C64" w:rsidRPr="006B2172" w:rsidRDefault="00E82C64" w:rsidP="00E82E3D">
      <w:pPr>
        <w:pStyle w:val="BodyText"/>
        <w:sectPr w:rsidR="00E82C64" w:rsidRPr="006B2172" w:rsidSect="00DA68D4">
          <w:headerReference w:type="default" r:id="rId19"/>
          <w:footerReference w:type="default" r:id="rId20"/>
          <w:pgSz w:w="12240" w:h="15840"/>
          <w:pgMar w:top="1440" w:right="1440" w:bottom="1440" w:left="1440" w:header="720" w:footer="619" w:gutter="0"/>
          <w:pgNumType w:fmt="lowerRoman" w:start="3"/>
          <w:cols w:space="720"/>
        </w:sectPr>
      </w:pPr>
    </w:p>
    <w:p w14:paraId="71F9451A" w14:textId="77777777" w:rsidR="00E5308B" w:rsidRPr="00BB64F9" w:rsidRDefault="00E5308B" w:rsidP="00606C90">
      <w:pPr>
        <w:pStyle w:val="Heading1"/>
      </w:pPr>
      <w:bookmarkStart w:id="2" w:name="_Toc436818292"/>
      <w:bookmarkStart w:id="3" w:name="_Toc44061505"/>
      <w:r w:rsidRPr="00BB64F9">
        <w:lastRenderedPageBreak/>
        <w:t>INTRODUCTION</w:t>
      </w:r>
      <w:bookmarkEnd w:id="2"/>
      <w:bookmarkEnd w:id="3"/>
    </w:p>
    <w:p w14:paraId="02DCDB01" w14:textId="41B1A694" w:rsidR="00B026C2" w:rsidRPr="00354A60" w:rsidRDefault="00B026C2" w:rsidP="00354A60">
      <w:pPr>
        <w:pStyle w:val="BodyText"/>
      </w:pPr>
      <w:bookmarkStart w:id="4" w:name="_Toc436818293"/>
      <w:r w:rsidRPr="00354A60">
        <w:t xml:space="preserve">The </w:t>
      </w:r>
      <w:r w:rsidR="002A6C58" w:rsidRPr="00354A60">
        <w:t xml:space="preserve">chair of the 2019 </w:t>
      </w:r>
      <w:r w:rsidRPr="00354A60">
        <w:t>Transboundary Resources Assessment Committee (TRAC)</w:t>
      </w:r>
      <w:r w:rsidR="002A6C58" w:rsidRPr="00354A60">
        <w:t xml:space="preserve"> meeting, Dr. John Neilson, </w:t>
      </w:r>
      <w:r w:rsidRPr="00354A60">
        <w:t>welcomed p</w:t>
      </w:r>
      <w:r w:rsidR="009A4349">
        <w:t>articipants (Appendix 1) to the</w:t>
      </w:r>
      <w:r w:rsidR="002A6C58" w:rsidRPr="00354A60">
        <w:t xml:space="preserve"> July</w:t>
      </w:r>
      <w:r w:rsidR="009A4349">
        <w:t xml:space="preserve"> 9–11</w:t>
      </w:r>
      <w:r w:rsidR="002A6C58" w:rsidRPr="00354A60">
        <w:t>, 2019</w:t>
      </w:r>
      <w:r w:rsidRPr="00354A60">
        <w:t xml:space="preserve"> TRAC assessment of Eastern Georges Bank (EGB) Atlantic Cod (</w:t>
      </w:r>
      <w:proofErr w:type="spellStart"/>
      <w:r w:rsidRPr="004E78CA">
        <w:rPr>
          <w:i/>
        </w:rPr>
        <w:t>Gadus</w:t>
      </w:r>
      <w:proofErr w:type="spellEnd"/>
      <w:r w:rsidRPr="004E78CA">
        <w:rPr>
          <w:i/>
        </w:rPr>
        <w:t xml:space="preserve"> </w:t>
      </w:r>
      <w:proofErr w:type="spellStart"/>
      <w:r w:rsidRPr="004E78CA">
        <w:rPr>
          <w:i/>
        </w:rPr>
        <w:t>morhua</w:t>
      </w:r>
      <w:proofErr w:type="spellEnd"/>
      <w:r w:rsidRPr="00354A60">
        <w:t>), EGB Haddock (</w:t>
      </w:r>
      <w:proofErr w:type="spellStart"/>
      <w:r w:rsidRPr="004E78CA">
        <w:rPr>
          <w:i/>
        </w:rPr>
        <w:t>Melanogrammus</w:t>
      </w:r>
      <w:proofErr w:type="spellEnd"/>
      <w:r w:rsidRPr="004E78CA">
        <w:rPr>
          <w:i/>
        </w:rPr>
        <w:t xml:space="preserve"> </w:t>
      </w:r>
      <w:proofErr w:type="spellStart"/>
      <w:r w:rsidRPr="004E78CA">
        <w:rPr>
          <w:i/>
        </w:rPr>
        <w:t>aeglefinus</w:t>
      </w:r>
      <w:proofErr w:type="spellEnd"/>
      <w:r w:rsidRPr="00354A60">
        <w:t>), and Georges Bank (GB) Yellowtail Flounder (</w:t>
      </w:r>
      <w:proofErr w:type="spellStart"/>
      <w:r w:rsidRPr="004E78CA">
        <w:rPr>
          <w:i/>
        </w:rPr>
        <w:t>Limanda</w:t>
      </w:r>
      <w:proofErr w:type="spellEnd"/>
      <w:r w:rsidRPr="004E78CA">
        <w:rPr>
          <w:i/>
        </w:rPr>
        <w:t xml:space="preserve"> </w:t>
      </w:r>
      <w:proofErr w:type="spellStart"/>
      <w:r w:rsidRPr="004E78CA">
        <w:rPr>
          <w:i/>
        </w:rPr>
        <w:t>ferruginea</w:t>
      </w:r>
      <w:proofErr w:type="spellEnd"/>
      <w:r w:rsidRPr="00354A60">
        <w:t xml:space="preserve">). The TRAC was established in 1998 to undertake joint Canada / United States of America (U.S.) assessments of resources on Georges Bank. </w:t>
      </w:r>
      <w:r w:rsidR="002A6C58" w:rsidRPr="00354A60">
        <w:t>The 2019</w:t>
      </w:r>
      <w:r w:rsidRPr="00354A60">
        <w:t xml:space="preserve"> TRAC Terms of Reference (T</w:t>
      </w:r>
      <w:r w:rsidR="003E0F97" w:rsidRPr="00354A60">
        <w:t>O</w:t>
      </w:r>
      <w:r w:rsidRPr="00354A60">
        <w:t>R</w:t>
      </w:r>
      <w:r w:rsidR="008431F2" w:rsidRPr="00354A60">
        <w:t>, Appendix 2</w:t>
      </w:r>
      <w:r w:rsidRPr="00354A60">
        <w:t>) received approval from the Canada / U.S. Steering Committee, Canada / U.S. Transboundary Management Guidance Committee (TMGC), U.S. Northeast Regional Coordinating Council, and Canadian Gulf of Maine Advisory Committee.</w:t>
      </w:r>
    </w:p>
    <w:p w14:paraId="6DCA5FD8" w14:textId="0D616986" w:rsidR="008431F2" w:rsidRPr="00354A60" w:rsidRDefault="00B026C2" w:rsidP="00354A60">
      <w:pPr>
        <w:pStyle w:val="BodyText"/>
      </w:pPr>
      <w:r w:rsidRPr="00354A60">
        <w:t xml:space="preserve">Meeting participants were reminded </w:t>
      </w:r>
      <w:r w:rsidR="002A6C58" w:rsidRPr="00354A60">
        <w:t xml:space="preserve">by the Canadian TRAC co-chair, Kirsten Clark, </w:t>
      </w:r>
      <w:r w:rsidR="00FD6157" w:rsidRPr="00354A60">
        <w:t>of</w:t>
      </w:r>
      <w:r w:rsidR="00B25226">
        <w:t xml:space="preserve"> both the </w:t>
      </w:r>
      <w:hyperlink r:id="rId21" w:history="1">
        <w:r w:rsidR="00B25226" w:rsidRPr="00B25226">
          <w:rPr>
            <w:rStyle w:val="Hyperlink"/>
          </w:rPr>
          <w:t>Canadian</w:t>
        </w:r>
      </w:hyperlink>
      <w:r w:rsidR="00B25226">
        <w:t xml:space="preserve"> and </w:t>
      </w:r>
      <w:hyperlink r:id="rId22" w:history="1">
        <w:r w:rsidR="00B25226" w:rsidRPr="00B25226">
          <w:rPr>
            <w:rStyle w:val="Hyperlink"/>
          </w:rPr>
          <w:t>American</w:t>
        </w:r>
      </w:hyperlink>
      <w:r w:rsidR="00B25226">
        <w:t xml:space="preserve"> sites where</w:t>
      </w:r>
      <w:r w:rsidR="00FD6157" w:rsidRPr="00354A60">
        <w:t xml:space="preserve"> the TRAC review process</w:t>
      </w:r>
      <w:r w:rsidR="008431F2" w:rsidRPr="00354A60">
        <w:t xml:space="preserve"> is documented</w:t>
      </w:r>
      <w:r w:rsidR="00B25226">
        <w:t>.</w:t>
      </w:r>
      <w:r w:rsidR="008431F2" w:rsidRPr="00354A60">
        <w:t xml:space="preserve"> During the meeting, each workin</w:t>
      </w:r>
      <w:r w:rsidR="00BC49BD" w:rsidRPr="00354A60">
        <w:t xml:space="preserve">g paper was presented by </w:t>
      </w:r>
      <w:r w:rsidR="008431F2" w:rsidRPr="00354A60">
        <w:t>the science authors, followed by a discussion by the reviewers</w:t>
      </w:r>
      <w:r w:rsidR="00A167DC" w:rsidRPr="00354A60">
        <w:t xml:space="preserve">, </w:t>
      </w:r>
      <w:r w:rsidR="008431F2" w:rsidRPr="00354A60">
        <w:t>assessment staff</w:t>
      </w:r>
      <w:r w:rsidR="00A167DC" w:rsidRPr="00354A60">
        <w:t>, co-chairs and designated resource managers</w:t>
      </w:r>
      <w:r w:rsidR="008431F2" w:rsidRPr="00354A60">
        <w:t xml:space="preserve"> and </w:t>
      </w:r>
      <w:r w:rsidR="00A86722" w:rsidRPr="00354A60">
        <w:t>then</w:t>
      </w:r>
      <w:r w:rsidR="008431F2" w:rsidRPr="00354A60">
        <w:t xml:space="preserve"> a plenary discussion</w:t>
      </w:r>
      <w:r w:rsidR="00A86722" w:rsidRPr="00354A60">
        <w:t>.</w:t>
      </w:r>
      <w:r w:rsidR="008431F2" w:rsidRPr="00354A60">
        <w:t xml:space="preserve"> </w:t>
      </w:r>
      <w:r w:rsidR="00A86722" w:rsidRPr="00354A60">
        <w:t xml:space="preserve">The reviewers, assessment staff, co-chairs and designated resource managers then determined whether the plenary discussion changed any of their original recommendations. </w:t>
      </w:r>
      <w:r w:rsidR="008431F2" w:rsidRPr="00354A60">
        <w:t>There were additional presentations for which working papers were not prepared.</w:t>
      </w:r>
    </w:p>
    <w:p w14:paraId="07CBE14D" w14:textId="3D5B4577" w:rsidR="00210A96" w:rsidRPr="00354A60" w:rsidRDefault="008431F2" w:rsidP="00354A60">
      <w:pPr>
        <w:pStyle w:val="BodyText"/>
      </w:pPr>
      <w:r w:rsidRPr="00354A60">
        <w:t xml:space="preserve">The U.S. TRAC co-chair, Tara </w:t>
      </w:r>
      <w:proofErr w:type="spellStart"/>
      <w:r w:rsidRPr="00354A60">
        <w:t>Tr</w:t>
      </w:r>
      <w:r w:rsidR="003E0F97" w:rsidRPr="00354A60">
        <w:t>inko</w:t>
      </w:r>
      <w:proofErr w:type="spellEnd"/>
      <w:r w:rsidR="003E0F97" w:rsidRPr="00354A60">
        <w:t>-Lake, presented the 2019 TO</w:t>
      </w:r>
      <w:r w:rsidRPr="00354A60">
        <w:t xml:space="preserve">R </w:t>
      </w:r>
      <w:r w:rsidR="00A167DC" w:rsidRPr="00354A60">
        <w:t xml:space="preserve">(Appendix 2) </w:t>
      </w:r>
      <w:r w:rsidRPr="00354A60">
        <w:t xml:space="preserve">and </w:t>
      </w:r>
      <w:r w:rsidR="00A167DC" w:rsidRPr="00354A60">
        <w:t xml:space="preserve">went on to explain the </w:t>
      </w:r>
      <w:hyperlink r:id="rId23" w:history="1">
        <w:r w:rsidR="00A167DC" w:rsidRPr="00046D18">
          <w:rPr>
            <w:rStyle w:val="Hyperlink"/>
          </w:rPr>
          <w:t>new Research and Management Track process for domestic U.S. stock assessment</w:t>
        </w:r>
      </w:hyperlink>
      <w:r w:rsidR="00A167DC" w:rsidRPr="00354A60">
        <w:t xml:space="preserve">. She noted that the U.S. has domestic research track assessments </w:t>
      </w:r>
      <w:r w:rsidR="004C6E09" w:rsidRPr="00354A60">
        <w:t xml:space="preserve">planned </w:t>
      </w:r>
      <w:r w:rsidR="00A167DC" w:rsidRPr="00354A60">
        <w:t xml:space="preserve">for haddock in 2021, cod in 2023 and yellowtail flounder in 2024. Discussions about Canadian participation in these processes and </w:t>
      </w:r>
      <w:r w:rsidR="004C6E09" w:rsidRPr="00354A60">
        <w:t>harmonizing TRAC benchmarks with the U.S. schedule will occur between Northeast Fisheries Science Center (NEFSC) and Fisheries and Oceans, Canada (DFO) over the next few months.</w:t>
      </w:r>
    </w:p>
    <w:p w14:paraId="338F0CE2" w14:textId="77777777" w:rsidR="00B026C2" w:rsidRPr="00354A60" w:rsidRDefault="00B026C2" w:rsidP="00354A60">
      <w:pPr>
        <w:pStyle w:val="BodyText"/>
      </w:pPr>
      <w:r w:rsidRPr="00354A60">
        <w:t>T</w:t>
      </w:r>
      <w:r w:rsidR="00210A96" w:rsidRPr="00354A60">
        <w:t>wo</w:t>
      </w:r>
      <w:r w:rsidRPr="00354A60">
        <w:t xml:space="preserve"> peer reviewers were invited to participate in the review of the assessments: </w:t>
      </w:r>
      <w:r w:rsidR="00A45371" w:rsidRPr="00354A60">
        <w:t>David Keith</w:t>
      </w:r>
      <w:r w:rsidR="00210A96" w:rsidRPr="00354A60">
        <w:t xml:space="preserve"> (Canada) </w:t>
      </w:r>
      <w:r w:rsidRPr="00354A60">
        <w:t xml:space="preserve">and </w:t>
      </w:r>
      <w:r w:rsidR="007C505A" w:rsidRPr="00354A60">
        <w:t xml:space="preserve">Jason McNamee </w:t>
      </w:r>
      <w:r w:rsidR="00A45371" w:rsidRPr="00354A60">
        <w:t>(U.S.).</w:t>
      </w:r>
      <w:r w:rsidRPr="00354A60">
        <w:t xml:space="preserve"> </w:t>
      </w:r>
      <w:r w:rsidR="00AB6B41" w:rsidRPr="00354A60">
        <w:t>Both reviewers had served as TRAC reviewers previously.</w:t>
      </w:r>
    </w:p>
    <w:p w14:paraId="11EDFFA3" w14:textId="0D8B8DCA" w:rsidR="00EB16A4" w:rsidRDefault="00797F23" w:rsidP="00291412">
      <w:pPr>
        <w:pStyle w:val="Heading2"/>
      </w:pPr>
      <w:bookmarkStart w:id="5" w:name="_Toc44061506"/>
      <w:r w:rsidRPr="00606C90">
        <w:rPr>
          <w:caps w:val="0"/>
        </w:rPr>
        <w:t>GEORGES BANK YELLOWTAIL FLOUNDER</w:t>
      </w:r>
      <w:bookmarkEnd w:id="5"/>
    </w:p>
    <w:p w14:paraId="7274D944" w14:textId="77777777" w:rsidR="00F142E9" w:rsidRPr="008B04BB" w:rsidRDefault="00F142E9" w:rsidP="00354A60">
      <w:pPr>
        <w:pStyle w:val="Heading3"/>
        <w:rPr>
          <w:lang w:val="en-US"/>
        </w:rPr>
      </w:pPr>
      <w:bookmarkStart w:id="6" w:name="_Toc44061507"/>
      <w:r w:rsidRPr="008B04BB">
        <w:rPr>
          <w:lang w:val="en-US"/>
        </w:rPr>
        <w:t>Stock Assessment of Georges Bank Yellowtail Flounder for 2019</w:t>
      </w:r>
      <w:bookmarkEnd w:id="6"/>
    </w:p>
    <w:p w14:paraId="07C009BB" w14:textId="4DBB4A66" w:rsidR="007C505A" w:rsidRDefault="00606C90" w:rsidP="00606C90">
      <w:pPr>
        <w:spacing w:before="0" w:after="0"/>
        <w:ind w:left="3240" w:hanging="3240"/>
      </w:pPr>
      <w:r>
        <w:t>Working Paper</w:t>
      </w:r>
      <w:r w:rsidR="00900237">
        <w:t xml:space="preserve"> 2019/</w:t>
      </w:r>
      <w:r w:rsidR="009A4349" w:rsidRPr="009A4349">
        <w:t>02</w:t>
      </w:r>
      <w:r>
        <w:t>:</w:t>
      </w:r>
      <w:r>
        <w:tab/>
      </w:r>
      <w:r w:rsidR="0036371F">
        <w:t>Stock Assessment of Georges Bank Yellowtail Flounder for 2019</w:t>
      </w:r>
    </w:p>
    <w:p w14:paraId="6D420081" w14:textId="77777777" w:rsidR="007C505A" w:rsidRDefault="007C505A" w:rsidP="00606C90">
      <w:pPr>
        <w:spacing w:before="0" w:after="0"/>
        <w:ind w:left="3240" w:hanging="3240"/>
      </w:pPr>
      <w:r>
        <w:t xml:space="preserve">Science Leads (Working Paper): </w:t>
      </w:r>
      <w:r w:rsidR="00606C90">
        <w:tab/>
      </w:r>
      <w:r w:rsidR="0036371F">
        <w:t xml:space="preserve">C.M. </w:t>
      </w:r>
      <w:proofErr w:type="spellStart"/>
      <w:r w:rsidR="0036371F">
        <w:t>Legault</w:t>
      </w:r>
      <w:proofErr w:type="spellEnd"/>
      <w:r w:rsidR="0036371F">
        <w:t xml:space="preserve"> and M. Finley</w:t>
      </w:r>
    </w:p>
    <w:p w14:paraId="181A5033" w14:textId="77777777" w:rsidR="007C505A" w:rsidRDefault="00606C90" w:rsidP="00606C90">
      <w:pPr>
        <w:spacing w:before="0" w:after="0"/>
        <w:ind w:left="3240" w:hanging="3240"/>
      </w:pPr>
      <w:r>
        <w:t>Presenter</w:t>
      </w:r>
      <w:r w:rsidR="007C505A">
        <w:t xml:space="preserve">: </w:t>
      </w:r>
      <w:r>
        <w:tab/>
      </w:r>
      <w:r w:rsidR="007C505A">
        <w:t xml:space="preserve">C.M. </w:t>
      </w:r>
      <w:proofErr w:type="spellStart"/>
      <w:r w:rsidR="007C505A">
        <w:t>Legault</w:t>
      </w:r>
      <w:proofErr w:type="spellEnd"/>
    </w:p>
    <w:p w14:paraId="44836767" w14:textId="77777777" w:rsidR="007C505A" w:rsidRDefault="007C505A" w:rsidP="00606C90">
      <w:pPr>
        <w:spacing w:before="0" w:after="0"/>
        <w:ind w:left="3240" w:hanging="3240"/>
      </w:pPr>
      <w:r>
        <w:t xml:space="preserve">Rapporteurs: </w:t>
      </w:r>
      <w:r w:rsidR="00606C90">
        <w:tab/>
      </w:r>
      <w:r w:rsidR="00F902C2">
        <w:t>Q. McCurdy and K. Clark</w:t>
      </w:r>
    </w:p>
    <w:p w14:paraId="0022C113" w14:textId="77777777" w:rsidR="00EB16A4" w:rsidRPr="00F142E9" w:rsidRDefault="007C505A" w:rsidP="00885119">
      <w:pPr>
        <w:pStyle w:val="Heading4"/>
      </w:pPr>
      <w:r w:rsidRPr="00F142E9">
        <w:t>Presentation Highlights</w:t>
      </w:r>
    </w:p>
    <w:p w14:paraId="5055A388" w14:textId="77777777" w:rsidR="0036371F" w:rsidRPr="00CC5E15" w:rsidRDefault="0036371F" w:rsidP="00CC5E15">
      <w:pPr>
        <w:pStyle w:val="BodyText"/>
      </w:pPr>
      <w:r w:rsidRPr="00CC5E15">
        <w:t xml:space="preserve">The combined Canada/US Yellowtail Flounder catch in 2018 was 45 </w:t>
      </w:r>
      <w:proofErr w:type="spellStart"/>
      <w:r w:rsidRPr="00CC5E15">
        <w:t>mt</w:t>
      </w:r>
      <w:proofErr w:type="spellEnd"/>
      <w:r w:rsidRPr="00CC5E15">
        <w:t>, with neither country filling its portion of the quota. Two of the three bottom trawl surveys increased, but all remained at low levels</w:t>
      </w:r>
      <w:r w:rsidR="009D16A6" w:rsidRPr="00CC5E15">
        <w:t xml:space="preserve"> compared to their time series.</w:t>
      </w:r>
    </w:p>
    <w:p w14:paraId="006F8A01" w14:textId="1336960F" w:rsidR="009D16A6" w:rsidRPr="00CC5E15" w:rsidRDefault="009D16A6" w:rsidP="00CC5E15">
      <w:pPr>
        <w:pStyle w:val="BodyText"/>
      </w:pPr>
      <w:r w:rsidRPr="00CC5E15">
        <w:t>Several sources of uncertainty were identified</w:t>
      </w:r>
      <w:r w:rsidR="004E78CA" w:rsidRPr="00CC5E15">
        <w:t>,</w:t>
      </w:r>
      <w:r w:rsidRPr="00CC5E15">
        <w:t xml:space="preserve"> including the challenges of characterizing catches and weights at age at such low abundance, catch misreporting and data biases due to observer effects at sea. There is a case before the courts in the U.S. regarding misreporting of catch by a license holder with significant </w:t>
      </w:r>
      <w:proofErr w:type="spellStart"/>
      <w:r w:rsidRPr="00CC5E15">
        <w:t>groundfish</w:t>
      </w:r>
      <w:proofErr w:type="spellEnd"/>
      <w:r w:rsidRPr="00CC5E15">
        <w:t xml:space="preserve"> quotas and, although </w:t>
      </w:r>
      <w:r w:rsidR="009B4D33" w:rsidRPr="00CC5E15">
        <w:t xml:space="preserve">the amount of </w:t>
      </w:r>
      <w:r w:rsidRPr="00CC5E15">
        <w:t xml:space="preserve">yellowtail landings </w:t>
      </w:r>
      <w:r w:rsidR="009B4D33" w:rsidRPr="00CC5E15">
        <w:t>in the court filings are</w:t>
      </w:r>
      <w:r w:rsidRPr="00CC5E15">
        <w:t xml:space="preserve"> less than 10 </w:t>
      </w:r>
      <w:proofErr w:type="spellStart"/>
      <w:r w:rsidRPr="00CC5E15">
        <w:t>mt</w:t>
      </w:r>
      <w:proofErr w:type="spellEnd"/>
      <w:r w:rsidRPr="00CC5E15">
        <w:t xml:space="preserve"> over four years, it is still a source of </w:t>
      </w:r>
      <w:r w:rsidRPr="00CC5E15">
        <w:lastRenderedPageBreak/>
        <w:t>uncertainty</w:t>
      </w:r>
      <w:r w:rsidR="009B4D33" w:rsidRPr="00CC5E15">
        <w:t xml:space="preserve"> because </w:t>
      </w:r>
      <w:r w:rsidR="004E78CA" w:rsidRPr="00CC5E15">
        <w:t>total</w:t>
      </w:r>
      <w:r w:rsidR="009B4D33" w:rsidRPr="00CC5E15">
        <w:t xml:space="preserve"> misreporting is not known</w:t>
      </w:r>
      <w:r w:rsidRPr="00CC5E15">
        <w:t xml:space="preserve">. An investigation by the U.S. </w:t>
      </w:r>
      <w:proofErr w:type="spellStart"/>
      <w:r w:rsidRPr="00CC5E15">
        <w:t>Groundfish</w:t>
      </w:r>
      <w:proofErr w:type="spellEnd"/>
      <w:r w:rsidRPr="00CC5E15">
        <w:t xml:space="preserve"> Plan Development Team noted differences in fishing </w:t>
      </w:r>
      <w:proofErr w:type="spellStart"/>
      <w:r w:rsidRPr="00CC5E15">
        <w:t>behaviour</w:t>
      </w:r>
      <w:proofErr w:type="spellEnd"/>
      <w:r w:rsidRPr="00CC5E15">
        <w:t xml:space="preserve"> on observed and unobserved trips which likely biases catch data for all tw</w:t>
      </w:r>
      <w:r w:rsidR="004E78CA" w:rsidRPr="00CC5E15">
        <w:t xml:space="preserve">enty </w:t>
      </w:r>
      <w:proofErr w:type="spellStart"/>
      <w:r w:rsidR="004E78CA" w:rsidRPr="00CC5E15">
        <w:t>groundfish</w:t>
      </w:r>
      <w:proofErr w:type="spellEnd"/>
      <w:r w:rsidR="004E78CA" w:rsidRPr="00CC5E15">
        <w:t xml:space="preserve"> stocks</w:t>
      </w:r>
      <w:r w:rsidRPr="00CC5E15">
        <w:t xml:space="preserve"> studied, </w:t>
      </w:r>
      <w:r w:rsidR="004E78CA" w:rsidRPr="00CC5E15">
        <w:t>including Yellowtail F</w:t>
      </w:r>
      <w:r w:rsidRPr="00CC5E15">
        <w:t>lounder.</w:t>
      </w:r>
    </w:p>
    <w:p w14:paraId="520DF1F3" w14:textId="77777777" w:rsidR="0036371F" w:rsidRPr="00CC5E15" w:rsidRDefault="0036371F" w:rsidP="00CC5E15">
      <w:pPr>
        <w:pStyle w:val="BodyText"/>
      </w:pPr>
      <w:r w:rsidRPr="00CC5E15">
        <w:t xml:space="preserve">The empirical approach recommended at the 2014 Diagnostic Benchmark and modified during last year’s TRAC was applied in this year’s assessment update. The three recent bottom trawl surveys were scaled to absolute biomass estimates, averaged, and an exploitation rate applied to generate catch advice for the following year. Last year, the TRAC recommended an exploitation rate of 6% for catch advice. Applying this exploitation rate to this year’s updated surveys results in catch advice of 199 </w:t>
      </w:r>
      <w:proofErr w:type="spellStart"/>
      <w:r w:rsidRPr="00CC5E15">
        <w:t>mt</w:t>
      </w:r>
      <w:proofErr w:type="spellEnd"/>
      <w:r w:rsidRPr="00CC5E15">
        <w:t xml:space="preserve"> for 2020. The full range of exploitation rates from the 2014 Diagnostic and Empirical Benchmark, 2% to 16%, applied to this year’s surveys results in 66 </w:t>
      </w:r>
      <w:proofErr w:type="spellStart"/>
      <w:r w:rsidRPr="00CC5E15">
        <w:t>mt</w:t>
      </w:r>
      <w:proofErr w:type="spellEnd"/>
      <w:r w:rsidRPr="00CC5E15">
        <w:t xml:space="preserve"> to 531 </w:t>
      </w:r>
      <w:proofErr w:type="spellStart"/>
      <w:r w:rsidRPr="00CC5E15">
        <w:t>mt.</w:t>
      </w:r>
      <w:proofErr w:type="spellEnd"/>
      <w:r w:rsidRPr="00CC5E15">
        <w:t xml:space="preserve"> </w:t>
      </w:r>
    </w:p>
    <w:p w14:paraId="7C07C9D9" w14:textId="77777777" w:rsidR="007060E1" w:rsidRPr="00F142E9" w:rsidRDefault="007C505A" w:rsidP="00885119">
      <w:pPr>
        <w:pStyle w:val="Heading4"/>
      </w:pPr>
      <w:r w:rsidRPr="00F142E9">
        <w:t>Discussion</w:t>
      </w:r>
    </w:p>
    <w:p w14:paraId="51C69065" w14:textId="77777777" w:rsidR="004A7C67" w:rsidRPr="00F142E9" w:rsidRDefault="004A7C67" w:rsidP="00F142E9">
      <w:pPr>
        <w:ind w:left="360"/>
        <w:rPr>
          <w:u w:val="single"/>
        </w:rPr>
      </w:pPr>
      <w:r w:rsidRPr="00F142E9">
        <w:rPr>
          <w:u w:val="single"/>
        </w:rPr>
        <w:t>Term of Reference 1</w:t>
      </w:r>
    </w:p>
    <w:p w14:paraId="499E6688" w14:textId="06B30709" w:rsidR="004A7C67" w:rsidRPr="009D16A6" w:rsidRDefault="004A7C67" w:rsidP="00E82E3D">
      <w:pPr>
        <w:pStyle w:val="ListBullet"/>
        <w:numPr>
          <w:ilvl w:val="0"/>
          <w:numId w:val="0"/>
        </w:numPr>
        <w:spacing w:before="120"/>
        <w:rPr>
          <w:i/>
        </w:rPr>
      </w:pPr>
      <w:r w:rsidRPr="009D16A6">
        <w:rPr>
          <w:i/>
        </w:rPr>
        <w:t xml:space="preserve">Apply the benchmark assessment </w:t>
      </w:r>
      <w:r w:rsidR="004E78CA">
        <w:rPr>
          <w:i/>
        </w:rPr>
        <w:t>(i.e., empirical approach) for Yellowtail F</w:t>
      </w:r>
      <w:r w:rsidRPr="009D16A6">
        <w:rPr>
          <w:i/>
        </w:rPr>
        <w:t>lounder, update results for the latest information from fisheries, including discard estimates and research surveys, and characterize the uncertainty of estimates.</w:t>
      </w:r>
    </w:p>
    <w:p w14:paraId="5CD04233" w14:textId="77777777" w:rsidR="004A7C67" w:rsidRPr="00F142E9" w:rsidRDefault="004A7C67" w:rsidP="00F142E9">
      <w:pPr>
        <w:ind w:left="360"/>
        <w:rPr>
          <w:i/>
        </w:rPr>
      </w:pPr>
      <w:r w:rsidRPr="00F142E9">
        <w:rPr>
          <w:i/>
        </w:rPr>
        <w:t>Reviewers</w:t>
      </w:r>
    </w:p>
    <w:p w14:paraId="3C8893B7" w14:textId="28F293AA" w:rsidR="004A7C67" w:rsidRDefault="004A7C67" w:rsidP="00CC5E15">
      <w:pPr>
        <w:pStyle w:val="BodyText"/>
      </w:pPr>
      <w:r>
        <w:t>It was noted that the U.S. Science and Statistical Committee (</w:t>
      </w:r>
      <w:r w:rsidRPr="004A7C67">
        <w:t>SSC</w:t>
      </w:r>
      <w:r>
        <w:t>)</w:t>
      </w:r>
      <w:r w:rsidRPr="004A7C67">
        <w:t xml:space="preserve"> d</w:t>
      </w:r>
      <w:r w:rsidR="00B922A1">
        <w:t>id not include</w:t>
      </w:r>
      <w:r w:rsidRPr="004A7C67">
        <w:t xml:space="preserve"> </w:t>
      </w:r>
      <w:r>
        <w:t xml:space="preserve">the 2018 National Marine Fisheries Service (NMFS) </w:t>
      </w:r>
      <w:r w:rsidRPr="004A7C67">
        <w:t xml:space="preserve">spring survey </w:t>
      </w:r>
      <w:r>
        <w:t xml:space="preserve">result in their application of the empirical approach </w:t>
      </w:r>
      <w:r w:rsidRPr="004A7C67">
        <w:t xml:space="preserve">in 2018 because </w:t>
      </w:r>
      <w:r>
        <w:t xml:space="preserve">of issues with that survey, including lower coverage (39 tows rather than the usual 55+) and a lack of </w:t>
      </w:r>
      <w:r w:rsidRPr="004A7C67">
        <w:t xml:space="preserve">tows in </w:t>
      </w:r>
      <w:r>
        <w:t>traditional</w:t>
      </w:r>
      <w:r w:rsidRPr="004A7C67">
        <w:t xml:space="preserve"> yellowtail habitat. </w:t>
      </w:r>
      <w:r w:rsidR="00B922A1">
        <w:t>The</w:t>
      </w:r>
      <w:r>
        <w:t xml:space="preserve">se issues did not occur </w:t>
      </w:r>
      <w:r w:rsidR="009B671D">
        <w:t xml:space="preserve">in the 2018 NMFS fall and the 2019 NMFS and DFO spring surveys </w:t>
      </w:r>
      <w:r>
        <w:t>and</w:t>
      </w:r>
      <w:r w:rsidR="004E78CA">
        <w:t>,</w:t>
      </w:r>
      <w:r>
        <w:t xml:space="preserve"> therefore</w:t>
      </w:r>
      <w:r w:rsidR="004E78CA">
        <w:t>,</w:t>
      </w:r>
      <w:r>
        <w:t xml:space="preserve"> there was no reason to remove </w:t>
      </w:r>
      <w:r w:rsidR="00B922A1">
        <w:t>any of the surveys</w:t>
      </w:r>
      <w:r w:rsidR="00FA06EE">
        <w:t xml:space="preserve"> from the current analysis.</w:t>
      </w:r>
    </w:p>
    <w:p w14:paraId="5E97B09D" w14:textId="500AD0E7" w:rsidR="00DF3DCE" w:rsidRDefault="00B922A1" w:rsidP="00CC5E15">
      <w:pPr>
        <w:pStyle w:val="BodyText"/>
      </w:pPr>
      <w:r>
        <w:t>The reviewers encouraged the leads to</w:t>
      </w:r>
      <w:r w:rsidR="000D00B0">
        <w:t xml:space="preserve"> consider the spatial distribution</w:t>
      </w:r>
      <w:r>
        <w:t xml:space="preserve"> of the stock</w:t>
      </w:r>
      <w:r w:rsidR="000D00B0">
        <w:t xml:space="preserve">. </w:t>
      </w:r>
      <w:r w:rsidR="004A7C67">
        <w:t xml:space="preserve">Interpretation of spatial patterns </w:t>
      </w:r>
      <w:r w:rsidR="000D00B0">
        <w:t>is more challenging b</w:t>
      </w:r>
      <w:r w:rsidR="004E78CA">
        <w:t>ecause of the low abundance of Y</w:t>
      </w:r>
      <w:r w:rsidR="000D00B0">
        <w:t>ellowtail</w:t>
      </w:r>
      <w:r w:rsidR="004E78CA">
        <w:t>,</w:t>
      </w:r>
      <w:r w:rsidR="000D00B0">
        <w:t xml:space="preserve"> but it was suggested that presence/absence data are often more informative for stocks at such low levels than models based on total numbers. For example, if the fish are aggregated in only a few locations of preferred habitat, then those will be the areas of highest bycatch in other fisheries and</w:t>
      </w:r>
      <w:r w:rsidR="004E78CA">
        <w:t>,</w:t>
      </w:r>
      <w:r w:rsidR="000D00B0">
        <w:t xml:space="preserve"> therefore</w:t>
      </w:r>
      <w:r w:rsidR="004E78CA">
        <w:t>,</w:t>
      </w:r>
      <w:r w:rsidR="000D00B0">
        <w:t xml:space="preserve"> the ones that should be well monitored and protected. </w:t>
      </w:r>
    </w:p>
    <w:p w14:paraId="7C5F6EC4" w14:textId="437CD87F" w:rsidR="004A7C67" w:rsidRDefault="007B6726" w:rsidP="00CC5E15">
      <w:pPr>
        <w:pStyle w:val="BodyText"/>
      </w:pPr>
      <w:r>
        <w:t>Currently the three surveys (DFO spring, NMFS spring and fall) are</w:t>
      </w:r>
      <w:r w:rsidR="00B922A1">
        <w:t xml:space="preserve"> simply averaged together</w:t>
      </w:r>
      <w:r>
        <w:t xml:space="preserve">. It was suggested that it might be useful to investigate methods of combining survey estimates to take into account both spatial and temporal information. Charles Adams at NEFSC has been leading work applying the </w:t>
      </w:r>
      <w:r w:rsidR="009A4349">
        <w:t>V</w:t>
      </w:r>
      <w:r w:rsidR="00B922A1">
        <w:t>ector-</w:t>
      </w:r>
      <w:r w:rsidR="009A4349">
        <w:t>A</w:t>
      </w:r>
      <w:r w:rsidR="00B922A1">
        <w:t xml:space="preserve">utoregressive </w:t>
      </w:r>
      <w:proofErr w:type="spellStart"/>
      <w:r w:rsidR="009A4349">
        <w:t>S</w:t>
      </w:r>
      <w:r w:rsidR="00B922A1">
        <w:t>patio</w:t>
      </w:r>
      <w:proofErr w:type="spellEnd"/>
      <w:r w:rsidR="00B922A1">
        <w:t>-</w:t>
      </w:r>
      <w:r w:rsidR="009A4349">
        <w:t>T</w:t>
      </w:r>
      <w:r w:rsidR="00B922A1">
        <w:t>emporal (</w:t>
      </w:r>
      <w:r>
        <w:t>VAST</w:t>
      </w:r>
      <w:r w:rsidR="00B922A1">
        <w:t>)</w:t>
      </w:r>
      <w:r w:rsidR="004E78CA">
        <w:t xml:space="preserve"> modeling approach to Cod, Haddock and Yellowtail F</w:t>
      </w:r>
      <w:r>
        <w:t>lounder. To date these analyses have not shown any big differences from the current perception, but this approach could be useful for incorporating spatial information. It might not be so valuable at the current low survey estimates but could be beneficial if the stock recovers.</w:t>
      </w:r>
    </w:p>
    <w:p w14:paraId="74295F71" w14:textId="77777777" w:rsidR="007B6726" w:rsidRPr="001B22B9" w:rsidRDefault="007B6726" w:rsidP="00E82E3D">
      <w:pPr>
        <w:pStyle w:val="NoSpacing"/>
        <w:tabs>
          <w:tab w:val="left" w:pos="8640"/>
        </w:tabs>
        <w:spacing w:before="120" w:after="120"/>
        <w:ind w:left="360" w:right="360"/>
        <w:rPr>
          <w:rFonts w:ascii="Arial" w:hAnsi="Arial" w:cs="Arial"/>
        </w:rPr>
      </w:pPr>
      <w:r w:rsidRPr="001B22B9">
        <w:rPr>
          <w:rFonts w:ascii="Arial" w:hAnsi="Arial" w:cs="Arial"/>
          <w:b/>
        </w:rPr>
        <w:t xml:space="preserve">Research Recommendation: </w:t>
      </w:r>
      <w:r w:rsidRPr="001B22B9">
        <w:rPr>
          <w:rFonts w:ascii="Arial" w:hAnsi="Arial" w:cs="Arial"/>
        </w:rPr>
        <w:t>For the next TRAC benchmark, investigate techniques of combining survey estimates that take into account spatial and temporal information.</w:t>
      </w:r>
    </w:p>
    <w:p w14:paraId="723F7732" w14:textId="77777777" w:rsidR="007B6726" w:rsidRPr="00F142E9" w:rsidRDefault="00DF502C" w:rsidP="00F142E9">
      <w:pPr>
        <w:ind w:left="360"/>
        <w:rPr>
          <w:i/>
        </w:rPr>
      </w:pPr>
      <w:r w:rsidRPr="00F142E9">
        <w:rPr>
          <w:i/>
        </w:rPr>
        <w:t>Science Staff, Designated Resource Managers and TRAC Co-Chairs</w:t>
      </w:r>
    </w:p>
    <w:p w14:paraId="07CCB0D4" w14:textId="0F765B87" w:rsidR="00DF502C" w:rsidRDefault="00DF502C" w:rsidP="00CC5E15">
      <w:pPr>
        <w:pStyle w:val="BodyText"/>
      </w:pPr>
      <w:r>
        <w:t xml:space="preserve">It was asked why there was a lack of port sampling in the second half of 2018. The leads noted that it was difficult to find trips that only fished yellowtail on Georges Bank when catches were so low. For the purposes of the assessment, the science team had to assume that the proportions of lengths and ages </w:t>
      </w:r>
      <w:r w:rsidR="00B922A1">
        <w:t xml:space="preserve">in the second half of the year </w:t>
      </w:r>
      <w:r>
        <w:t>were simila</w:t>
      </w:r>
      <w:r w:rsidR="00B922A1">
        <w:t>r</w:t>
      </w:r>
      <w:r w:rsidR="00FA06EE">
        <w:t xml:space="preserve"> to the first. </w:t>
      </w:r>
      <w:r>
        <w:t xml:space="preserve">This is an additional source of uncertainty. </w:t>
      </w:r>
    </w:p>
    <w:p w14:paraId="52A86BA3" w14:textId="77777777" w:rsidR="00DF502C" w:rsidRPr="00F142E9" w:rsidRDefault="00DF502C" w:rsidP="00F142E9">
      <w:pPr>
        <w:ind w:left="360"/>
        <w:rPr>
          <w:i/>
        </w:rPr>
      </w:pPr>
      <w:r w:rsidRPr="00F142E9">
        <w:rPr>
          <w:i/>
        </w:rPr>
        <w:lastRenderedPageBreak/>
        <w:t>Other Meeting participants</w:t>
      </w:r>
    </w:p>
    <w:p w14:paraId="22363604" w14:textId="703253B6" w:rsidR="00DF502C" w:rsidRDefault="004E78CA" w:rsidP="00CC5E15">
      <w:pPr>
        <w:pStyle w:val="BodyText"/>
      </w:pPr>
      <w:r>
        <w:t>T</w:t>
      </w:r>
      <w:r w:rsidR="00DF502C">
        <w:t xml:space="preserve">he </w:t>
      </w:r>
      <w:r>
        <w:t>Yellowtail F</w:t>
      </w:r>
      <w:r w:rsidR="00B922A1">
        <w:t xml:space="preserve">lounder </w:t>
      </w:r>
      <w:r w:rsidR="00DF502C">
        <w:t>T</w:t>
      </w:r>
      <w:r w:rsidR="00B922A1">
        <w:t xml:space="preserve">RAC </w:t>
      </w:r>
      <w:r w:rsidR="00DF502C">
        <w:t>S</w:t>
      </w:r>
      <w:r w:rsidR="00B922A1">
        <w:t xml:space="preserve">cience </w:t>
      </w:r>
      <w:r w:rsidR="00DF502C">
        <w:t>R</w:t>
      </w:r>
      <w:r w:rsidR="00B922A1">
        <w:t>eport (TSR)</w:t>
      </w:r>
      <w:r w:rsidR="00DF502C">
        <w:t xml:space="preserve"> </w:t>
      </w:r>
      <w:r>
        <w:t xml:space="preserve">should </w:t>
      </w:r>
      <w:r w:rsidR="00BD179A">
        <w:t>mention t</w:t>
      </w:r>
      <w:r w:rsidR="00DF502C">
        <w:t xml:space="preserve">hat there were no anomalies in the three surveys used in this year’s assessment </w:t>
      </w:r>
      <w:r w:rsidR="00B922A1">
        <w:t>and</w:t>
      </w:r>
      <w:r>
        <w:t>,</w:t>
      </w:r>
      <w:r w:rsidR="00B922A1">
        <w:t xml:space="preserve"> therefore</w:t>
      </w:r>
      <w:r>
        <w:t>,</w:t>
      </w:r>
      <w:r w:rsidR="00B922A1">
        <w:t xml:space="preserve"> there is no reason to remove</w:t>
      </w:r>
      <w:r w:rsidR="00DF502C">
        <w:t xml:space="preserve"> any of the surveys from the empirical analysis.</w:t>
      </w:r>
    </w:p>
    <w:p w14:paraId="14C2FD37" w14:textId="38268CD0" w:rsidR="004A7C67" w:rsidRPr="004A7C67" w:rsidRDefault="00DF502C" w:rsidP="00CC5E15">
      <w:pPr>
        <w:pStyle w:val="BodyText"/>
      </w:pPr>
      <w:r>
        <w:t>There was agreement from the reviewers, science staff, resource managers, TRAC co-chairs</w:t>
      </w:r>
      <w:r w:rsidR="004E78CA">
        <w:t>,</w:t>
      </w:r>
      <w:r>
        <w:t xml:space="preserve"> and othe</w:t>
      </w:r>
      <w:r w:rsidR="00E82E3D">
        <w:t>r</w:t>
      </w:r>
      <w:r>
        <w:t xml:space="preserve"> meeting participants that the authors had me</w:t>
      </w:r>
      <w:r w:rsidR="00FA06EE">
        <w:t>t the first term of reference.</w:t>
      </w:r>
    </w:p>
    <w:p w14:paraId="1778DE94" w14:textId="77777777" w:rsidR="00DF502C" w:rsidRPr="00F142E9" w:rsidRDefault="00DF502C" w:rsidP="00F142E9">
      <w:pPr>
        <w:ind w:left="360"/>
        <w:rPr>
          <w:u w:val="single"/>
        </w:rPr>
      </w:pPr>
      <w:r w:rsidRPr="00F142E9">
        <w:rPr>
          <w:u w:val="single"/>
        </w:rPr>
        <w:t>Term of Reference 2</w:t>
      </w:r>
    </w:p>
    <w:p w14:paraId="12FFA511" w14:textId="77777777" w:rsidR="00DF502C" w:rsidRPr="00DF502C" w:rsidRDefault="00DF502C" w:rsidP="00DF502C">
      <w:pPr>
        <w:pStyle w:val="ListBullet"/>
        <w:numPr>
          <w:ilvl w:val="0"/>
          <w:numId w:val="0"/>
        </w:numPr>
        <w:rPr>
          <w:i/>
        </w:rPr>
      </w:pPr>
      <w:r w:rsidRPr="00DF502C">
        <w:rPr>
          <w:i/>
        </w:rPr>
        <w:t xml:space="preserve">Provide catch advice for 2020 based on the empirical approach for a range of exploitation rates for 2020. </w:t>
      </w:r>
    </w:p>
    <w:p w14:paraId="746C33B9" w14:textId="77777777" w:rsidR="00DF502C" w:rsidRPr="00F142E9" w:rsidRDefault="00780120" w:rsidP="00F142E9">
      <w:pPr>
        <w:ind w:left="360"/>
        <w:rPr>
          <w:i/>
        </w:rPr>
      </w:pPr>
      <w:r w:rsidRPr="00F142E9">
        <w:rPr>
          <w:i/>
        </w:rPr>
        <w:t>Reviewers</w:t>
      </w:r>
    </w:p>
    <w:p w14:paraId="76092309" w14:textId="1C034C1F" w:rsidR="005266B9" w:rsidRDefault="00780120" w:rsidP="00CC5E15">
      <w:pPr>
        <w:pStyle w:val="BodyText"/>
      </w:pPr>
      <w:r>
        <w:t xml:space="preserve">It was asked if yellowtail was one of the species </w:t>
      </w:r>
      <w:r w:rsidR="005266B9">
        <w:t xml:space="preserve">for which </w:t>
      </w:r>
      <w:r>
        <w:t xml:space="preserve">an observer effect </w:t>
      </w:r>
      <w:r w:rsidR="005266B9">
        <w:t xml:space="preserve">was demonstrated </w:t>
      </w:r>
      <w:r>
        <w:t xml:space="preserve">in the study done by the U.S. </w:t>
      </w:r>
      <w:proofErr w:type="spellStart"/>
      <w:r>
        <w:t>Groundfish</w:t>
      </w:r>
      <w:proofErr w:type="spellEnd"/>
      <w:r>
        <w:t xml:space="preserve"> Plan Development Team. There might be more incentive to discard in some years than others depending on areas fished</w:t>
      </w:r>
      <w:r w:rsidR="004E78CA">
        <w:t>,</w:t>
      </w:r>
      <w:r w:rsidR="005266B9">
        <w:t xml:space="preserve"> but it</w:t>
      </w:r>
      <w:r>
        <w:t xml:space="preserve"> was also noted that observ</w:t>
      </w:r>
      <w:r w:rsidR="00FA06EE">
        <w:t>er bias is not unidirectional.</w:t>
      </w:r>
    </w:p>
    <w:p w14:paraId="57920096" w14:textId="56E562B6" w:rsidR="00780120" w:rsidRDefault="00780120" w:rsidP="00CC5E15">
      <w:pPr>
        <w:pStyle w:val="BodyText"/>
      </w:pPr>
      <w:r>
        <w:t>In the current empirical approach</w:t>
      </w:r>
      <w:r w:rsidR="00B922A1">
        <w:t>,</w:t>
      </w:r>
      <w:r>
        <w:t xml:space="preserve"> catch and discard uncertainty are not inc</w:t>
      </w:r>
      <w:r w:rsidR="00FA06EE">
        <w:t xml:space="preserve">luded in the analysis. </w:t>
      </w:r>
      <w:r w:rsidR="00B922A1">
        <w:t>There would be</w:t>
      </w:r>
      <w:r>
        <w:t xml:space="preserve"> uncertainty around the calcu</w:t>
      </w:r>
      <w:r w:rsidR="005266B9">
        <w:t>lated exploitation rate if it were</w:t>
      </w:r>
      <w:r w:rsidR="00FA06EE">
        <w:t xml:space="preserve"> based on catch. </w:t>
      </w:r>
      <w:r>
        <w:t>However, the exploitation rate applied in the current empirical approach is based on quota rather than catch</w:t>
      </w:r>
      <w:r w:rsidR="00F52C6F">
        <w:t>.</w:t>
      </w:r>
      <w:r>
        <w:t xml:space="preserve"> </w:t>
      </w:r>
    </w:p>
    <w:p w14:paraId="172D5F20" w14:textId="77777777" w:rsidR="00F52C6F" w:rsidRDefault="00F52C6F" w:rsidP="00E82E3D">
      <w:pPr>
        <w:pStyle w:val="NoSpacing"/>
        <w:tabs>
          <w:tab w:val="left" w:pos="8640"/>
        </w:tabs>
        <w:spacing w:before="120" w:after="120"/>
        <w:ind w:left="360" w:right="360"/>
        <w:rPr>
          <w:rFonts w:ascii="Arial" w:hAnsi="Arial" w:cs="Arial"/>
        </w:rPr>
      </w:pPr>
      <w:r w:rsidRPr="001B22B9">
        <w:rPr>
          <w:rFonts w:ascii="Arial" w:hAnsi="Arial" w:cs="Arial"/>
          <w:b/>
        </w:rPr>
        <w:t xml:space="preserve">Research Recommendation: </w:t>
      </w:r>
      <w:r w:rsidRPr="001B22B9">
        <w:rPr>
          <w:rFonts w:ascii="Arial" w:hAnsi="Arial" w:cs="Arial"/>
        </w:rPr>
        <w:t xml:space="preserve">If, in the future, the empirical method is changed </w:t>
      </w:r>
      <w:r w:rsidR="005266B9" w:rsidRPr="001B22B9">
        <w:rPr>
          <w:rFonts w:ascii="Arial" w:hAnsi="Arial" w:cs="Arial"/>
        </w:rPr>
        <w:t xml:space="preserve">so that exploitation rate is calculated using catch </w:t>
      </w:r>
      <w:r w:rsidRPr="001B22B9">
        <w:rPr>
          <w:rFonts w:ascii="Arial" w:hAnsi="Arial" w:cs="Arial"/>
        </w:rPr>
        <w:t xml:space="preserve">rather than quota, there should be a consideration of how to incorporated </w:t>
      </w:r>
      <w:r w:rsidR="00AD1CA4">
        <w:rPr>
          <w:rFonts w:ascii="Arial" w:hAnsi="Arial" w:cs="Arial"/>
        </w:rPr>
        <w:t xml:space="preserve">catch </w:t>
      </w:r>
      <w:r w:rsidRPr="001B22B9">
        <w:rPr>
          <w:rFonts w:ascii="Arial" w:hAnsi="Arial" w:cs="Arial"/>
        </w:rPr>
        <w:t>uncertainty.</w:t>
      </w:r>
    </w:p>
    <w:p w14:paraId="42A6FFEE" w14:textId="1D0B0A56" w:rsidR="00F52C6F" w:rsidRDefault="00F52C6F" w:rsidP="00CC5E15">
      <w:pPr>
        <w:pStyle w:val="BodyText"/>
      </w:pPr>
      <w:r>
        <w:t>Although not specifica</w:t>
      </w:r>
      <w:r w:rsidR="005266B9">
        <w:t>lly a term of reference, there wa</w:t>
      </w:r>
      <w:r>
        <w:t>s discussion in the working paper abou</w:t>
      </w:r>
      <w:r w:rsidR="00FA06EE">
        <w:t xml:space="preserve">t recruitment and </w:t>
      </w:r>
      <w:proofErr w:type="spellStart"/>
      <w:r w:rsidR="00FA06EE">
        <w:t>depensation</w:t>
      </w:r>
      <w:proofErr w:type="spellEnd"/>
      <w:r w:rsidR="00FA06EE">
        <w:t xml:space="preserve">. </w:t>
      </w:r>
      <w:r>
        <w:t>The r</w:t>
      </w:r>
      <w:r w:rsidR="005266B9">
        <w:t>ecruit and biomass relationship</w:t>
      </w:r>
      <w:r>
        <w:t xml:space="preserve"> from the surveys</w:t>
      </w:r>
      <w:r w:rsidR="005266B9">
        <w:t xml:space="preserve"> was examined so no modeling was involved. R</w:t>
      </w:r>
      <w:r>
        <w:t xml:space="preserve">ecent surveys show very little recruitment despite low exploitation. It was noted that this stock might be in a </w:t>
      </w:r>
      <w:proofErr w:type="spellStart"/>
      <w:r>
        <w:t>depensation</w:t>
      </w:r>
      <w:proofErr w:type="spellEnd"/>
      <w:r>
        <w:t xml:space="preserve"> pit.</w:t>
      </w:r>
    </w:p>
    <w:p w14:paraId="1BB514DF" w14:textId="77777777" w:rsidR="00F52C6F" w:rsidRPr="00F142E9" w:rsidRDefault="00F52C6F" w:rsidP="00F142E9">
      <w:pPr>
        <w:ind w:left="360"/>
        <w:rPr>
          <w:i/>
        </w:rPr>
      </w:pPr>
      <w:r w:rsidRPr="00F142E9">
        <w:rPr>
          <w:i/>
        </w:rPr>
        <w:t>Science Staff, Designated Resource Managers and TRAC Co-Chairs</w:t>
      </w:r>
    </w:p>
    <w:p w14:paraId="0CEE6676" w14:textId="2228E6A4" w:rsidR="00F52C6F" w:rsidRDefault="00F52C6F" w:rsidP="00CC5E15">
      <w:pPr>
        <w:pStyle w:val="BodyText"/>
      </w:pPr>
      <w:r>
        <w:t xml:space="preserve">It was asked what the realized exploitation rate was for </w:t>
      </w:r>
      <w:r w:rsidR="00275310">
        <w:t xml:space="preserve">the current 2019 quota of 140 </w:t>
      </w:r>
      <w:proofErr w:type="spellStart"/>
      <w:r w:rsidR="00275310">
        <w:t>mt</w:t>
      </w:r>
      <w:r>
        <w:t>.</w:t>
      </w:r>
      <w:proofErr w:type="spellEnd"/>
      <w:r>
        <w:t xml:space="preserve"> </w:t>
      </w:r>
      <w:r w:rsidR="00275310">
        <w:t>With the increase in the surveys in 2019, the exploitation rate (quota/</w:t>
      </w:r>
      <w:r w:rsidR="00FA06EE">
        <w:t xml:space="preserve">average survey biomass) is 4%. </w:t>
      </w:r>
      <w:r w:rsidR="005266B9">
        <w:t>The proposed advice wa</w:t>
      </w:r>
      <w:r w:rsidR="00275310">
        <w:t>s to keep</w:t>
      </w:r>
      <w:r w:rsidR="005266B9">
        <w:t xml:space="preserve"> exploitation at or below 6% exploitation</w:t>
      </w:r>
      <w:r w:rsidR="004E78CA">
        <w:t>,</w:t>
      </w:r>
      <w:r w:rsidR="005266B9">
        <w:t xml:space="preserve"> </w:t>
      </w:r>
      <w:r w:rsidR="00275310">
        <w:t xml:space="preserve">which is the average of exploitation between 2010 and 2016 when </w:t>
      </w:r>
      <w:r w:rsidR="005266B9">
        <w:t>the TMGC</w:t>
      </w:r>
      <w:r w:rsidR="00275310">
        <w:t xml:space="preserve"> set the quota in accordance with the TRAC recommendations</w:t>
      </w:r>
      <w:r w:rsidR="00AD1CA4">
        <w:t xml:space="preserve"> and the average survey biomass declined by approximately 95%</w:t>
      </w:r>
      <w:r w:rsidR="00FA06EE">
        <w:t xml:space="preserve">. </w:t>
      </w:r>
      <w:r w:rsidR="00275310">
        <w:t xml:space="preserve">There has been no change in the status of the stock to indicate that this 6% level should be revisited. </w:t>
      </w:r>
    </w:p>
    <w:p w14:paraId="30DD803B" w14:textId="56397361" w:rsidR="00FC3DFA" w:rsidRDefault="008F57D0" w:rsidP="00CC5E15">
      <w:pPr>
        <w:pStyle w:val="BodyText"/>
      </w:pPr>
      <w:r>
        <w:t>There was a request for an update on the status of th</w:t>
      </w:r>
      <w:r w:rsidR="004E78CA">
        <w:t>e Canadian rebuilding plan for Y</w:t>
      </w:r>
      <w:r>
        <w:t>el</w:t>
      </w:r>
      <w:r w:rsidR="004E78CA">
        <w:t>lowtail F</w:t>
      </w:r>
      <w:r w:rsidR="00FA06EE">
        <w:t xml:space="preserve">lounder. </w:t>
      </w:r>
      <w:r>
        <w:t xml:space="preserve">The </w:t>
      </w:r>
      <w:hyperlink r:id="rId24" w:history="1">
        <w:r w:rsidRPr="00046D18">
          <w:rPr>
            <w:rStyle w:val="Hyperlink"/>
          </w:rPr>
          <w:t>plan has been completed and was posted</w:t>
        </w:r>
      </w:hyperlink>
      <w:r>
        <w:t xml:space="preserve"> </w:t>
      </w:r>
      <w:r w:rsidR="004E78CA">
        <w:t>in July</w:t>
      </w:r>
      <w:r w:rsidR="00FA06EE">
        <w:t xml:space="preserve"> 2019. </w:t>
      </w:r>
      <w:r>
        <w:t xml:space="preserve">The plan is a domestic one and </w:t>
      </w:r>
      <w:r w:rsidR="00FC3DFA">
        <w:t>operationally requires that Canada keep</w:t>
      </w:r>
      <w:r w:rsidR="005266B9">
        <w:t xml:space="preserve"> its</w:t>
      </w:r>
      <w:r w:rsidR="00FC3DFA">
        <w:t xml:space="preserve"> own removals within the advice provided by TRAC.</w:t>
      </w:r>
    </w:p>
    <w:p w14:paraId="3C8D1639" w14:textId="3EAB6CB1" w:rsidR="008F57D0" w:rsidRDefault="00FC3DFA" w:rsidP="00CC5E15">
      <w:pPr>
        <w:pStyle w:val="BodyText"/>
      </w:pPr>
      <w:r>
        <w:t>There was agreement from the reviewers, science staff, resource managers, TRAC co-chairs and other meeting participants that the authors had met the second</w:t>
      </w:r>
      <w:r w:rsidR="00FA06EE">
        <w:t xml:space="preserve"> term of reference.</w:t>
      </w:r>
    </w:p>
    <w:p w14:paraId="0B9A6ACB" w14:textId="3A8AE008" w:rsidR="00FC3DFA" w:rsidRPr="00F142E9" w:rsidRDefault="00FC3DFA" w:rsidP="00F142E9">
      <w:pPr>
        <w:ind w:left="360"/>
        <w:rPr>
          <w:u w:val="single"/>
        </w:rPr>
      </w:pPr>
      <w:r w:rsidRPr="00F142E9">
        <w:rPr>
          <w:u w:val="single"/>
        </w:rPr>
        <w:t>Term of Reference 3</w:t>
      </w:r>
    </w:p>
    <w:p w14:paraId="3DFF984E" w14:textId="77777777" w:rsidR="00FC3DFA" w:rsidRPr="00FC3DFA" w:rsidRDefault="00FC3DFA" w:rsidP="00FC3DFA">
      <w:pPr>
        <w:pStyle w:val="ListBullet"/>
        <w:numPr>
          <w:ilvl w:val="0"/>
          <w:numId w:val="0"/>
        </w:numPr>
        <w:rPr>
          <w:i/>
        </w:rPr>
      </w:pPr>
      <w:r w:rsidRPr="00FC3DFA">
        <w:rPr>
          <w:i/>
        </w:rPr>
        <w:t>Describe any adjustments to the benchmark assessment model applied during the TRAC, including impacts on the advice given to TMGC.</w:t>
      </w:r>
    </w:p>
    <w:p w14:paraId="1182C8C6" w14:textId="3E8B6DDD" w:rsidR="00E938C9" w:rsidRDefault="00E938C9" w:rsidP="00CC5E15">
      <w:pPr>
        <w:pStyle w:val="BodyText"/>
      </w:pPr>
      <w:r>
        <w:lastRenderedPageBreak/>
        <w:t>No adjustments were made to the benchmark assessment model. However, information was presented by the authors on analyses currently being undertaken by Timothy Miller of NEFSC</w:t>
      </w:r>
      <w:r w:rsidR="003E3F0C">
        <w:t xml:space="preserve">. </w:t>
      </w:r>
      <w:r>
        <w:t>Preliminary results from his work indicated that catchability (q) may be slightly higher than the current TRAC value of 0.31</w:t>
      </w:r>
      <w:r w:rsidR="004E78CA">
        <w:t>,</w:t>
      </w:r>
      <w:r>
        <w:t xml:space="preserve"> which would translate into slightly lower biomass estimates. This higher q has not been applied to the DFO survey in Dr. Miller’s analyses to date and is not </w:t>
      </w:r>
      <w:r w:rsidR="00AD1CA4">
        <w:t xml:space="preserve">currently </w:t>
      </w:r>
      <w:r>
        <w:t xml:space="preserve">being used in the TRAC empirical approach. </w:t>
      </w:r>
    </w:p>
    <w:p w14:paraId="615CFEA3" w14:textId="77777777" w:rsidR="00E938C9" w:rsidRPr="00F142E9" w:rsidRDefault="00E938C9" w:rsidP="00F142E9">
      <w:pPr>
        <w:ind w:left="360"/>
        <w:rPr>
          <w:i/>
        </w:rPr>
      </w:pPr>
      <w:r w:rsidRPr="00F142E9">
        <w:rPr>
          <w:i/>
        </w:rPr>
        <w:t>Reviewers</w:t>
      </w:r>
    </w:p>
    <w:p w14:paraId="47A1A196" w14:textId="2880264B" w:rsidR="00FC3DFA" w:rsidRDefault="00E938C9" w:rsidP="00CC5E15">
      <w:pPr>
        <w:pStyle w:val="BodyText"/>
      </w:pPr>
      <w:r>
        <w:t>It was noted that</w:t>
      </w:r>
      <w:r w:rsidR="004E78CA">
        <w:t>,</w:t>
      </w:r>
      <w:r>
        <w:t xml:space="preserve"> </w:t>
      </w:r>
      <w:r w:rsidR="00D41D38">
        <w:t>at the present time</w:t>
      </w:r>
      <w:r w:rsidR="004E78CA">
        <w:t>,</w:t>
      </w:r>
      <w:r w:rsidR="00D41D38">
        <w:t xml:space="preserve"> </w:t>
      </w:r>
      <w:r>
        <w:t>the TRAC applies the q va</w:t>
      </w:r>
      <w:r w:rsidR="00FA06EE">
        <w:t xml:space="preserve">lue of 0.31 to the DFO survey. </w:t>
      </w:r>
      <w:r>
        <w:t xml:space="preserve">In Table 12 of the working paper, the reviewers noted that the DFO survey </w:t>
      </w:r>
      <w:r w:rsidR="00CF6E34">
        <w:t xml:space="preserve">swept area biomass </w:t>
      </w:r>
      <w:r>
        <w:t xml:space="preserve">values are almost always </w:t>
      </w:r>
      <w:r w:rsidR="00AD1CA4">
        <w:t xml:space="preserve">(8 out of 10 years) </w:t>
      </w:r>
      <w:r>
        <w:t>below the NMFS spring survey values</w:t>
      </w:r>
      <w:r w:rsidR="004E78CA">
        <w:t>,</w:t>
      </w:r>
      <w:r w:rsidR="00CF6E34">
        <w:t xml:space="preserve"> which may indicate that q is different for the DFO survey. Survey catchability experiments were not conducted using the DFO survey gear (Western IIA trawl).</w:t>
      </w:r>
    </w:p>
    <w:p w14:paraId="1EC0C053" w14:textId="7114F5D5" w:rsidR="00CF6E34" w:rsidRDefault="00CF6E34" w:rsidP="00CC5E15">
      <w:pPr>
        <w:pStyle w:val="BodyText"/>
      </w:pPr>
      <w:r>
        <w:rPr>
          <w:rFonts w:cs="Arial"/>
        </w:rPr>
        <w:t>There was agreement from the reviewers, science staff, resource managers, TRAC co-chairs and other meeting participants that the authors had met t</w:t>
      </w:r>
      <w:r w:rsidR="00FA06EE">
        <w:rPr>
          <w:rFonts w:cs="Arial"/>
        </w:rPr>
        <w:t>he third term of reference.</w:t>
      </w:r>
    </w:p>
    <w:p w14:paraId="639EF8E8" w14:textId="77777777" w:rsidR="00CF6E34" w:rsidRPr="00F142E9" w:rsidRDefault="00CF6E34" w:rsidP="00F142E9">
      <w:pPr>
        <w:ind w:left="360"/>
        <w:rPr>
          <w:u w:val="single"/>
        </w:rPr>
      </w:pPr>
      <w:r w:rsidRPr="00F142E9">
        <w:rPr>
          <w:u w:val="single"/>
        </w:rPr>
        <w:t>Term of Reference 4</w:t>
      </w:r>
    </w:p>
    <w:p w14:paraId="64BFC46E" w14:textId="31D01BD2" w:rsidR="00A4159C" w:rsidRDefault="00CF6E34" w:rsidP="00E82E3D">
      <w:pPr>
        <w:pStyle w:val="ListBullet"/>
        <w:numPr>
          <w:ilvl w:val="0"/>
          <w:numId w:val="0"/>
        </w:numPr>
        <w:spacing w:before="120"/>
        <w:rPr>
          <w:rFonts w:cs="Arial"/>
          <w:i/>
          <w:szCs w:val="22"/>
        </w:rPr>
      </w:pPr>
      <w:r w:rsidRPr="00CF6E34">
        <w:rPr>
          <w:rFonts w:cs="Arial"/>
          <w:i/>
          <w:szCs w:val="22"/>
        </w:rPr>
        <w:t>Consistent with 201</w:t>
      </w:r>
      <w:r>
        <w:rPr>
          <w:rFonts w:cs="Arial"/>
          <w:i/>
          <w:szCs w:val="22"/>
        </w:rPr>
        <w:t>8</w:t>
      </w:r>
      <w:r w:rsidRPr="00CF6E34">
        <w:rPr>
          <w:rFonts w:cs="Arial"/>
          <w:i/>
          <w:szCs w:val="22"/>
        </w:rPr>
        <w:t xml:space="preserve"> TSR, update and </w:t>
      </w:r>
      <w:r w:rsidR="004E78CA">
        <w:rPr>
          <w:rFonts w:cs="Arial"/>
          <w:i/>
          <w:szCs w:val="22"/>
        </w:rPr>
        <w:t>comment on trends in relative F</w:t>
      </w:r>
      <w:r w:rsidRPr="00CF6E34">
        <w:rPr>
          <w:rFonts w:cs="Arial"/>
          <w:i/>
          <w:szCs w:val="22"/>
        </w:rPr>
        <w:t xml:space="preserve"> and total mortality (Z).</w:t>
      </w:r>
    </w:p>
    <w:p w14:paraId="2BDF9C3C" w14:textId="77777777" w:rsidR="00CF6E34" w:rsidRPr="00F142E9" w:rsidRDefault="00A4159C" w:rsidP="00F142E9">
      <w:pPr>
        <w:ind w:left="360"/>
        <w:rPr>
          <w:i/>
        </w:rPr>
      </w:pPr>
      <w:r w:rsidRPr="00F142E9">
        <w:rPr>
          <w:i/>
        </w:rPr>
        <w:t>Reviewers</w:t>
      </w:r>
      <w:r w:rsidR="00CF6E34" w:rsidRPr="00F142E9">
        <w:rPr>
          <w:i/>
        </w:rPr>
        <w:t xml:space="preserve"> </w:t>
      </w:r>
    </w:p>
    <w:p w14:paraId="3C796F55" w14:textId="688A86E9" w:rsidR="000358FD" w:rsidRDefault="00546B59" w:rsidP="00CC5E15">
      <w:pPr>
        <w:pStyle w:val="BodyText"/>
      </w:pPr>
      <w:r>
        <w:t>Calculations of Z are hindered by zeros and very low numbers and</w:t>
      </w:r>
      <w:r w:rsidR="004E78CA">
        <w:t>,</w:t>
      </w:r>
      <w:r>
        <w:t xml:space="preserve"> therefore</w:t>
      </w:r>
      <w:r w:rsidR="004E78CA">
        <w:t>,</w:t>
      </w:r>
      <w:r>
        <w:t xml:space="preserve"> it is hard to draw conclusions based on such a low </w:t>
      </w:r>
      <w:r w:rsidR="00F24325">
        <w:t>total number of fish caught in each survey</w:t>
      </w:r>
      <w:r w:rsidR="00FA06EE">
        <w:t xml:space="preserve">. </w:t>
      </w:r>
      <w:r>
        <w:t xml:space="preserve">However, </w:t>
      </w:r>
      <w:r w:rsidR="000358FD">
        <w:t>these analyses will have importance and relevance if the stock recovers.</w:t>
      </w:r>
    </w:p>
    <w:p w14:paraId="19B0D8F0" w14:textId="3E944A7E" w:rsidR="000358FD" w:rsidRDefault="000358FD" w:rsidP="00CC5E15">
      <w:pPr>
        <w:pStyle w:val="BodyText"/>
      </w:pPr>
      <w:r>
        <w:t xml:space="preserve">The declines in weights and lengths at age of older yellowtail </w:t>
      </w:r>
      <w:r w:rsidR="005266B9">
        <w:t>are</w:t>
      </w:r>
      <w:r>
        <w:t xml:space="preserve"> similar to what is being seen across many stocks. This decline impacts mortality because smaller fish are more available as food. The cause is not known</w:t>
      </w:r>
      <w:r w:rsidR="00FA06EE">
        <w:t>,</w:t>
      </w:r>
      <w:r>
        <w:t xml:space="preserve"> but it should be a big research priority across stocks.</w:t>
      </w:r>
    </w:p>
    <w:p w14:paraId="307F267C" w14:textId="77777777" w:rsidR="000358FD" w:rsidRPr="001B22B9" w:rsidRDefault="000358FD" w:rsidP="00E82E3D">
      <w:pPr>
        <w:pStyle w:val="NoSpacing"/>
        <w:tabs>
          <w:tab w:val="left" w:pos="8640"/>
        </w:tabs>
        <w:spacing w:before="120" w:after="120"/>
        <w:ind w:left="360" w:right="360"/>
        <w:rPr>
          <w:rFonts w:ascii="Arial" w:hAnsi="Arial" w:cs="Arial"/>
        </w:rPr>
      </w:pPr>
      <w:r w:rsidRPr="001B22B9">
        <w:rPr>
          <w:rFonts w:ascii="Arial" w:hAnsi="Arial" w:cs="Arial"/>
          <w:b/>
        </w:rPr>
        <w:t xml:space="preserve">Research Recommendation: </w:t>
      </w:r>
      <w:r w:rsidR="005266B9" w:rsidRPr="001B22B9">
        <w:rPr>
          <w:rFonts w:ascii="Arial" w:hAnsi="Arial" w:cs="Arial"/>
        </w:rPr>
        <w:t xml:space="preserve">Investigate </w:t>
      </w:r>
      <w:r w:rsidRPr="001B22B9">
        <w:rPr>
          <w:rFonts w:ascii="Arial" w:hAnsi="Arial" w:cs="Arial"/>
        </w:rPr>
        <w:t>potential causes and effects of decreases in weights and lengths at age across fish stocks.</w:t>
      </w:r>
    </w:p>
    <w:p w14:paraId="18F43ED6" w14:textId="77777777" w:rsidR="000358FD" w:rsidRPr="00F142E9" w:rsidRDefault="000358FD" w:rsidP="00F142E9">
      <w:pPr>
        <w:ind w:left="360"/>
        <w:rPr>
          <w:i/>
        </w:rPr>
      </w:pPr>
      <w:r w:rsidRPr="00F142E9">
        <w:rPr>
          <w:i/>
        </w:rPr>
        <w:t>Science Staff, Designated Resource Managers and TRAC Co-Chairs</w:t>
      </w:r>
    </w:p>
    <w:p w14:paraId="6D1B5EC6" w14:textId="2A0EF6FD" w:rsidR="00A4159C" w:rsidRDefault="007949A7" w:rsidP="00CC5E15">
      <w:pPr>
        <w:pStyle w:val="BodyText"/>
      </w:pPr>
      <w:r w:rsidRPr="007949A7">
        <w:t xml:space="preserve">There has been an increase in the </w:t>
      </w:r>
      <w:r w:rsidR="00F24325">
        <w:t xml:space="preserve">survey Z from the </w:t>
      </w:r>
      <w:r w:rsidRPr="007949A7">
        <w:t xml:space="preserve">DFO survey and decreases in </w:t>
      </w:r>
      <w:r w:rsidR="00F24325">
        <w:t xml:space="preserve">survey Z from </w:t>
      </w:r>
      <w:r w:rsidRPr="007949A7">
        <w:t>the NMFS surveys. It was asked if there w</w:t>
      </w:r>
      <w:r w:rsidR="005266B9">
        <w:t>ere</w:t>
      </w:r>
      <w:r w:rsidRPr="007949A7">
        <w:t xml:space="preserve"> any ideas about why this had occurred. The </w:t>
      </w:r>
      <w:r w:rsidR="005266B9">
        <w:t xml:space="preserve">leads noted that </w:t>
      </w:r>
      <w:r w:rsidRPr="007949A7">
        <w:t xml:space="preserve">the </w:t>
      </w:r>
      <w:r w:rsidR="00F24325">
        <w:t>number of fish caught</w:t>
      </w:r>
      <w:r w:rsidRPr="007949A7">
        <w:t xml:space="preserve"> is small and so the difference between the surveys is within the noise around those estimates. It is important not to over-interpret any one value</w:t>
      </w:r>
      <w:r w:rsidR="003E3F0C">
        <w:t xml:space="preserve">. </w:t>
      </w:r>
    </w:p>
    <w:p w14:paraId="4E0FB343" w14:textId="77777777" w:rsidR="007949A7" w:rsidRPr="00F142E9" w:rsidRDefault="007949A7" w:rsidP="00F142E9">
      <w:pPr>
        <w:ind w:left="360"/>
        <w:rPr>
          <w:i/>
        </w:rPr>
      </w:pPr>
      <w:r w:rsidRPr="00F142E9">
        <w:rPr>
          <w:i/>
        </w:rPr>
        <w:t>Other Meeting participants</w:t>
      </w:r>
    </w:p>
    <w:p w14:paraId="4B5CE961" w14:textId="4857CD7C" w:rsidR="00A4159C" w:rsidRPr="007949A7" w:rsidRDefault="0047732C" w:rsidP="00CC5E15">
      <w:pPr>
        <w:pStyle w:val="BodyText"/>
      </w:pPr>
      <w:r>
        <w:t>With the exception of the DFO survey, it d</w:t>
      </w:r>
      <w:r w:rsidR="003B74EE">
        <w:t>id</w:t>
      </w:r>
      <w:r>
        <w:t xml:space="preserve"> not appear that survey Z is currently high. The valu</w:t>
      </w:r>
      <w:r w:rsidR="004E78CA">
        <w:t>es are fairly close to the long-</w:t>
      </w:r>
      <w:r>
        <w:t>term average except for the final points</w:t>
      </w:r>
      <w:r w:rsidR="004E78CA">
        <w:t>,</w:t>
      </w:r>
      <w:r>
        <w:t xml:space="preserve"> which are based o</w:t>
      </w:r>
      <w:r w:rsidR="003B74EE">
        <w:t>n very low or zero catches</w:t>
      </w:r>
      <w:r w:rsidR="00380BAF">
        <w:t xml:space="preserve"> at age in the surveys</w:t>
      </w:r>
      <w:r w:rsidR="003B74EE">
        <w:t xml:space="preserve">. Again it </w:t>
      </w:r>
      <w:r>
        <w:t>is important not to over-interpret</w:t>
      </w:r>
      <w:r w:rsidR="003B74EE">
        <w:t xml:space="preserve"> when dealing with such low numbers</w:t>
      </w:r>
      <w:r w:rsidR="00FA06EE">
        <w:t>.</w:t>
      </w:r>
    </w:p>
    <w:p w14:paraId="4672187D" w14:textId="5A593FF6" w:rsidR="00570612" w:rsidRDefault="00570612" w:rsidP="00CC5E15">
      <w:pPr>
        <w:pStyle w:val="BodyText"/>
      </w:pPr>
      <w:r>
        <w:t>There was agreement from the reviewers, science staff, resource managers, TRAC co-chairs and other meeting participants that the authors had met the fourth t</w:t>
      </w:r>
      <w:r w:rsidR="00FA06EE">
        <w:t>erm of reference.</w:t>
      </w:r>
    </w:p>
    <w:p w14:paraId="38AF73D8" w14:textId="77777777" w:rsidR="00ED3FAB" w:rsidRDefault="00ED3FAB">
      <w:pPr>
        <w:spacing w:before="0" w:after="0"/>
        <w:rPr>
          <w:u w:val="single"/>
        </w:rPr>
      </w:pPr>
      <w:r>
        <w:rPr>
          <w:u w:val="single"/>
        </w:rPr>
        <w:br w:type="page"/>
      </w:r>
    </w:p>
    <w:p w14:paraId="22223C9E" w14:textId="55EB2320" w:rsidR="00570612" w:rsidRPr="001B22B9" w:rsidRDefault="00570612" w:rsidP="001B22B9">
      <w:pPr>
        <w:ind w:left="360"/>
        <w:rPr>
          <w:u w:val="single"/>
        </w:rPr>
      </w:pPr>
      <w:r w:rsidRPr="001B22B9">
        <w:rPr>
          <w:u w:val="single"/>
        </w:rPr>
        <w:lastRenderedPageBreak/>
        <w:t>Term of Reference 5</w:t>
      </w:r>
    </w:p>
    <w:p w14:paraId="167C3EA3" w14:textId="77777777" w:rsidR="00570612" w:rsidRPr="00570612" w:rsidRDefault="00570612" w:rsidP="00196931">
      <w:pPr>
        <w:pStyle w:val="Default"/>
        <w:spacing w:before="120" w:after="120"/>
        <w:rPr>
          <w:i/>
          <w:sz w:val="22"/>
          <w:szCs w:val="22"/>
        </w:rPr>
      </w:pPr>
      <w:r w:rsidRPr="00570612">
        <w:rPr>
          <w:i/>
          <w:sz w:val="22"/>
          <w:szCs w:val="22"/>
        </w:rPr>
        <w:t xml:space="preserve">Describe the rationale for the range of exploitation rates provided by TRAC as catch advice compared to previous guidance. </w:t>
      </w:r>
    </w:p>
    <w:p w14:paraId="377BA066" w14:textId="77777777" w:rsidR="00570612" w:rsidRPr="00F142E9" w:rsidRDefault="00570612" w:rsidP="00F142E9">
      <w:pPr>
        <w:ind w:left="360"/>
        <w:rPr>
          <w:i/>
        </w:rPr>
      </w:pPr>
      <w:r w:rsidRPr="00F142E9">
        <w:rPr>
          <w:i/>
        </w:rPr>
        <w:t xml:space="preserve">Reviewers </w:t>
      </w:r>
    </w:p>
    <w:p w14:paraId="1CC530D7" w14:textId="009E70FF" w:rsidR="00570612" w:rsidRDefault="00570612" w:rsidP="00CC5E15">
      <w:pPr>
        <w:pStyle w:val="BodyText"/>
      </w:pPr>
      <w:r>
        <w:t>The authors provided a history of the decision to recommend a quota at or below the</w:t>
      </w:r>
      <w:r w:rsidR="00FF0ED2">
        <w:t xml:space="preserve"> level of</w:t>
      </w:r>
      <w:r>
        <w:t xml:space="preserve"> 6% exploitation </w:t>
      </w:r>
      <w:r w:rsidR="009A4349">
        <w:t>(≤</w:t>
      </w:r>
      <w:r w:rsidR="00FF0ED2">
        <w:t xml:space="preserve">199 </w:t>
      </w:r>
      <w:proofErr w:type="spellStart"/>
      <w:r w:rsidR="00FF0ED2">
        <w:t>mt</w:t>
      </w:r>
      <w:proofErr w:type="spellEnd"/>
      <w:r w:rsidR="00FF0ED2">
        <w:t>). T</w:t>
      </w:r>
      <w:r>
        <w:t>he</w:t>
      </w:r>
      <w:r w:rsidR="003B74EE">
        <w:t>y proposed applying the</w:t>
      </w:r>
      <w:r>
        <w:t xml:space="preserve"> same logic </w:t>
      </w:r>
      <w:r w:rsidR="003B74EE">
        <w:t>for the catch advice again this year</w:t>
      </w:r>
      <w:r w:rsidR="00FA06EE">
        <w:t xml:space="preserve">. </w:t>
      </w:r>
      <w:r>
        <w:t xml:space="preserve">The reviewers were </w:t>
      </w:r>
      <w:r w:rsidR="00746D18">
        <w:t>in agreement</w:t>
      </w:r>
      <w:r w:rsidR="00FA06EE">
        <w:t xml:space="preserve"> with this approach. </w:t>
      </w:r>
      <w:r>
        <w:t>It represent</w:t>
      </w:r>
      <w:r w:rsidR="003B74EE">
        <w:t>s</w:t>
      </w:r>
      <w:r>
        <w:t xml:space="preserve"> an increase in catch advice</w:t>
      </w:r>
      <w:r w:rsidR="003B74EE">
        <w:t xml:space="preserve"> from 2018</w:t>
      </w:r>
      <w:r w:rsidR="00FA06EE">
        <w:t xml:space="preserve">. </w:t>
      </w:r>
      <w:r w:rsidR="00746D18">
        <w:t>There were small increases in the NMFS spring and fall surveys</w:t>
      </w:r>
      <w:r w:rsidR="004E78CA">
        <w:t>,</w:t>
      </w:r>
      <w:r w:rsidR="00746D18">
        <w:t xml:space="preserve"> and it is important to protect those</w:t>
      </w:r>
      <w:r w:rsidR="00380BAF">
        <w:t xml:space="preserve"> increases</w:t>
      </w:r>
      <w:r w:rsidR="00FA06EE">
        <w:t xml:space="preserve">. </w:t>
      </w:r>
      <w:r w:rsidR="00746D18">
        <w:t>This need to protect the stock should be reflected in the TSR.</w:t>
      </w:r>
    </w:p>
    <w:p w14:paraId="53EF5C08" w14:textId="77777777" w:rsidR="00746D18" w:rsidRPr="00F142E9" w:rsidRDefault="00746D18" w:rsidP="00F142E9">
      <w:pPr>
        <w:ind w:left="360"/>
        <w:rPr>
          <w:i/>
        </w:rPr>
      </w:pPr>
      <w:r w:rsidRPr="00F142E9">
        <w:rPr>
          <w:i/>
        </w:rPr>
        <w:t>Science Staff, Designated Resource Managers and TRAC Co-Chairs</w:t>
      </w:r>
    </w:p>
    <w:p w14:paraId="20AA7407" w14:textId="61DE9DB2" w:rsidR="00FF0ED2" w:rsidRDefault="00746D18" w:rsidP="00CC5E15">
      <w:pPr>
        <w:pStyle w:val="BodyText"/>
      </w:pPr>
      <w:r>
        <w:t xml:space="preserve">There was agreement </w:t>
      </w:r>
      <w:r w:rsidR="00FF0ED2">
        <w:t>wi</w:t>
      </w:r>
      <w:r w:rsidR="004E78CA">
        <w:t>th the approach to recommend a</w:t>
      </w:r>
      <w:r w:rsidR="00FF0ED2">
        <w:t xml:space="preserve"> quota at or bel</w:t>
      </w:r>
      <w:r w:rsidR="009A4349">
        <w:t>ow the 6% exploitation level (≤</w:t>
      </w:r>
      <w:r w:rsidR="00FF0ED2">
        <w:t xml:space="preserve">199 </w:t>
      </w:r>
      <w:proofErr w:type="spellStart"/>
      <w:r w:rsidR="00FF0ED2">
        <w:t>mt</w:t>
      </w:r>
      <w:proofErr w:type="spellEnd"/>
      <w:r w:rsidR="00FF0ED2">
        <w:t>).</w:t>
      </w:r>
    </w:p>
    <w:p w14:paraId="4631F135" w14:textId="77777777" w:rsidR="00FF0ED2" w:rsidRPr="00F142E9" w:rsidRDefault="00FF0ED2" w:rsidP="00F142E9">
      <w:pPr>
        <w:ind w:left="360"/>
        <w:rPr>
          <w:i/>
        </w:rPr>
      </w:pPr>
      <w:r w:rsidRPr="00F142E9">
        <w:rPr>
          <w:i/>
        </w:rPr>
        <w:t>Other Meeting participants</w:t>
      </w:r>
    </w:p>
    <w:p w14:paraId="04FF4EBB" w14:textId="50046EE0" w:rsidR="00570612" w:rsidRPr="00570612" w:rsidRDefault="00FF0ED2" w:rsidP="00CC5E15">
      <w:pPr>
        <w:pStyle w:val="BodyText"/>
      </w:pPr>
      <w:r>
        <w:t xml:space="preserve">It was noted that there has been an increase in two out of the three surveys and it was asked what the reasons would be to increase the quota advice. </w:t>
      </w:r>
      <w:r w:rsidR="00380BAF">
        <w:t xml:space="preserve">Reasons include </w:t>
      </w:r>
      <w:r>
        <w:t>increase in survey biomass, expansion of the ag</w:t>
      </w:r>
      <w:r w:rsidR="000B406D">
        <w:t>e structure</w:t>
      </w:r>
      <w:r>
        <w:t xml:space="preserve">, and an increase in the spatial distribution of the stock. </w:t>
      </w:r>
      <w:r w:rsidR="000B406D">
        <w:t xml:space="preserve">Since increases </w:t>
      </w:r>
      <w:r w:rsidR="003B74EE">
        <w:t>in</w:t>
      </w:r>
      <w:r w:rsidR="000B406D">
        <w:t xml:space="preserve"> biomass and spatial distribution would automatically lead to higher quota advice based on the method used in the empirical approach even at the 6% exploitation rate, it is really evidence of age expansion that would justify a higher exploitation rate. Higher numbers of juveniles, for example, would not be enough to justify using a higher exploitation rate if they </w:t>
      </w:r>
      <w:r w:rsidR="003B74EE">
        <w:t>we</w:t>
      </w:r>
      <w:r w:rsidR="000B406D">
        <w:t>re not surviving into the older ages. A large number of juveniles might actually justify a lower exploitation rate in order to protect them.</w:t>
      </w:r>
    </w:p>
    <w:p w14:paraId="517C128E" w14:textId="6310CABA" w:rsidR="00570612" w:rsidRPr="00570612" w:rsidRDefault="000B406D" w:rsidP="00CC5E15">
      <w:pPr>
        <w:pStyle w:val="BodyText"/>
      </w:pPr>
      <w:r>
        <w:t>At the 2014 benchmark</w:t>
      </w:r>
      <w:r w:rsidR="004E78CA">
        <w:t>,</w:t>
      </w:r>
      <w:r>
        <w:t xml:space="preserve"> the range of exploitation rates used to provide the advice was from 2 to 16%. This was revisited in 2017 after analyses of wing width to door width conversions and catchability</w:t>
      </w:r>
      <w:r w:rsidR="00DB1862">
        <w:t xml:space="preserve"> (q)</w:t>
      </w:r>
      <w:r>
        <w:t xml:space="preserve">. </w:t>
      </w:r>
      <w:r w:rsidR="00570612" w:rsidRPr="00570612">
        <w:t xml:space="preserve">Before </w:t>
      </w:r>
      <w:r>
        <w:t xml:space="preserve">the survey q was </w:t>
      </w:r>
      <w:r w:rsidR="00570612" w:rsidRPr="00570612">
        <w:t xml:space="preserve">changed, </w:t>
      </w:r>
      <w:r w:rsidR="00DB1862">
        <w:t xml:space="preserve">the </w:t>
      </w:r>
      <w:r w:rsidR="00570612" w:rsidRPr="00570612">
        <w:t xml:space="preserve">exploitation calculation was higher because at </w:t>
      </w:r>
      <w:r w:rsidR="004E78CA">
        <w:t xml:space="preserve">the </w:t>
      </w:r>
      <w:r w:rsidR="00570612" w:rsidRPr="00570612">
        <w:t xml:space="preserve">same quota there was a higher biomass. </w:t>
      </w:r>
      <w:r w:rsidR="00DB1862">
        <w:t xml:space="preserve">The </w:t>
      </w:r>
      <w:r w:rsidR="00570612" w:rsidRPr="00570612">
        <w:t>change in</w:t>
      </w:r>
      <w:r w:rsidR="00DB1862">
        <w:t xml:space="preserve"> the value of</w:t>
      </w:r>
      <w:r w:rsidR="00570612" w:rsidRPr="00570612">
        <w:t xml:space="preserve"> q </w:t>
      </w:r>
      <w:r w:rsidR="004E78CA">
        <w:t>used</w:t>
      </w:r>
      <w:r w:rsidR="00DB1862">
        <w:t xml:space="preserve"> led to a change in the </w:t>
      </w:r>
      <w:r w:rsidR="00570612" w:rsidRPr="00570612">
        <w:t xml:space="preserve">perception of </w:t>
      </w:r>
      <w:r w:rsidR="00DB1862">
        <w:t xml:space="preserve">the </w:t>
      </w:r>
      <w:r w:rsidR="00570612" w:rsidRPr="00570612">
        <w:t>stock</w:t>
      </w:r>
      <w:r w:rsidR="00DB1862">
        <w:t>, adjusting the survey biomass estimates down and</w:t>
      </w:r>
      <w:r w:rsidR="004E78CA">
        <w:t>,</w:t>
      </w:r>
      <w:r w:rsidR="00DB1862">
        <w:t xml:space="preserve"> therefore</w:t>
      </w:r>
      <w:r w:rsidR="004E78CA">
        <w:t>,</w:t>
      </w:r>
      <w:r w:rsidR="00DB1862">
        <w:t xml:space="preserve"> reducing the calculated exploitation rates that were used to set the appropri</w:t>
      </w:r>
      <w:r w:rsidR="00570612" w:rsidRPr="00570612">
        <w:t xml:space="preserve">ate exploitation advice. </w:t>
      </w:r>
      <w:r w:rsidR="00DB1862">
        <w:t xml:space="preserve">The </w:t>
      </w:r>
      <w:r w:rsidR="00570612" w:rsidRPr="00570612">
        <w:t xml:space="preserve">6% </w:t>
      </w:r>
      <w:r w:rsidR="00DB1862">
        <w:t>value used to set the advice is the average</w:t>
      </w:r>
      <w:r w:rsidR="00570612" w:rsidRPr="00570612">
        <w:t xml:space="preserve"> exploitation from 2010 to 2016</w:t>
      </w:r>
      <w:r w:rsidR="00380BAF">
        <w:t>, when the average stock biomass declined by approximately 95%,</w:t>
      </w:r>
      <w:r w:rsidR="00570612" w:rsidRPr="00570612">
        <w:t xml:space="preserve"> and </w:t>
      </w:r>
      <w:r w:rsidR="00DB1862">
        <w:t xml:space="preserve">does </w:t>
      </w:r>
      <w:r w:rsidR="00570612" w:rsidRPr="00570612">
        <w:t xml:space="preserve">not </w:t>
      </w:r>
      <w:r w:rsidR="00DB1862">
        <w:t>include 2017 and 2018 when</w:t>
      </w:r>
      <w:r w:rsidR="00570612" w:rsidRPr="00570612">
        <w:t xml:space="preserve"> quotas </w:t>
      </w:r>
      <w:r w:rsidR="00DB1862">
        <w:t>were set</w:t>
      </w:r>
      <w:r w:rsidR="00570612" w:rsidRPr="00570612">
        <w:t xml:space="preserve"> above </w:t>
      </w:r>
      <w:r w:rsidR="00DB1862">
        <w:t xml:space="preserve">the </w:t>
      </w:r>
      <w:r w:rsidR="00570612" w:rsidRPr="00570612">
        <w:t xml:space="preserve">TRAC advice. </w:t>
      </w:r>
      <w:r w:rsidR="00DB1862">
        <w:t xml:space="preserve">If those years were included, average exploitation would be </w:t>
      </w:r>
      <w:r w:rsidR="00570612" w:rsidRPr="00570612">
        <w:t>8%</w:t>
      </w:r>
      <w:r w:rsidR="00DB1862">
        <w:t>. It was suggested that it was inconsi</w:t>
      </w:r>
      <w:r w:rsidR="004E78CA">
        <w:t>stent to include</w:t>
      </w:r>
      <w:r w:rsidR="00DC3800">
        <w:t xml:space="preserve"> in the analysis years when the TMGC recommended</w:t>
      </w:r>
      <w:r w:rsidR="00DB1862">
        <w:t xml:space="preserve"> more conservative quotas than the TRAC advice, but not years when </w:t>
      </w:r>
      <w:r w:rsidR="00DC3800">
        <w:t>TMGC recommended quotas above the</w:t>
      </w:r>
      <w:r w:rsidR="00DB1862">
        <w:t xml:space="preserve"> TRAC advice. It was noted, however, that the</w:t>
      </w:r>
      <w:r w:rsidR="00570612" w:rsidRPr="00570612">
        <w:t xml:space="preserve"> catch advice</w:t>
      </w:r>
      <w:r w:rsidR="00DB1862">
        <w:t xml:space="preserve"> is</w:t>
      </w:r>
      <w:r w:rsidR="00570612" w:rsidRPr="00570612">
        <w:t xml:space="preserve"> to protect what remains and </w:t>
      </w:r>
      <w:r w:rsidR="00DC3800">
        <w:t>setting catch advice lower than it is,</w:t>
      </w:r>
      <w:r w:rsidR="00570612" w:rsidRPr="00570612">
        <w:t xml:space="preserve"> is </w:t>
      </w:r>
      <w:r w:rsidR="00DB1862">
        <w:t xml:space="preserve">in </w:t>
      </w:r>
      <w:r w:rsidR="00570612" w:rsidRPr="00570612">
        <w:t xml:space="preserve">keeping with that philosophy of being more protective. </w:t>
      </w:r>
      <w:r w:rsidR="00DB1862">
        <w:t>In recent years</w:t>
      </w:r>
      <w:r w:rsidR="00DC3800">
        <w:t>,</w:t>
      </w:r>
      <w:r w:rsidR="00DB1862">
        <w:t xml:space="preserve"> the quota based on the </w:t>
      </w:r>
      <w:r w:rsidR="00570612" w:rsidRPr="00570612">
        <w:t xml:space="preserve">6% exploitation rate is still greater than has actually </w:t>
      </w:r>
      <w:r w:rsidR="00DB1862">
        <w:t>been caught</w:t>
      </w:r>
      <w:r w:rsidR="00570612" w:rsidRPr="00570612">
        <w:t xml:space="preserve">. </w:t>
      </w:r>
      <w:r w:rsidR="00DB1862">
        <w:t xml:space="preserve">The current advice is based on the </w:t>
      </w:r>
      <w:r w:rsidR="00570612" w:rsidRPr="00570612">
        <w:t xml:space="preserve">assumption that </w:t>
      </w:r>
      <w:r w:rsidR="00DB1862">
        <w:t xml:space="preserve">the </w:t>
      </w:r>
      <w:r w:rsidR="00570612" w:rsidRPr="00570612">
        <w:t>relationship between where</w:t>
      </w:r>
      <w:r w:rsidR="00DB1862">
        <w:t xml:space="preserve"> the</w:t>
      </w:r>
      <w:r w:rsidR="00570612" w:rsidRPr="00570612">
        <w:t xml:space="preserve"> quota is set and </w:t>
      </w:r>
      <w:r w:rsidR="00DB1862">
        <w:t xml:space="preserve">the </w:t>
      </w:r>
      <w:proofErr w:type="spellStart"/>
      <w:r w:rsidR="00DB1862">
        <w:t>realised</w:t>
      </w:r>
      <w:proofErr w:type="spellEnd"/>
      <w:r w:rsidR="00DB1862">
        <w:t xml:space="preserve"> </w:t>
      </w:r>
      <w:r w:rsidR="00570612" w:rsidRPr="00570612">
        <w:t xml:space="preserve">catch continues. </w:t>
      </w:r>
      <w:r w:rsidR="003B74EE" w:rsidRPr="00570612">
        <w:t xml:space="preserve">If </w:t>
      </w:r>
      <w:r w:rsidR="003B74EE">
        <w:t xml:space="preserve">the </w:t>
      </w:r>
      <w:r w:rsidR="003B74EE" w:rsidRPr="00570612">
        <w:t>quota were to be fully caught, there would be a n</w:t>
      </w:r>
      <w:r w:rsidR="003B74EE">
        <w:t xml:space="preserve">eed to revisit the level of </w:t>
      </w:r>
      <w:r w:rsidR="003B74EE" w:rsidRPr="00570612">
        <w:t xml:space="preserve">exploitation </w:t>
      </w:r>
      <w:r w:rsidR="003B74EE">
        <w:t>used to provide advice</w:t>
      </w:r>
      <w:r w:rsidR="003B74EE" w:rsidRPr="00570612">
        <w:t xml:space="preserve">. </w:t>
      </w:r>
      <w:r w:rsidR="00637C35">
        <w:t>There are m</w:t>
      </w:r>
      <w:r w:rsidR="00570612" w:rsidRPr="00570612">
        <w:t>any factors ou</w:t>
      </w:r>
      <w:r w:rsidR="00637C35">
        <w:t>tside of biology that are human/</w:t>
      </w:r>
      <w:r w:rsidR="00570612" w:rsidRPr="00570612">
        <w:t xml:space="preserve">management made that </w:t>
      </w:r>
      <w:r w:rsidR="00637C35">
        <w:t>impact the catch. It was noted that l</w:t>
      </w:r>
      <w:r w:rsidR="00570612" w:rsidRPr="00570612">
        <w:t xml:space="preserve">ow </w:t>
      </w:r>
      <w:r w:rsidR="00637C35">
        <w:t xml:space="preserve">yellowtail </w:t>
      </w:r>
      <w:r w:rsidR="00570612" w:rsidRPr="00570612">
        <w:t>quota has an impact on other species being caught.</w:t>
      </w:r>
    </w:p>
    <w:p w14:paraId="1FE0BB63" w14:textId="76EC5AB3" w:rsidR="00966F3E" w:rsidRDefault="00637C35" w:rsidP="00CC5E15">
      <w:pPr>
        <w:pStyle w:val="BodyText"/>
      </w:pPr>
      <w:r>
        <w:t xml:space="preserve">It was </w:t>
      </w:r>
      <w:r w:rsidR="00966F3E">
        <w:t>suggested that</w:t>
      </w:r>
      <w:r>
        <w:t xml:space="preserve">, again this year, the statement that </w:t>
      </w:r>
      <w:r w:rsidR="003B74EE">
        <w:t>“</w:t>
      </w:r>
      <w:r>
        <w:t>fishing</w:t>
      </w:r>
      <w:r w:rsidR="00966F3E">
        <w:t xml:space="preserve"> does not appear to be a major driver of stock status</w:t>
      </w:r>
      <w:r w:rsidR="003B74EE">
        <w:t>”</w:t>
      </w:r>
      <w:r w:rsidR="00966F3E">
        <w:t xml:space="preserve"> should be included in the TSR. </w:t>
      </w:r>
      <w:r w:rsidR="00570612" w:rsidRPr="00570612">
        <w:t xml:space="preserve">Reported catch </w:t>
      </w:r>
      <w:r w:rsidR="00966F3E">
        <w:t>does not appear to be</w:t>
      </w:r>
      <w:r w:rsidR="00570612" w:rsidRPr="00570612">
        <w:t xml:space="preserve"> driving the population</w:t>
      </w:r>
      <w:r w:rsidR="00DC3800">
        <w:t>,</w:t>
      </w:r>
      <w:r w:rsidR="00570612" w:rsidRPr="00570612">
        <w:t xml:space="preserve"> but</w:t>
      </w:r>
      <w:r w:rsidR="00966F3E">
        <w:t xml:space="preserve"> there are</w:t>
      </w:r>
      <w:r w:rsidR="00570612" w:rsidRPr="00570612">
        <w:t xml:space="preserve"> indications of </w:t>
      </w:r>
      <w:proofErr w:type="spellStart"/>
      <w:r w:rsidR="00570612" w:rsidRPr="00570612">
        <w:t>depensation</w:t>
      </w:r>
      <w:proofErr w:type="spellEnd"/>
      <w:r w:rsidR="00570612" w:rsidRPr="00570612">
        <w:t xml:space="preserve"> and that is why the stock is not </w:t>
      </w:r>
      <w:r w:rsidR="00570612" w:rsidRPr="00570612">
        <w:lastRenderedPageBreak/>
        <w:t xml:space="preserve">recovering despite </w:t>
      </w:r>
      <w:r w:rsidR="00966F3E">
        <w:t xml:space="preserve">the </w:t>
      </w:r>
      <w:r w:rsidR="00570612" w:rsidRPr="00570612">
        <w:t xml:space="preserve">low catch advice. Until </w:t>
      </w:r>
      <w:r w:rsidR="003B74EE">
        <w:t xml:space="preserve">the </w:t>
      </w:r>
      <w:r w:rsidR="00570612" w:rsidRPr="00570612">
        <w:t xml:space="preserve">population increases, </w:t>
      </w:r>
      <w:r w:rsidR="00966F3E">
        <w:t xml:space="preserve">catches should be kept low. </w:t>
      </w:r>
    </w:p>
    <w:p w14:paraId="0B818ABA" w14:textId="27C42BB0" w:rsidR="00966F3E" w:rsidRPr="00570612" w:rsidRDefault="00966F3E" w:rsidP="00CC5E15">
      <w:pPr>
        <w:pStyle w:val="BodyText"/>
      </w:pPr>
      <w:r>
        <w:t>There was agreement from the reviewers, science staff, resource managers, TRAC co-chairs</w:t>
      </w:r>
      <w:r w:rsidR="00DC3800">
        <w:t>,</w:t>
      </w:r>
      <w:r>
        <w:t xml:space="preserve"> and other meeting participants that the authors had me</w:t>
      </w:r>
      <w:r w:rsidR="003E3F0C">
        <w:t>t the fifth term of reference.</w:t>
      </w:r>
    </w:p>
    <w:p w14:paraId="03B3B92C" w14:textId="357873DA" w:rsidR="001B22B9" w:rsidRDefault="00966F3E" w:rsidP="00CC5E15">
      <w:pPr>
        <w:pStyle w:val="BodyText"/>
      </w:pPr>
      <w:r>
        <w:t>The chair indicated that the group had agreed that the authors had addressed all the terms of reference and</w:t>
      </w:r>
      <w:r w:rsidR="00585D19">
        <w:t xml:space="preserve"> </w:t>
      </w:r>
      <w:r>
        <w:t xml:space="preserve">supported the conclusions of the authors. </w:t>
      </w:r>
    </w:p>
    <w:p w14:paraId="6BAC4F48" w14:textId="77777777" w:rsidR="001B22B9" w:rsidRPr="00CC5E15" w:rsidRDefault="001B22B9" w:rsidP="00354A60">
      <w:pPr>
        <w:pStyle w:val="Heading3"/>
        <w:rPr>
          <w:lang w:val="en-US"/>
        </w:rPr>
      </w:pPr>
      <w:bookmarkStart w:id="7" w:name="_Toc44061508"/>
      <w:r w:rsidRPr="00CC5E15">
        <w:rPr>
          <w:lang w:val="en-US"/>
        </w:rPr>
        <w:t>Estimates from VIMS Industry-Based Scallop Dredge Surveys</w:t>
      </w:r>
      <w:bookmarkEnd w:id="7"/>
    </w:p>
    <w:p w14:paraId="27F136DE" w14:textId="7BDCA3AF" w:rsidR="00966F3E" w:rsidRPr="00966F3E" w:rsidRDefault="00966F3E" w:rsidP="003B74EE">
      <w:pPr>
        <w:pStyle w:val="Default"/>
        <w:tabs>
          <w:tab w:val="left" w:pos="3240"/>
        </w:tabs>
        <w:ind w:left="3240" w:hanging="3240"/>
      </w:pPr>
      <w:r w:rsidRPr="00966F3E">
        <w:rPr>
          <w:sz w:val="22"/>
          <w:szCs w:val="22"/>
        </w:rPr>
        <w:t>Working Paper 2019/</w:t>
      </w:r>
      <w:r w:rsidR="009A4349" w:rsidRPr="009A4349">
        <w:rPr>
          <w:sz w:val="22"/>
          <w:szCs w:val="22"/>
        </w:rPr>
        <w:t>06</w:t>
      </w:r>
      <w:r>
        <w:t xml:space="preserve">: </w:t>
      </w:r>
      <w:r w:rsidR="003B74EE">
        <w:tab/>
      </w:r>
      <w:r w:rsidRPr="00966F3E">
        <w:rPr>
          <w:bCs/>
          <w:sz w:val="22"/>
          <w:szCs w:val="22"/>
        </w:rPr>
        <w:t xml:space="preserve">Georges Bank Yellowtail Flounder Estimates from VIMS Industry-Based Scallop Dredge Surveys of Closed Area II and Surrounds </w:t>
      </w:r>
    </w:p>
    <w:p w14:paraId="6BD2A0D6" w14:textId="77777777" w:rsidR="00966F3E" w:rsidRDefault="003B74EE" w:rsidP="003B74EE">
      <w:pPr>
        <w:tabs>
          <w:tab w:val="left" w:pos="3240"/>
        </w:tabs>
        <w:spacing w:before="0" w:after="0"/>
      </w:pPr>
      <w:r>
        <w:t>Science Leads (Working Paper):</w:t>
      </w:r>
      <w:r>
        <w:tab/>
      </w:r>
      <w:r w:rsidR="00966F3E">
        <w:t xml:space="preserve">S.A. Roman and D.B. Rudders </w:t>
      </w:r>
    </w:p>
    <w:p w14:paraId="0A7128CF" w14:textId="77777777" w:rsidR="00966F3E" w:rsidRDefault="00966F3E" w:rsidP="003B74EE">
      <w:pPr>
        <w:tabs>
          <w:tab w:val="left" w:pos="3240"/>
        </w:tabs>
        <w:spacing w:before="0" w:after="0"/>
      </w:pPr>
      <w:r>
        <w:t xml:space="preserve">Presenter: </w:t>
      </w:r>
      <w:r w:rsidR="003B74EE">
        <w:tab/>
      </w:r>
      <w:r>
        <w:t>S.A. Roman</w:t>
      </w:r>
    </w:p>
    <w:p w14:paraId="32373271" w14:textId="77777777" w:rsidR="00966F3E" w:rsidRDefault="00966F3E" w:rsidP="003B74EE">
      <w:pPr>
        <w:tabs>
          <w:tab w:val="left" w:pos="3240"/>
        </w:tabs>
        <w:spacing w:before="0" w:after="0"/>
      </w:pPr>
      <w:r>
        <w:t xml:space="preserve">Rapporteurs: </w:t>
      </w:r>
      <w:r w:rsidR="003B74EE">
        <w:tab/>
      </w:r>
      <w:r>
        <w:t>Q. McCurdy and K. Clark</w:t>
      </w:r>
    </w:p>
    <w:p w14:paraId="57C6767B" w14:textId="77777777" w:rsidR="00966F3E" w:rsidRPr="001B22B9" w:rsidRDefault="00966F3E" w:rsidP="00885119">
      <w:pPr>
        <w:pStyle w:val="Heading4"/>
      </w:pPr>
      <w:r w:rsidRPr="001B22B9">
        <w:t>Presentation Highlights</w:t>
      </w:r>
    </w:p>
    <w:p w14:paraId="73BC2073" w14:textId="367503EC" w:rsidR="00966F3E" w:rsidRDefault="00594B91" w:rsidP="00BC520E">
      <w:pPr>
        <w:pStyle w:val="BodyText"/>
      </w:pPr>
      <w:r w:rsidRPr="003F2BD6">
        <w:t>The Virginia Institute of Marin</w:t>
      </w:r>
      <w:r w:rsidR="00DC3800">
        <w:t>e Science (VIMS) conducted fine-</w:t>
      </w:r>
      <w:r w:rsidRPr="003F2BD6">
        <w:t xml:space="preserve">scale spatial dredge surveys of Closed Area II (CAII) in 2005, 2007, 2008, 2011, 2012, 2013, 2016, 2017, 2018, and 2019 for the purposes of examining scallop abundance and distribution. The spatial extent of surveys varied between years. From 2005 – 2011, the traditional CAII scallop access area was surveyed. In 2012, a portion of the CAII </w:t>
      </w:r>
      <w:proofErr w:type="spellStart"/>
      <w:r w:rsidRPr="003F2BD6">
        <w:t>groundfish</w:t>
      </w:r>
      <w:proofErr w:type="spellEnd"/>
      <w:r w:rsidRPr="003F2BD6">
        <w:t xml:space="preserve"> closure and surrounds on the Northern Edge of Georges Bank (GB) were surveyed. In 2013, </w:t>
      </w:r>
      <w:r w:rsidR="00DC3800">
        <w:t xml:space="preserve">an </w:t>
      </w:r>
      <w:r w:rsidRPr="003F2BD6">
        <w:t xml:space="preserve">area in </w:t>
      </w:r>
      <w:r w:rsidR="001B22B9">
        <w:t>the Essential Fish Habitat</w:t>
      </w:r>
      <w:r w:rsidRPr="003F2BD6">
        <w:t xml:space="preserve"> and surrounds on the Northern Edge of GB were surveyed again. For 2016 – 2019, the traditional CAII scallop access area and surrounds along the southern flank of GB were surveyed. In 2018 and 2019, the survey domain was expanded to cover additional area along the southern flank of GB. Scallop and finfish catch were enumerated and length measurements were taken. Survey catches were examined to determin</w:t>
      </w:r>
      <w:r w:rsidR="00DC3800">
        <w:t>e whether there were trends in Yellowtail F</w:t>
      </w:r>
      <w:r w:rsidRPr="003F2BD6">
        <w:t xml:space="preserve">lounder abundance in the surveyed area. </w:t>
      </w:r>
      <w:r w:rsidR="00DC3800">
        <w:t>Results indicated a decline in Yellowtail F</w:t>
      </w:r>
      <w:r w:rsidRPr="003F2BD6">
        <w:t>lounder abundance over the time period, as well as a truncation of the size distribution observed.</w:t>
      </w:r>
    </w:p>
    <w:p w14:paraId="1335DED4" w14:textId="77777777" w:rsidR="00A640DE" w:rsidRPr="001B22B9" w:rsidRDefault="00A640DE" w:rsidP="00885119">
      <w:pPr>
        <w:pStyle w:val="Heading4"/>
      </w:pPr>
      <w:r w:rsidRPr="001B22B9">
        <w:t>Discussion</w:t>
      </w:r>
    </w:p>
    <w:p w14:paraId="14B23905" w14:textId="03D273EC" w:rsidR="00A640DE" w:rsidRDefault="00A640DE" w:rsidP="00BC520E">
      <w:pPr>
        <w:pStyle w:val="BodyText"/>
      </w:pPr>
      <w:r>
        <w:t>The presenter indicated that there had been changes in survey domains, design and number of stations over time. Initially</w:t>
      </w:r>
      <w:r w:rsidR="00DC3800">
        <w:t>,</w:t>
      </w:r>
      <w:r>
        <w:t xml:space="preserve"> the survey was based on a systematic grid design, but </w:t>
      </w:r>
      <w:r w:rsidR="00DC3800">
        <w:t xml:space="preserve">this </w:t>
      </w:r>
      <w:r>
        <w:t xml:space="preserve">was changed to a stratified random design in 2016. Despite these challenges, it was noted that this survey </w:t>
      </w:r>
      <w:r w:rsidR="001B22B9">
        <w:t>showed</w:t>
      </w:r>
      <w:r>
        <w:t xml:space="preserve"> declining trends in biomass and a contraction of the length distribution, similar to the DFO and NMFS surveys</w:t>
      </w:r>
      <w:r w:rsidR="001B22B9">
        <w:t>. It</w:t>
      </w:r>
      <w:r w:rsidR="00DC3800">
        <w:t>,</w:t>
      </w:r>
      <w:r w:rsidR="001B22B9">
        <w:t xml:space="preserve"> therefore</w:t>
      </w:r>
      <w:r w:rsidR="00DC3800">
        <w:t>,</w:t>
      </w:r>
      <w:r w:rsidR="001B22B9">
        <w:t xml:space="preserve"> provides</w:t>
      </w:r>
      <w:r>
        <w:t xml:space="preserve"> corroboration </w:t>
      </w:r>
      <w:r w:rsidR="001B22B9">
        <w:t xml:space="preserve">of decline </w:t>
      </w:r>
      <w:r>
        <w:t>on a smaller scale for discrete areas. It was noted that in 2019 there</w:t>
      </w:r>
      <w:r w:rsidR="001B22B9">
        <w:t xml:space="preserve"> was an indication of </w:t>
      </w:r>
      <w:r>
        <w:t>more small fish</w:t>
      </w:r>
      <w:r w:rsidR="00585D19">
        <w:t xml:space="preserve"> but the magnitude was well below what was seen in the past at these sizes</w:t>
      </w:r>
      <w:r>
        <w:t>.</w:t>
      </w:r>
    </w:p>
    <w:p w14:paraId="14422BAB" w14:textId="77777777" w:rsidR="00A640DE" w:rsidRPr="001B22B9" w:rsidRDefault="00A640DE" w:rsidP="001B22B9">
      <w:pPr>
        <w:ind w:left="360"/>
        <w:rPr>
          <w:i/>
        </w:rPr>
      </w:pPr>
      <w:r w:rsidRPr="001B22B9">
        <w:rPr>
          <w:i/>
        </w:rPr>
        <w:t>Reviewers</w:t>
      </w:r>
    </w:p>
    <w:p w14:paraId="4991F119" w14:textId="77777777" w:rsidR="00A640DE" w:rsidRDefault="00A640DE" w:rsidP="00BC520E">
      <w:pPr>
        <w:pStyle w:val="BodyText"/>
      </w:pPr>
      <w:r>
        <w:t>It was noted that this survey would be more useful if it was more consistent, but it was recognized that</w:t>
      </w:r>
      <w:r w:rsidR="00E82E3D">
        <w:t>,</w:t>
      </w:r>
      <w:r>
        <w:t xml:space="preserve"> </w:t>
      </w:r>
      <w:r w:rsidR="001B22B9">
        <w:t xml:space="preserve">since </w:t>
      </w:r>
      <w:r>
        <w:t>it is funded throu</w:t>
      </w:r>
      <w:r w:rsidR="001B22B9">
        <w:t xml:space="preserve">gh a competitive grants process, it is </w:t>
      </w:r>
      <w:r>
        <w:t xml:space="preserve">dependent on the priorities for that program. </w:t>
      </w:r>
      <w:r w:rsidR="007112D9">
        <w:t>The request for funding</w:t>
      </w:r>
      <w:r w:rsidR="00E82E3D">
        <w:t xml:space="preserve"> for next year will be </w:t>
      </w:r>
      <w:r w:rsidR="007112D9">
        <w:t>submitted</w:t>
      </w:r>
      <w:r w:rsidR="00E82E3D">
        <w:t xml:space="preserve"> in October and the results will be </w:t>
      </w:r>
      <w:r w:rsidR="007112D9">
        <w:t>announced in February/March.</w:t>
      </w:r>
    </w:p>
    <w:p w14:paraId="7EDB2BD6" w14:textId="786FA29C" w:rsidR="007112D9" w:rsidRDefault="007112D9" w:rsidP="00BC520E">
      <w:pPr>
        <w:pStyle w:val="BodyText"/>
      </w:pPr>
      <w:r>
        <w:t xml:space="preserve">This survey has a high density of stations and </w:t>
      </w:r>
      <w:r w:rsidR="00E82E3D">
        <w:t>showed</w:t>
      </w:r>
      <w:r>
        <w:t xml:space="preserve"> the same tre</w:t>
      </w:r>
      <w:r w:rsidR="00E82E3D">
        <w:t xml:space="preserve">nds as the research vessel </w:t>
      </w:r>
      <w:r>
        <w:t xml:space="preserve">trawl surveys. If there </w:t>
      </w:r>
      <w:r w:rsidR="00E82E3D">
        <w:t>were</w:t>
      </w:r>
      <w:r>
        <w:t xml:space="preserve"> a desire to examine yellowtail on a finer scale, the focus would be on core habitat, such as Closed Area II, and higher sampling densities. It was noted that there was a dedicated trawl survey in 2013</w:t>
      </w:r>
      <w:r w:rsidR="00E82E3D">
        <w:t xml:space="preserve"> with higher sampling densities</w:t>
      </w:r>
      <w:r w:rsidR="00DC3800">
        <w:t xml:space="preserve"> that</w:t>
      </w:r>
      <w:r>
        <w:t xml:space="preserve"> also showed similar results to the DFO, NMFS spring and fall surveys.</w:t>
      </w:r>
    </w:p>
    <w:p w14:paraId="392DB631" w14:textId="77777777" w:rsidR="007112D9" w:rsidRPr="001B22B9" w:rsidRDefault="007112D9" w:rsidP="001B22B9">
      <w:pPr>
        <w:ind w:left="360"/>
        <w:rPr>
          <w:i/>
        </w:rPr>
      </w:pPr>
      <w:r w:rsidRPr="001B22B9">
        <w:rPr>
          <w:i/>
        </w:rPr>
        <w:lastRenderedPageBreak/>
        <w:t>Science Staff, Designated Resource Managers and TRAC Co-Chairs</w:t>
      </w:r>
    </w:p>
    <w:p w14:paraId="29B33C9C" w14:textId="68316954" w:rsidR="007112D9" w:rsidRPr="007112D9" w:rsidRDefault="007112D9" w:rsidP="00BC520E">
      <w:pPr>
        <w:pStyle w:val="BodyText"/>
      </w:pPr>
      <w:r w:rsidRPr="007112D9">
        <w:t xml:space="preserve">There was discussion on the choice of survey catchabilities used in </w:t>
      </w:r>
      <w:r w:rsidR="00DC3800">
        <w:t xml:space="preserve">the </w:t>
      </w:r>
      <w:r w:rsidRPr="007112D9">
        <w:t xml:space="preserve">working paper. Although a range was used </w:t>
      </w:r>
      <w:r w:rsidR="008C5745">
        <w:t>based on</w:t>
      </w:r>
      <w:r w:rsidRPr="007112D9">
        <w:t xml:space="preserve"> the literature, the presenter indicated that using a value of 0.83 for the survey dredge and 0.25 for the commercial dredge would likely give the best estimates of biomass.</w:t>
      </w:r>
      <w:r w:rsidR="00BE657F">
        <w:t xml:space="preserve"> The resulting biomass estimates are well below (approximately one tenth of) the average survey biomass estimated in the empirical approach.</w:t>
      </w:r>
    </w:p>
    <w:p w14:paraId="5C28F919" w14:textId="77777777" w:rsidR="007112D9" w:rsidRPr="001B22B9" w:rsidRDefault="007112D9" w:rsidP="001B22B9">
      <w:pPr>
        <w:ind w:left="360"/>
        <w:rPr>
          <w:i/>
        </w:rPr>
      </w:pPr>
      <w:r w:rsidRPr="001B22B9">
        <w:rPr>
          <w:i/>
        </w:rPr>
        <w:t>Other Meeting participants</w:t>
      </w:r>
    </w:p>
    <w:p w14:paraId="2AE9186A" w14:textId="6BAE38C0" w:rsidR="007112D9" w:rsidRDefault="007112D9" w:rsidP="00BC520E">
      <w:pPr>
        <w:pStyle w:val="BodyText"/>
      </w:pPr>
      <w:r>
        <w:t xml:space="preserve">A presentation made by the </w:t>
      </w:r>
      <w:proofErr w:type="spellStart"/>
      <w:r>
        <w:t>Coonamessett</w:t>
      </w:r>
      <w:proofErr w:type="spellEnd"/>
      <w:r>
        <w:t xml:space="preserve"> </w:t>
      </w:r>
      <w:r w:rsidR="00693905">
        <w:t xml:space="preserve">Farm Foundation at the 2018 TRAC discussed an </w:t>
      </w:r>
      <w:proofErr w:type="spellStart"/>
      <w:r w:rsidR="00693905" w:rsidRPr="00693905">
        <w:rPr>
          <w:i/>
        </w:rPr>
        <w:t>Icthyophonus</w:t>
      </w:r>
      <w:proofErr w:type="spellEnd"/>
      <w:r w:rsidR="00693905">
        <w:t xml:space="preserve"> sp. parasite as a possible source of increased mortality. </w:t>
      </w:r>
      <w:r w:rsidR="00E82E3D">
        <w:t>I</w:t>
      </w:r>
      <w:r w:rsidR="00693905">
        <w:t>nformation on this parasite is</w:t>
      </w:r>
      <w:r w:rsidR="00E82E3D">
        <w:t xml:space="preserve"> not currently collected in the VIMS survey, </w:t>
      </w:r>
      <w:r w:rsidR="00693905">
        <w:t xml:space="preserve">but </w:t>
      </w:r>
      <w:r w:rsidR="00DA4BD1">
        <w:t xml:space="preserve">sampling </w:t>
      </w:r>
      <w:r w:rsidR="00693905">
        <w:t xml:space="preserve">could be added if it was </w:t>
      </w:r>
      <w:r w:rsidR="00E82E3D">
        <w:t xml:space="preserve">viewed as </w:t>
      </w:r>
      <w:r w:rsidR="00693905">
        <w:t>valuable information. It was noted by science staff that this parasite is</w:t>
      </w:r>
      <w:r w:rsidR="00DA4BD1">
        <w:t xml:space="preserve"> now</w:t>
      </w:r>
      <w:r w:rsidR="00693905">
        <w:t xml:space="preserve"> being seen in the Cape Cod and Gulf of Maine region but not currently on Georges Bank</w:t>
      </w:r>
      <w:r w:rsidR="00BE657F">
        <w:t xml:space="preserve"> based on cooperative research sampling</w:t>
      </w:r>
      <w:r w:rsidR="00693905">
        <w:t>.</w:t>
      </w:r>
    </w:p>
    <w:p w14:paraId="4B5A564D" w14:textId="60E66632" w:rsidR="00DA4BD1" w:rsidRDefault="00DA4BD1" w:rsidP="00BC520E">
      <w:pPr>
        <w:pStyle w:val="BodyText"/>
      </w:pPr>
      <w:r>
        <w:t>The chair asked if the information presented in this working paper changed anyone’s views on the catch advice. It did not</w:t>
      </w:r>
      <w:r w:rsidR="00DC3800">
        <w:t>,</w:t>
      </w:r>
      <w:r>
        <w:t xml:space="preserve"> but it was noted that work of this sort contributes to our un</w:t>
      </w:r>
      <w:r w:rsidR="00DC3800">
        <w:t>derstanding of the dynamics of Yellowtail F</w:t>
      </w:r>
      <w:r>
        <w:t>lounder on a small scale.</w:t>
      </w:r>
    </w:p>
    <w:p w14:paraId="63AD9FDD" w14:textId="57457E21" w:rsidR="00F30042" w:rsidRDefault="00797F23" w:rsidP="00291412">
      <w:pPr>
        <w:pStyle w:val="Heading2"/>
      </w:pPr>
      <w:bookmarkStart w:id="8" w:name="_Toc44061509"/>
      <w:r>
        <w:rPr>
          <w:caps w:val="0"/>
        </w:rPr>
        <w:t xml:space="preserve">EASTERN </w:t>
      </w:r>
      <w:r w:rsidRPr="00606C90">
        <w:rPr>
          <w:caps w:val="0"/>
        </w:rPr>
        <w:t xml:space="preserve">GEORGES BANK </w:t>
      </w:r>
      <w:r>
        <w:rPr>
          <w:caps w:val="0"/>
        </w:rPr>
        <w:t>HADDOCK</w:t>
      </w:r>
      <w:bookmarkEnd w:id="8"/>
    </w:p>
    <w:p w14:paraId="16DABD9A" w14:textId="77777777" w:rsidR="007112D9" w:rsidRPr="008B04BB" w:rsidRDefault="00F30042" w:rsidP="00354A60">
      <w:pPr>
        <w:pStyle w:val="Heading3"/>
        <w:rPr>
          <w:lang w:val="en-US"/>
        </w:rPr>
      </w:pPr>
      <w:bookmarkStart w:id="9" w:name="_Toc44061510"/>
      <w:r w:rsidRPr="008B04BB">
        <w:rPr>
          <w:lang w:val="en-US"/>
        </w:rPr>
        <w:t>Assessment of Haddock on Eastern Georges Bank for 2019</w:t>
      </w:r>
      <w:bookmarkEnd w:id="9"/>
    </w:p>
    <w:p w14:paraId="60A86807" w14:textId="2492D930" w:rsidR="00075780" w:rsidRPr="00BB64F9" w:rsidRDefault="00DA4BD1" w:rsidP="00F30042">
      <w:pPr>
        <w:tabs>
          <w:tab w:val="left" w:pos="3240"/>
        </w:tabs>
        <w:spacing w:before="0" w:after="0"/>
        <w:rPr>
          <w:color w:val="000000" w:themeColor="text1"/>
          <w:szCs w:val="22"/>
        </w:rPr>
      </w:pPr>
      <w:r w:rsidRPr="00BB64F9">
        <w:rPr>
          <w:color w:val="000000" w:themeColor="text1"/>
        </w:rPr>
        <w:t>Working Paper 2019</w:t>
      </w:r>
      <w:r w:rsidR="00075780" w:rsidRPr="009A4349">
        <w:rPr>
          <w:color w:val="000000" w:themeColor="text1"/>
        </w:rPr>
        <w:t>/</w:t>
      </w:r>
      <w:r w:rsidR="009A4349" w:rsidRPr="009A4349">
        <w:rPr>
          <w:color w:val="000000" w:themeColor="text1"/>
        </w:rPr>
        <w:t>01</w:t>
      </w:r>
      <w:r w:rsidR="00075780" w:rsidRPr="009A4349">
        <w:rPr>
          <w:color w:val="000000" w:themeColor="text1"/>
        </w:rPr>
        <w:t>:</w:t>
      </w:r>
      <w:r w:rsidR="00075780" w:rsidRPr="00BB64F9">
        <w:rPr>
          <w:color w:val="000000" w:themeColor="text1"/>
        </w:rPr>
        <w:t xml:space="preserve"> </w:t>
      </w:r>
      <w:r w:rsidR="00F30042">
        <w:rPr>
          <w:color w:val="000000" w:themeColor="text1"/>
        </w:rPr>
        <w:tab/>
      </w:r>
      <w:r w:rsidR="007A1C28" w:rsidRPr="00BB64F9">
        <w:rPr>
          <w:color w:val="000000" w:themeColor="text1"/>
        </w:rPr>
        <w:t>Assessment of Haddock on Eastern Georges Bank for 2019</w:t>
      </w:r>
    </w:p>
    <w:p w14:paraId="37ABBF64" w14:textId="77777777" w:rsidR="00075780" w:rsidRPr="00BB64F9" w:rsidRDefault="00075780" w:rsidP="00F30042">
      <w:pPr>
        <w:pStyle w:val="Default"/>
        <w:tabs>
          <w:tab w:val="left" w:pos="3240"/>
        </w:tabs>
        <w:rPr>
          <w:color w:val="000000" w:themeColor="text1"/>
          <w:sz w:val="22"/>
          <w:szCs w:val="22"/>
        </w:rPr>
      </w:pPr>
      <w:r w:rsidRPr="00BB64F9">
        <w:rPr>
          <w:color w:val="000000" w:themeColor="text1"/>
          <w:sz w:val="22"/>
          <w:szCs w:val="22"/>
        </w:rPr>
        <w:t>Scienc</w:t>
      </w:r>
      <w:r w:rsidR="00F30042">
        <w:rPr>
          <w:color w:val="000000" w:themeColor="text1"/>
          <w:sz w:val="22"/>
          <w:szCs w:val="22"/>
        </w:rPr>
        <w:t>e Leads (Working Paper):</w:t>
      </w:r>
      <w:r w:rsidR="00F30042">
        <w:rPr>
          <w:color w:val="000000" w:themeColor="text1"/>
          <w:sz w:val="22"/>
          <w:szCs w:val="22"/>
        </w:rPr>
        <w:tab/>
      </w:r>
      <w:r w:rsidR="007A1C28" w:rsidRPr="00BB64F9">
        <w:rPr>
          <w:color w:val="000000" w:themeColor="text1"/>
          <w:sz w:val="22"/>
          <w:szCs w:val="22"/>
        </w:rPr>
        <w:t>M. Finley, E.N. Brooks, Q. McCurdy, M.A. Barrett and Y. Wang</w:t>
      </w:r>
    </w:p>
    <w:p w14:paraId="52DA39EA" w14:textId="77777777" w:rsidR="00075780" w:rsidRPr="00BB64F9" w:rsidRDefault="00075780" w:rsidP="00F30042">
      <w:pPr>
        <w:tabs>
          <w:tab w:val="left" w:pos="3240"/>
        </w:tabs>
        <w:spacing w:before="0" w:after="0"/>
        <w:rPr>
          <w:color w:val="000000" w:themeColor="text1"/>
        </w:rPr>
      </w:pPr>
      <w:r w:rsidRPr="00BB64F9">
        <w:rPr>
          <w:color w:val="000000" w:themeColor="text1"/>
        </w:rPr>
        <w:t xml:space="preserve">Presenter: </w:t>
      </w:r>
      <w:r w:rsidR="00F30042">
        <w:rPr>
          <w:color w:val="000000" w:themeColor="text1"/>
        </w:rPr>
        <w:tab/>
      </w:r>
      <w:r w:rsidR="007A1C28" w:rsidRPr="00BB64F9">
        <w:rPr>
          <w:color w:val="000000" w:themeColor="text1"/>
        </w:rPr>
        <w:t>M. Finley</w:t>
      </w:r>
    </w:p>
    <w:p w14:paraId="18ECB701" w14:textId="77777777" w:rsidR="00075780" w:rsidRPr="00BB64F9" w:rsidRDefault="00075780" w:rsidP="00F30042">
      <w:pPr>
        <w:tabs>
          <w:tab w:val="left" w:pos="3240"/>
        </w:tabs>
        <w:spacing w:before="0" w:after="0"/>
        <w:rPr>
          <w:color w:val="000000" w:themeColor="text1"/>
        </w:rPr>
      </w:pPr>
      <w:r w:rsidRPr="00BB64F9">
        <w:rPr>
          <w:color w:val="000000" w:themeColor="text1"/>
        </w:rPr>
        <w:t xml:space="preserve">Rapporteurs: </w:t>
      </w:r>
      <w:r w:rsidR="00F30042">
        <w:rPr>
          <w:color w:val="000000" w:themeColor="text1"/>
        </w:rPr>
        <w:tab/>
      </w:r>
      <w:r w:rsidR="007A1C28" w:rsidRPr="00BB64F9">
        <w:rPr>
          <w:color w:val="000000" w:themeColor="text1"/>
        </w:rPr>
        <w:t>Q. McCurdy</w:t>
      </w:r>
      <w:r w:rsidRPr="00BB64F9">
        <w:rPr>
          <w:color w:val="000000" w:themeColor="text1"/>
        </w:rPr>
        <w:t xml:space="preserve"> and K. Clark</w:t>
      </w:r>
    </w:p>
    <w:p w14:paraId="4C35518B" w14:textId="77777777" w:rsidR="00075780" w:rsidRPr="001D7229" w:rsidRDefault="00075780" w:rsidP="00885119">
      <w:pPr>
        <w:pStyle w:val="Heading4"/>
      </w:pPr>
      <w:r w:rsidRPr="001D7229">
        <w:t>Presentation Highlights</w:t>
      </w:r>
    </w:p>
    <w:p w14:paraId="34861378" w14:textId="5B54D7F8" w:rsidR="00406C67" w:rsidRPr="005433A1" w:rsidRDefault="00DC3800" w:rsidP="005433A1">
      <w:pPr>
        <w:pStyle w:val="BodyText"/>
      </w:pPr>
      <w:r w:rsidRPr="005433A1">
        <w:t>The total catch of Eastern Georges Bank (EGB) H</w:t>
      </w:r>
      <w:r w:rsidR="00406C67" w:rsidRPr="005433A1">
        <w:t>addock in 2018 was 12,495</w:t>
      </w:r>
      <w:r w:rsidR="00BA306D" w:rsidRPr="005433A1">
        <w:t xml:space="preserve"> </w:t>
      </w:r>
      <w:proofErr w:type="spellStart"/>
      <w:r w:rsidR="00406C67" w:rsidRPr="005433A1">
        <w:t>mt</w:t>
      </w:r>
      <w:proofErr w:type="spellEnd"/>
      <w:r w:rsidR="00406C67" w:rsidRPr="005433A1">
        <w:t xml:space="preserve"> of the 40,000 </w:t>
      </w:r>
      <w:proofErr w:type="spellStart"/>
      <w:r w:rsidR="00406C67" w:rsidRPr="005433A1">
        <w:t>mt</w:t>
      </w:r>
      <w:proofErr w:type="spellEnd"/>
      <w:r w:rsidR="00406C67" w:rsidRPr="005433A1">
        <w:t xml:space="preserve"> combined Canada/United States of America (USA) quota. The 2018 Canadian catch decreased from 13,377 </w:t>
      </w:r>
      <w:proofErr w:type="spellStart"/>
      <w:r w:rsidR="00406C67" w:rsidRPr="005433A1">
        <w:t>mt</w:t>
      </w:r>
      <w:proofErr w:type="spellEnd"/>
      <w:r w:rsidR="00406C67" w:rsidRPr="005433A1">
        <w:t xml:space="preserve"> in 2017 to 12,216 in 2018 </w:t>
      </w:r>
      <w:proofErr w:type="spellStart"/>
      <w:r w:rsidR="00406C67" w:rsidRPr="005433A1">
        <w:t>mt</w:t>
      </w:r>
      <w:proofErr w:type="spellEnd"/>
      <w:r w:rsidRPr="005433A1">
        <w:t>,</w:t>
      </w:r>
      <w:r w:rsidR="00406C67" w:rsidRPr="005433A1">
        <w:t xml:space="preserve"> while the USA catch in 2018 was 253 </w:t>
      </w:r>
      <w:proofErr w:type="spellStart"/>
      <w:r w:rsidR="00406C67" w:rsidRPr="005433A1">
        <w:t>mt</w:t>
      </w:r>
      <w:proofErr w:type="spellEnd"/>
      <w:r w:rsidR="00406C67" w:rsidRPr="005433A1">
        <w:t>, a</w:t>
      </w:r>
      <w:r w:rsidR="00BA306D" w:rsidRPr="005433A1">
        <w:t>n</w:t>
      </w:r>
      <w:r w:rsidR="00406C67" w:rsidRPr="005433A1">
        <w:t xml:space="preserve"> increase from the 2017 catch of 214 </w:t>
      </w:r>
      <w:proofErr w:type="spellStart"/>
      <w:r w:rsidR="00406C67" w:rsidRPr="005433A1">
        <w:t>mt.</w:t>
      </w:r>
      <w:proofErr w:type="spellEnd"/>
      <w:r w:rsidR="00406C67" w:rsidRPr="005433A1">
        <w:t xml:space="preserve"> Haddock discards from the Canadian scallop fishery and the USA </w:t>
      </w:r>
      <w:proofErr w:type="spellStart"/>
      <w:r w:rsidR="00406C67" w:rsidRPr="005433A1">
        <w:t>groundfish</w:t>
      </w:r>
      <w:proofErr w:type="spellEnd"/>
      <w:r w:rsidR="00406C67" w:rsidRPr="005433A1">
        <w:t xml:space="preserve"> fishery were estimated at 5 and 21 </w:t>
      </w:r>
      <w:proofErr w:type="spellStart"/>
      <w:r w:rsidR="00406C67" w:rsidRPr="005433A1">
        <w:t>mt</w:t>
      </w:r>
      <w:proofErr w:type="spellEnd"/>
      <w:r w:rsidR="00406C67" w:rsidRPr="005433A1">
        <w:t xml:space="preserve">, respectively. </w:t>
      </w:r>
    </w:p>
    <w:p w14:paraId="16A5B17F" w14:textId="10A08C85" w:rsidR="00406C67" w:rsidRPr="005433A1" w:rsidRDefault="00406C67" w:rsidP="005433A1">
      <w:pPr>
        <w:pStyle w:val="BodyText"/>
      </w:pPr>
      <w:r w:rsidRPr="005433A1">
        <w:t>Positive signs of productivity include expanded age structure, broad spatial</w:t>
      </w:r>
      <w:r w:rsidR="00DC3800" w:rsidRPr="005433A1">
        <w:t xml:space="preserve"> distribution, large biomass,</w:t>
      </w:r>
      <w:r w:rsidRPr="005433A1">
        <w:t xml:space="preserve"> three exceptional year classes</w:t>
      </w:r>
      <w:r w:rsidR="00DC3800" w:rsidRPr="005433A1">
        <w:t>,</w:t>
      </w:r>
      <w:r w:rsidRPr="005433A1">
        <w:t xml:space="preserve"> and three strong year classes since 2000. On the negative side, condition has decreased substantially (some improvement in 2019) and</w:t>
      </w:r>
      <w:r w:rsidR="00DC3800" w:rsidRPr="005433A1">
        <w:t xml:space="preserve"> size-at</w:t>
      </w:r>
      <w:r w:rsidR="00DC3800" w:rsidRPr="005433A1">
        <w:noBreakHyphen/>
      </w:r>
      <w:r w:rsidRPr="005433A1">
        <w:t>age has declined.</w:t>
      </w:r>
    </w:p>
    <w:p w14:paraId="6D9712E0" w14:textId="0D8E83D0" w:rsidR="00406C67" w:rsidRPr="005433A1" w:rsidRDefault="00406C67" w:rsidP="005433A1">
      <w:pPr>
        <w:pStyle w:val="BodyText"/>
      </w:pPr>
      <w:r w:rsidRPr="005433A1">
        <w:t xml:space="preserve">Based on the previously accepted virtual population analysis (VPA) model, the 2019 beginning of year adult population biomass (ages 3+) is estimated at 167,476 </w:t>
      </w:r>
      <w:proofErr w:type="spellStart"/>
      <w:r w:rsidRPr="005433A1">
        <w:t>mt.</w:t>
      </w:r>
      <w:proofErr w:type="spellEnd"/>
      <w:r w:rsidRPr="005433A1">
        <w:t xml:space="preserve"> A preliminary estimate for the 2017 and 2018 year class is 11,000 million and 13,000 fish at age 1, respectively. The current age 1 estimate of the 2013 year class is 589 million fish, which is the highest in the time series (1931</w:t>
      </w:r>
      <w:r w:rsidR="009A4349" w:rsidRPr="005433A1">
        <w:t>–</w:t>
      </w:r>
      <w:r w:rsidRPr="005433A1">
        <w:t>1955 and 1969</w:t>
      </w:r>
      <w:r w:rsidR="009A4349" w:rsidRPr="005433A1">
        <w:t>–</w:t>
      </w:r>
      <w:r w:rsidRPr="005433A1">
        <w:t>2019). The exceptional 2003 and 2010 year classes, estimated at 196</w:t>
      </w:r>
      <w:r w:rsidR="00DC3800" w:rsidRPr="005433A1">
        <w:t> </w:t>
      </w:r>
      <w:r w:rsidRPr="005433A1">
        <w:t>million and 96 million age-1 fish, respectively, are the second and third largest. Except for the strong 2000, 2011, and 2016 year classes and the exceptional 2003, 2010, and 2013 year classes, recruitment h</w:t>
      </w:r>
      <w:r w:rsidR="00DC3800" w:rsidRPr="005433A1">
        <w:t xml:space="preserve">as fluctuated between 1.6 and </w:t>
      </w:r>
      <w:r w:rsidRPr="005433A1">
        <w:t>26.1 million since 1990. The results of this VPA indicated that fully recruited fishing mortality (F) increased to levels above the fishing mortality reference point (</w:t>
      </w:r>
      <w:proofErr w:type="spellStart"/>
      <w:r w:rsidRPr="005433A1">
        <w:t>Fref</w:t>
      </w:r>
      <w:proofErr w:type="spellEnd"/>
      <w:r w:rsidRPr="005433A1">
        <w:t xml:space="preserve"> = 0.26) from 2010</w:t>
      </w:r>
      <w:r w:rsidR="009A4349" w:rsidRPr="005433A1">
        <w:t>–</w:t>
      </w:r>
      <w:r w:rsidRPr="005433A1">
        <w:t xml:space="preserve">2017. In 2018, F was estimated at 0.05. Projections based on this model indicated that, with 2019 catch equal to the 30,000 </w:t>
      </w:r>
      <w:proofErr w:type="spellStart"/>
      <w:r w:rsidRPr="005433A1">
        <w:t>mt</w:t>
      </w:r>
      <w:proofErr w:type="spellEnd"/>
      <w:r w:rsidRPr="005433A1">
        <w:t xml:space="preserve"> quota </w:t>
      </w:r>
      <w:r w:rsidRPr="005433A1">
        <w:lastRenderedPageBreak/>
        <w:t xml:space="preserve">and F=0.26 in 2020, a total catch of 33,000 </w:t>
      </w:r>
      <w:proofErr w:type="spellStart"/>
      <w:r w:rsidRPr="005433A1">
        <w:t>mt</w:t>
      </w:r>
      <w:proofErr w:type="spellEnd"/>
      <w:r w:rsidRPr="005433A1">
        <w:t xml:space="preserve"> in 2020 would result in a neutral risk (50%) of exceeding </w:t>
      </w:r>
      <w:proofErr w:type="spellStart"/>
      <w:r w:rsidRPr="005433A1">
        <w:t>Fref</w:t>
      </w:r>
      <w:proofErr w:type="spellEnd"/>
      <w:r w:rsidRPr="005433A1">
        <w:t xml:space="preserve">. </w:t>
      </w:r>
    </w:p>
    <w:p w14:paraId="57BC0EFD" w14:textId="6CC02949" w:rsidR="00406C67" w:rsidRPr="005433A1" w:rsidRDefault="00406C67" w:rsidP="005433A1">
      <w:pPr>
        <w:pStyle w:val="BodyText"/>
      </w:pPr>
      <w:r w:rsidRPr="005433A1">
        <w:t>Retrospective analyses indicated that the benchmark model has a strong tendency to underestimate F and overestimate biomass and age 1 recruitment when additional years of data are added. In an attempt to address this retrospective bias, a sen</w:t>
      </w:r>
      <w:r w:rsidR="00DC3800" w:rsidRPr="005433A1">
        <w:t>sitivity forecast using the rho</w:t>
      </w:r>
      <w:r w:rsidR="00DC3800" w:rsidRPr="005433A1">
        <w:noBreakHyphen/>
      </w:r>
      <w:r w:rsidRPr="005433A1">
        <w:t xml:space="preserve">adjusted 2019 population numbers (ages 0-9+) for deterministic projections and risk assessments was conducted to beginning year 2022. Assuming a 2019 catch equal to the 30,000 </w:t>
      </w:r>
      <w:proofErr w:type="spellStart"/>
      <w:r w:rsidRPr="005433A1">
        <w:t>mt</w:t>
      </w:r>
      <w:proofErr w:type="spellEnd"/>
      <w:r w:rsidRPr="005433A1">
        <w:t xml:space="preserve"> total quota and F=0.26 (</w:t>
      </w:r>
      <w:proofErr w:type="spellStart"/>
      <w:r w:rsidRPr="005433A1">
        <w:t>Fref</w:t>
      </w:r>
      <w:proofErr w:type="spellEnd"/>
      <w:r w:rsidRPr="005433A1">
        <w:t xml:space="preserve">) in 2020 and 2021, a combined Canada/USA catch of 8,500 </w:t>
      </w:r>
      <w:proofErr w:type="spellStart"/>
      <w:r w:rsidRPr="005433A1">
        <w:t>mt</w:t>
      </w:r>
      <w:proofErr w:type="spellEnd"/>
      <w:r w:rsidRPr="005433A1">
        <w:t xml:space="preserve"> in 2020 results in a neutral risk (50%) that the 2020 fishing mortality rate would exceed </w:t>
      </w:r>
      <w:proofErr w:type="spellStart"/>
      <w:r w:rsidRPr="005433A1">
        <w:t>Fref</w:t>
      </w:r>
      <w:proofErr w:type="spellEnd"/>
      <w:r w:rsidRPr="005433A1">
        <w:t xml:space="preserve"> = 0.26. A combined Canada/USA catch of 7,000 </w:t>
      </w:r>
      <w:proofErr w:type="spellStart"/>
      <w:r w:rsidRPr="005433A1">
        <w:t>mt</w:t>
      </w:r>
      <w:proofErr w:type="spellEnd"/>
      <w:r w:rsidRPr="005433A1">
        <w:t xml:space="preserve"> in 2021 results in a neutral risk (50%) that the 2021 fishing mortality rate would exceed </w:t>
      </w:r>
      <w:proofErr w:type="spellStart"/>
      <w:r w:rsidRPr="005433A1">
        <w:t>Fref</w:t>
      </w:r>
      <w:proofErr w:type="spellEnd"/>
      <w:r w:rsidRPr="005433A1">
        <w:t xml:space="preserve"> = 0.26. </w:t>
      </w:r>
    </w:p>
    <w:p w14:paraId="6497E43D" w14:textId="4FF43D00" w:rsidR="001B283F" w:rsidRPr="005433A1" w:rsidRDefault="00F01753" w:rsidP="005433A1">
      <w:pPr>
        <w:pStyle w:val="BodyText"/>
      </w:pPr>
      <w:r w:rsidRPr="005433A1">
        <w:t>The impact of different assumptions on the partial recruitment</w:t>
      </w:r>
      <w:r w:rsidR="005810DF" w:rsidRPr="005433A1">
        <w:t xml:space="preserve"> (PR)</w:t>
      </w:r>
      <w:r w:rsidR="001B283F" w:rsidRPr="005433A1">
        <w:t xml:space="preserve"> on the age range that includes </w:t>
      </w:r>
      <w:r w:rsidRPr="005433A1">
        <w:t>the exceptional 2013 year class were explored</w:t>
      </w:r>
      <w:r w:rsidR="005810DF" w:rsidRPr="005433A1">
        <w:t>. Projections were run with a flat-topped PR (F=</w:t>
      </w:r>
      <w:proofErr w:type="spellStart"/>
      <w:r w:rsidR="005810DF" w:rsidRPr="005433A1">
        <w:t>Fref</w:t>
      </w:r>
      <w:proofErr w:type="spellEnd"/>
      <w:r w:rsidR="005810DF" w:rsidRPr="005433A1">
        <w:t xml:space="preserve"> for ages 5 to 8 in 2020 and 2021)</w:t>
      </w:r>
      <w:r w:rsidR="001B283F" w:rsidRPr="005433A1">
        <w:t xml:space="preserve"> a</w:t>
      </w:r>
      <w:r w:rsidR="00C75DC0" w:rsidRPr="005433A1">
        <w:t>nd with the PR fixed to the 10</w:t>
      </w:r>
      <w:r w:rsidR="00DC3800" w:rsidRPr="005433A1">
        <w:t>-</w:t>
      </w:r>
      <w:r w:rsidR="001B283F" w:rsidRPr="005433A1">
        <w:t>year average at each age from 5 to 8. The 2020 catch projection (age 1+) using the flat-topped PR was slightly higher than the benchmark formulation, whi</w:t>
      </w:r>
      <w:r w:rsidR="00C75DC0" w:rsidRPr="005433A1">
        <w:t>le</w:t>
      </w:r>
      <w:r w:rsidR="00DC3800" w:rsidRPr="005433A1">
        <w:t xml:space="preserve"> the projection using the 10-</w:t>
      </w:r>
      <w:r w:rsidR="001B283F" w:rsidRPr="005433A1">
        <w:t>year average was slightly lower. Age 1+ catch projections differed more in the second year with both exploratory runs</w:t>
      </w:r>
      <w:r w:rsidR="00C75DC0" w:rsidRPr="005433A1">
        <w:t>,</w:t>
      </w:r>
      <w:r w:rsidR="001B283F" w:rsidRPr="005433A1">
        <w:t xml:space="preserve"> providing higher catch projections than the benchmark formulation in 2021.</w:t>
      </w:r>
    </w:p>
    <w:p w14:paraId="321BDA51" w14:textId="54B7FC3A" w:rsidR="00A01E5A" w:rsidRPr="005433A1" w:rsidRDefault="001B283F" w:rsidP="005433A1">
      <w:pPr>
        <w:pStyle w:val="BodyText"/>
      </w:pPr>
      <w:r w:rsidRPr="005433A1">
        <w:t xml:space="preserve">Given the </w:t>
      </w:r>
      <w:r w:rsidR="00A01E5A" w:rsidRPr="005433A1">
        <w:t xml:space="preserve">current </w:t>
      </w:r>
      <w:r w:rsidRPr="005433A1">
        <w:t>challenges with the retrospective and model diagnostics,</w:t>
      </w:r>
      <w:r w:rsidR="00A01E5A" w:rsidRPr="005433A1">
        <w:t xml:space="preserve"> i</w:t>
      </w:r>
      <w:r w:rsidRPr="005433A1">
        <w:t xml:space="preserve">nformation was presented </w:t>
      </w:r>
      <w:r w:rsidR="00A01E5A" w:rsidRPr="005433A1">
        <w:t>from the 2012 VPA, the last model iteration that had no retrospective pattern. The 2003 year class was of exceptional size and</w:t>
      </w:r>
      <w:r w:rsidR="00C75DC0" w:rsidRPr="005433A1">
        <w:t>,</w:t>
      </w:r>
      <w:r w:rsidR="00A01E5A" w:rsidRPr="005433A1">
        <w:t xml:space="preserve"> in 2012</w:t>
      </w:r>
      <w:r w:rsidR="00C75DC0" w:rsidRPr="005433A1">
        <w:t>,</w:t>
      </w:r>
      <w:r w:rsidR="00A01E5A" w:rsidRPr="005433A1">
        <w:t xml:space="preserve"> was of a similar age to the 2013 year class in 2019. The VPA estimated 3+ biomass, F at ages 5 to 8, and estimates of F corresponding to catch removed from the average survey biomass were contrasted with the current survey biomass to provide a measure of scale and potential guidance for appropriate catch advice.</w:t>
      </w:r>
    </w:p>
    <w:p w14:paraId="71932D50" w14:textId="77777777" w:rsidR="00075780" w:rsidRPr="001D7229" w:rsidRDefault="00075780" w:rsidP="00885119">
      <w:pPr>
        <w:pStyle w:val="Heading4"/>
      </w:pPr>
      <w:r w:rsidRPr="001D7229">
        <w:t>Discussion</w:t>
      </w:r>
    </w:p>
    <w:p w14:paraId="363E58BD" w14:textId="77777777" w:rsidR="00A01E5A" w:rsidRDefault="00A01E5A" w:rsidP="005433A1">
      <w:pPr>
        <w:pStyle w:val="BodyText"/>
      </w:pPr>
      <w:r>
        <w:t>Given the format of the presentation, the chair made the decision to proceed through the discussion by topic rather than by Term of Reference.</w:t>
      </w:r>
    </w:p>
    <w:p w14:paraId="10DF1C1C" w14:textId="77777777" w:rsidR="00A01E5A" w:rsidRPr="006B1BA8" w:rsidRDefault="006B1BA8" w:rsidP="00D8265E">
      <w:pPr>
        <w:ind w:left="360"/>
        <w:rPr>
          <w:color w:val="000000" w:themeColor="text1"/>
          <w:u w:val="single"/>
        </w:rPr>
      </w:pPr>
      <w:r w:rsidRPr="006B1BA8">
        <w:rPr>
          <w:color w:val="000000" w:themeColor="text1"/>
          <w:u w:val="single"/>
        </w:rPr>
        <w:t>Data Inputs</w:t>
      </w:r>
    </w:p>
    <w:p w14:paraId="5A4622A8" w14:textId="77777777" w:rsidR="00DA4BD1" w:rsidRPr="00D8265E" w:rsidRDefault="0048580C" w:rsidP="00D8265E">
      <w:pPr>
        <w:ind w:left="360"/>
        <w:rPr>
          <w:i/>
        </w:rPr>
      </w:pPr>
      <w:r w:rsidRPr="00D8265E">
        <w:rPr>
          <w:i/>
        </w:rPr>
        <w:t>Reviewers</w:t>
      </w:r>
    </w:p>
    <w:p w14:paraId="4FAC619E" w14:textId="0A50DDFE" w:rsidR="001B6B2E" w:rsidRDefault="00D8265E" w:rsidP="005433A1">
      <w:pPr>
        <w:pStyle w:val="BodyText"/>
      </w:pPr>
      <w:r>
        <w:t>One of the assumptions of the</w:t>
      </w:r>
      <w:r w:rsidR="001B6B2E">
        <w:t xml:space="preserve"> VPA </w:t>
      </w:r>
      <w:r>
        <w:t xml:space="preserve">model is </w:t>
      </w:r>
      <w:r w:rsidR="001B6B2E">
        <w:t xml:space="preserve">that the catch information is accurate. This is problematic when, based on a court case in the US, it is known that there are issues with the landings </w:t>
      </w:r>
      <w:r>
        <w:t>data</w:t>
      </w:r>
      <w:r w:rsidR="001B6B2E">
        <w:t>. However, there is no information that can be used to estimate what the uncertainty might be around the catch. This is a large problem for this typ</w:t>
      </w:r>
      <w:r w:rsidR="00C75DC0">
        <w:t>e of model</w:t>
      </w:r>
      <w:r w:rsidR="003E3F0C">
        <w:t xml:space="preserve">. </w:t>
      </w:r>
      <w:r w:rsidR="00C75DC0">
        <w:t>It was noted that H</w:t>
      </w:r>
      <w:r w:rsidR="001B6B2E">
        <w:t>addock is one of the stocks for which there is a lo</w:t>
      </w:r>
      <w:r w:rsidR="00C75DC0">
        <w:t>w incentive to discard, but</w:t>
      </w:r>
      <w:r w:rsidR="001B6B2E">
        <w:t xml:space="preserve"> other species (e.g., </w:t>
      </w:r>
      <w:r w:rsidR="009A4349">
        <w:t>C</w:t>
      </w:r>
      <w:r w:rsidR="001B6B2E">
        <w:t xml:space="preserve">od) </w:t>
      </w:r>
      <w:r w:rsidR="00C75DC0">
        <w:t>might have been misreported as H</w:t>
      </w:r>
      <w:r w:rsidR="001B6B2E">
        <w:t>addock in the past. This would result in lower catches rather than higher ones.</w:t>
      </w:r>
    </w:p>
    <w:p w14:paraId="2329DB64" w14:textId="5E7713C1" w:rsidR="001B6B2E" w:rsidRDefault="001B6B2E" w:rsidP="005433A1">
      <w:pPr>
        <w:pStyle w:val="BodyText"/>
      </w:pPr>
      <w:r>
        <w:t>Most of the landings from this management area are from the Canadian fishery</w:t>
      </w:r>
      <w:r w:rsidR="00C75DC0">
        <w:t>,</w:t>
      </w:r>
      <w:r>
        <w:t xml:space="preserve"> and there is high observer coverage. It was recommended that a more in depth look at observed versus unobserved trips should occur at the next benchmark.</w:t>
      </w:r>
    </w:p>
    <w:p w14:paraId="17D261E0" w14:textId="77777777" w:rsidR="00260758" w:rsidRPr="00D8265E" w:rsidRDefault="00260758" w:rsidP="00D8265E">
      <w:pPr>
        <w:ind w:left="360" w:right="360"/>
      </w:pPr>
      <w:r w:rsidRPr="00D8265E">
        <w:rPr>
          <w:b/>
        </w:rPr>
        <w:t xml:space="preserve">Research Recommendation: </w:t>
      </w:r>
      <w:r w:rsidRPr="00D8265E">
        <w:t xml:space="preserve">For the next benchmark, compare observed and unobserved trips to determine any differences. </w:t>
      </w:r>
    </w:p>
    <w:p w14:paraId="7D0179FB" w14:textId="56D95977" w:rsidR="00260758" w:rsidRPr="00260758" w:rsidRDefault="00260758" w:rsidP="005433A1">
      <w:pPr>
        <w:pStyle w:val="BodyText"/>
      </w:pPr>
      <w:r>
        <w:t xml:space="preserve">The current VPA model assumes natural mortality (M) of 0.2. It was suggested that it might be worth investigating what M </w:t>
      </w:r>
      <w:r w:rsidR="00C75DC0">
        <w:t>might be given the current life-</w:t>
      </w:r>
      <w:r>
        <w:t xml:space="preserve">history characteristics. </w:t>
      </w:r>
      <w:proofErr w:type="spellStart"/>
      <w:r>
        <w:t>Hoenig’s</w:t>
      </w:r>
      <w:proofErr w:type="spellEnd"/>
      <w:r>
        <w:t xml:space="preserve"> method or something similar could be used. </w:t>
      </w:r>
      <w:r w:rsidR="006B1BA8">
        <w:t xml:space="preserve">From </w:t>
      </w:r>
      <w:r>
        <w:t xml:space="preserve">the </w:t>
      </w:r>
      <w:r w:rsidR="006B1BA8">
        <w:t>U</w:t>
      </w:r>
      <w:r w:rsidR="00D8265E">
        <w:t>.</w:t>
      </w:r>
      <w:r w:rsidR="006B1BA8">
        <w:t>S</w:t>
      </w:r>
      <w:r w:rsidR="00D8265E">
        <w:t>.</w:t>
      </w:r>
      <w:r w:rsidR="006B1BA8">
        <w:t xml:space="preserve"> </w:t>
      </w:r>
      <w:r>
        <w:t xml:space="preserve">perspective, the M=0.2 originally came from analyses as part of their domestic </w:t>
      </w:r>
      <w:proofErr w:type="spellStart"/>
      <w:r>
        <w:t>Groundfish</w:t>
      </w:r>
      <w:proofErr w:type="spellEnd"/>
      <w:r>
        <w:t xml:space="preserve"> Assessment Review Meetings </w:t>
      </w:r>
      <w:r>
        <w:lastRenderedPageBreak/>
        <w:t>(GARM) process. The original analyses were based on inform</w:t>
      </w:r>
      <w:r w:rsidR="00D8265E">
        <w:t xml:space="preserve">ation from surveys in the 1960s. </w:t>
      </w:r>
      <w:r>
        <w:t xml:space="preserve">It was determined at the time that every age had the same survival, supporting M=0.2. It is possible that this has changed. </w:t>
      </w:r>
    </w:p>
    <w:p w14:paraId="3CB18772" w14:textId="77777777" w:rsidR="00DA4BD1" w:rsidRPr="00D8265E" w:rsidRDefault="00DA4BD1" w:rsidP="00D8265E">
      <w:pPr>
        <w:ind w:left="360"/>
        <w:rPr>
          <w:i/>
        </w:rPr>
      </w:pPr>
      <w:r w:rsidRPr="00D8265E">
        <w:rPr>
          <w:i/>
        </w:rPr>
        <w:t>Science Staff, Designated Resource Managers and TRAC Co-Chairs</w:t>
      </w:r>
    </w:p>
    <w:p w14:paraId="01A60499" w14:textId="04C0E1ED" w:rsidR="001806A3" w:rsidRDefault="001806A3" w:rsidP="005433A1">
      <w:pPr>
        <w:pStyle w:val="BodyText"/>
      </w:pPr>
      <w:r>
        <w:t xml:space="preserve">It was noted that the average survey biomass that was shown in the presentation was not in the working paper. It was requested that this information be included in the reference document. It was also noted that this version of the average survey biomass was not adjusted by </w:t>
      </w:r>
      <w:r w:rsidR="009A29D5">
        <w:t xml:space="preserve">the </w:t>
      </w:r>
      <w:r>
        <w:t xml:space="preserve">survey catchability (q) </w:t>
      </w:r>
      <w:r w:rsidR="009A29D5">
        <w:t xml:space="preserve">derived from the VPA model </w:t>
      </w:r>
      <w:r>
        <w:t>and is</w:t>
      </w:r>
      <w:r w:rsidR="00C75DC0">
        <w:t>,</w:t>
      </w:r>
      <w:r>
        <w:t xml:space="preserve"> therefore</w:t>
      </w:r>
      <w:r w:rsidR="00C75DC0">
        <w:t>,</w:t>
      </w:r>
      <w:r>
        <w:t xml:space="preserve"> different f</w:t>
      </w:r>
      <w:r w:rsidR="00C75DC0">
        <w:t>rom what was shown in the 2018 H</w:t>
      </w:r>
      <w:r>
        <w:t xml:space="preserve">addock interim report. </w:t>
      </w:r>
    </w:p>
    <w:p w14:paraId="590B0F70" w14:textId="1B293397" w:rsidR="00DA4BD1" w:rsidRDefault="001806A3" w:rsidP="005433A1">
      <w:pPr>
        <w:pStyle w:val="BodyText"/>
      </w:pPr>
      <w:r>
        <w:t>A question was raised as to why there were no midwater trawl samples in the US catch at size and catch at age. It was clarified that there was no midwater trawl fishery on the US side o</w:t>
      </w:r>
      <w:r w:rsidR="003E3F0C">
        <w:t>f eastern Georges Bank in 2018.</w:t>
      </w:r>
    </w:p>
    <w:p w14:paraId="185C1BD3" w14:textId="77777777" w:rsidR="00CC138F" w:rsidRPr="00D8265E" w:rsidRDefault="008A56B0" w:rsidP="00D8265E">
      <w:pPr>
        <w:ind w:left="360"/>
        <w:rPr>
          <w:i/>
        </w:rPr>
      </w:pPr>
      <w:r w:rsidRPr="00D8265E">
        <w:rPr>
          <w:i/>
        </w:rPr>
        <w:t>All Meeting Participants</w:t>
      </w:r>
    </w:p>
    <w:p w14:paraId="20A42E51" w14:textId="0B9F317D" w:rsidR="008A56B0" w:rsidRDefault="001806A3" w:rsidP="005433A1">
      <w:pPr>
        <w:pStyle w:val="BodyText"/>
      </w:pPr>
      <w:r>
        <w:t xml:space="preserve">Non q adjusted biomass indices were requested from the assessment team as homework for </w:t>
      </w:r>
      <w:r w:rsidR="00D8265E">
        <w:t>day 2 of the current meeting</w:t>
      </w:r>
      <w:r>
        <w:t>.</w:t>
      </w:r>
    </w:p>
    <w:p w14:paraId="5591A9E6" w14:textId="5BC1661A" w:rsidR="001806A3" w:rsidRDefault="00AA71F4" w:rsidP="005433A1">
      <w:pPr>
        <w:pStyle w:val="BodyText"/>
      </w:pPr>
      <w:r>
        <w:t>As was noted by the assessment leads in their presentation, t</w:t>
      </w:r>
      <w:r w:rsidR="001806A3">
        <w:t xml:space="preserve">here </w:t>
      </w:r>
      <w:r w:rsidR="00220501">
        <w:t>appears to be</w:t>
      </w:r>
      <w:r w:rsidR="001806A3">
        <w:t xml:space="preserve"> smearing of </w:t>
      </w:r>
      <w:r w:rsidR="00220501">
        <w:t xml:space="preserve">the </w:t>
      </w:r>
      <w:r w:rsidR="001806A3">
        <w:t>ages of the 2012, 2013</w:t>
      </w:r>
      <w:r w:rsidR="009A4349">
        <w:t>,</w:t>
      </w:r>
      <w:r w:rsidR="001806A3">
        <w:t xml:space="preserve"> and 2014 year classes in the catch at age. </w:t>
      </w:r>
      <w:r w:rsidR="003A438D">
        <w:t xml:space="preserve">It was suggested that there should be a review of sampling intensity to ensure that all ages are being sampled appropriately for both the fishery and survey catch at age. </w:t>
      </w:r>
      <w:r w:rsidR="00220501">
        <w:t>C</w:t>
      </w:r>
      <w:r w:rsidR="003A438D">
        <w:t xml:space="preserve">urrently samples from the DFO survey are used to enhance the age length key in the first quarter because there are insufficient samples from </w:t>
      </w:r>
      <w:r w:rsidR="00220501">
        <w:t>the fishery. D</w:t>
      </w:r>
      <w:r w:rsidR="003A438D">
        <w:t>espite any concerns regarding age smearing, the 2013 year class has been clearly observed and there is confidence that it is still exceptional.</w:t>
      </w:r>
    </w:p>
    <w:p w14:paraId="502FB98A" w14:textId="75114A56" w:rsidR="003A438D" w:rsidRDefault="003A438D" w:rsidP="005433A1">
      <w:pPr>
        <w:pStyle w:val="BodyText"/>
        <w:rPr>
          <w:rFonts w:cs="Arial"/>
        </w:rPr>
      </w:pPr>
      <w:r>
        <w:rPr>
          <w:rFonts w:cs="Arial"/>
        </w:rPr>
        <w:t>There was agreement from the reviewers, science staff, resource managers, TRAC co-chairs and other meeting participants that the authors had adequately described the data inputs as required by the first Term of Reference.</w:t>
      </w:r>
    </w:p>
    <w:p w14:paraId="51EDCCEE" w14:textId="77777777" w:rsidR="003A438D" w:rsidRDefault="003A438D" w:rsidP="00220501">
      <w:pPr>
        <w:ind w:left="360"/>
        <w:rPr>
          <w:color w:val="000000" w:themeColor="text1"/>
          <w:u w:val="single"/>
        </w:rPr>
      </w:pPr>
      <w:r>
        <w:rPr>
          <w:color w:val="000000" w:themeColor="text1"/>
          <w:u w:val="single"/>
        </w:rPr>
        <w:t>Model Results and Diagnostics</w:t>
      </w:r>
    </w:p>
    <w:p w14:paraId="2ADBB296" w14:textId="77777777" w:rsidR="003A438D" w:rsidRPr="00D8265E" w:rsidRDefault="003A438D" w:rsidP="00220501">
      <w:pPr>
        <w:ind w:left="360"/>
        <w:rPr>
          <w:i/>
        </w:rPr>
      </w:pPr>
      <w:r w:rsidRPr="00D8265E">
        <w:rPr>
          <w:i/>
        </w:rPr>
        <w:t>Reviewers</w:t>
      </w:r>
    </w:p>
    <w:p w14:paraId="495EDC17" w14:textId="36C2B270" w:rsidR="00EE1385" w:rsidRDefault="00EE1385" w:rsidP="005433A1">
      <w:pPr>
        <w:pStyle w:val="BodyText"/>
      </w:pPr>
      <w:r>
        <w:t xml:space="preserve">The reviewers noted the troubling diagnostics and the worsening retrospective pattern for the model. </w:t>
      </w:r>
      <w:r w:rsidR="00BE41F6">
        <w:t>It was suggested that it would be better to move away from the VPA</w:t>
      </w:r>
      <w:r w:rsidR="00220501">
        <w:t xml:space="preserve"> model</w:t>
      </w:r>
      <w:r w:rsidR="00BE41F6">
        <w:t>, perhaps to a statistical framework, although it was noted that this</w:t>
      </w:r>
      <w:r w:rsidR="003E3F0C">
        <w:t xml:space="preserve"> does not fix any data issues. </w:t>
      </w:r>
      <w:r w:rsidR="00170827">
        <w:t xml:space="preserve">Currently the model does not track the surveys well and is not providing useful information. </w:t>
      </w:r>
      <w:r w:rsidR="00BE41F6">
        <w:t xml:space="preserve">It was noted </w:t>
      </w:r>
      <w:r w:rsidR="00170827">
        <w:t xml:space="preserve">by </w:t>
      </w:r>
      <w:r w:rsidR="00220501">
        <w:t xml:space="preserve">both </w:t>
      </w:r>
      <w:r w:rsidR="00170827">
        <w:t xml:space="preserve">the reviewers </w:t>
      </w:r>
      <w:r w:rsidR="00BE41F6">
        <w:t xml:space="preserve">that identifying a better approach and applying it </w:t>
      </w:r>
      <w:r w:rsidR="00170827">
        <w:t>by a potential 2021 benchmark</w:t>
      </w:r>
      <w:r w:rsidR="00BE41F6">
        <w:t xml:space="preserve"> is ambitious</w:t>
      </w:r>
      <w:r w:rsidR="00170827">
        <w:t>.</w:t>
      </w:r>
    </w:p>
    <w:p w14:paraId="572E2FA7" w14:textId="77777777" w:rsidR="00170827" w:rsidRDefault="00220501" w:rsidP="005433A1">
      <w:pPr>
        <w:pStyle w:val="BodyText"/>
      </w:pPr>
      <w:r>
        <w:t>I</w:t>
      </w:r>
      <w:r w:rsidR="00170827">
        <w:t>f the results from the current VPA are not considered reliable, then the projections are not useful.</w:t>
      </w:r>
    </w:p>
    <w:p w14:paraId="21E6F695" w14:textId="336E0D06" w:rsidR="00170827" w:rsidRDefault="00170827" w:rsidP="005433A1">
      <w:pPr>
        <w:pStyle w:val="BodyText"/>
      </w:pPr>
      <w:r>
        <w:t>In some years</w:t>
      </w:r>
      <w:r w:rsidR="00C75DC0">
        <w:t>,</w:t>
      </w:r>
      <w:r>
        <w:t xml:space="preserve"> the DFO survey q is above 1. It was asked if ther</w:t>
      </w:r>
      <w:r w:rsidR="00C75DC0">
        <w:t>e was any reason to think that H</w:t>
      </w:r>
      <w:r>
        <w:t xml:space="preserve">addock are </w:t>
      </w:r>
      <w:r w:rsidR="00220501">
        <w:t>“</w:t>
      </w:r>
      <w:r>
        <w:t>jumping into the path of the trawl</w:t>
      </w:r>
      <w:r w:rsidR="00220501">
        <w:t>”</w:t>
      </w:r>
      <w:r w:rsidR="003E3F0C">
        <w:t xml:space="preserve">. </w:t>
      </w:r>
      <w:r>
        <w:t xml:space="preserve">There is no reason to expect this </w:t>
      </w:r>
      <w:r w:rsidR="00220501">
        <w:t>but</w:t>
      </w:r>
      <w:r>
        <w:t xml:space="preserve"> there is a large standard deviation so that the range around q </w:t>
      </w:r>
      <w:r w:rsidR="00220501">
        <w:t>includes values</w:t>
      </w:r>
      <w:r>
        <w:t xml:space="preserve"> less than 1. </w:t>
      </w:r>
    </w:p>
    <w:p w14:paraId="348E6E99" w14:textId="0B3C24FB" w:rsidR="00170827" w:rsidRDefault="00170827" w:rsidP="005433A1">
      <w:pPr>
        <w:pStyle w:val="BodyText"/>
      </w:pPr>
      <w:r>
        <w:t>It was asked if the model had been run with individual survey indices rather than using all three to see if the retrospective pattern was large</w:t>
      </w:r>
      <w:r w:rsidR="003E3F0C">
        <w:t xml:space="preserve">r with one survey than others. </w:t>
      </w:r>
      <w:r>
        <w:t>This was done for the whole of Georges Bank and showed no single culpri</w:t>
      </w:r>
      <w:r w:rsidR="003E3F0C">
        <w:t xml:space="preserve">t. </w:t>
      </w:r>
      <w:r w:rsidR="00C75DC0">
        <w:t>Similarly, it was done for Eastern Georges Bank C</w:t>
      </w:r>
      <w:r>
        <w:t>od and again did not identify a survey that was worse than the others.</w:t>
      </w:r>
    </w:p>
    <w:p w14:paraId="5735AD76" w14:textId="2EB78262" w:rsidR="00E008B4" w:rsidRDefault="00E008B4" w:rsidP="005433A1">
      <w:pPr>
        <w:pStyle w:val="BodyText"/>
      </w:pPr>
      <w:r>
        <w:lastRenderedPageBreak/>
        <w:t>The reviewers asked if there was a link between t</w:t>
      </w:r>
      <w:r w:rsidR="00C75DC0">
        <w:t>emperature and the location of H</w:t>
      </w:r>
      <w:r>
        <w:t>addock that might caus</w:t>
      </w:r>
      <w:r w:rsidR="003E3F0C">
        <w:t xml:space="preserve">e differences in distribution. </w:t>
      </w:r>
      <w:r>
        <w:t>An industry representative indicated that fishers were observing this link and were using it to choose fishing locations.</w:t>
      </w:r>
    </w:p>
    <w:p w14:paraId="414C6574" w14:textId="5170D416" w:rsidR="00E008B4" w:rsidRPr="00220501" w:rsidRDefault="00E008B4" w:rsidP="00220501">
      <w:pPr>
        <w:ind w:left="360" w:right="360"/>
      </w:pPr>
      <w:r w:rsidRPr="00220501">
        <w:rPr>
          <w:b/>
        </w:rPr>
        <w:t>Research Recommendation</w:t>
      </w:r>
      <w:r w:rsidRPr="00220501">
        <w:t>: Investigate th</w:t>
      </w:r>
      <w:r w:rsidR="00C75DC0">
        <w:t>e link between temperature and H</w:t>
      </w:r>
      <w:r w:rsidRPr="00220501">
        <w:t>addock spatial distribution.</w:t>
      </w:r>
    </w:p>
    <w:p w14:paraId="2ADCE7F6" w14:textId="77777777" w:rsidR="00E008B4" w:rsidRPr="00D8265E" w:rsidRDefault="00E008B4" w:rsidP="00D8265E">
      <w:pPr>
        <w:ind w:left="360"/>
        <w:rPr>
          <w:i/>
        </w:rPr>
      </w:pPr>
      <w:r w:rsidRPr="00D8265E">
        <w:rPr>
          <w:i/>
        </w:rPr>
        <w:t>Science Staff, Designated Resource Managers and TRAC Co-Chairs</w:t>
      </w:r>
    </w:p>
    <w:p w14:paraId="77BB9384" w14:textId="200238CA" w:rsidR="00E008B4" w:rsidRPr="00E008B4" w:rsidRDefault="00E008B4" w:rsidP="005433A1">
      <w:pPr>
        <w:pStyle w:val="BodyText"/>
        <w:rPr>
          <w:lang w:val="en-CA"/>
        </w:rPr>
      </w:pPr>
      <w:r>
        <w:rPr>
          <w:lang w:val="en-CA"/>
        </w:rPr>
        <w:t xml:space="preserve">The </w:t>
      </w:r>
      <w:r w:rsidR="00220501">
        <w:rPr>
          <w:lang w:val="en-CA"/>
        </w:rPr>
        <w:t xml:space="preserve">2019 </w:t>
      </w:r>
      <w:r>
        <w:rPr>
          <w:lang w:val="en-CA"/>
        </w:rPr>
        <w:t xml:space="preserve">model </w:t>
      </w:r>
      <w:r w:rsidR="00220501">
        <w:rPr>
          <w:lang w:val="en-CA"/>
        </w:rPr>
        <w:t>run showed</w:t>
      </w:r>
      <w:r>
        <w:rPr>
          <w:lang w:val="en-CA"/>
        </w:rPr>
        <w:t xml:space="preserve"> 3+ biomass in the range of 150,000 </w:t>
      </w:r>
      <w:proofErr w:type="spellStart"/>
      <w:r>
        <w:rPr>
          <w:lang w:val="en-CA"/>
        </w:rPr>
        <w:t>mt</w:t>
      </w:r>
      <w:proofErr w:type="spellEnd"/>
      <w:r>
        <w:rPr>
          <w:lang w:val="en-CA"/>
        </w:rPr>
        <w:t xml:space="preserve"> for the past 4 years </w:t>
      </w:r>
      <w:r w:rsidR="00220501">
        <w:rPr>
          <w:lang w:val="en-CA"/>
        </w:rPr>
        <w:t>and yet the fully recruited F was 0.5 with catches that we</w:t>
      </w:r>
      <w:r>
        <w:rPr>
          <w:lang w:val="en-CA"/>
        </w:rPr>
        <w:t xml:space="preserve">re only 10% of the biomass. It was noted that </w:t>
      </w:r>
      <w:r w:rsidR="00220501">
        <w:rPr>
          <w:lang w:val="en-CA"/>
        </w:rPr>
        <w:t>the value of F for ages 5 to 8 wa</w:t>
      </w:r>
      <w:r>
        <w:rPr>
          <w:lang w:val="en-CA"/>
        </w:rPr>
        <w:t>s model derived and population weigh</w:t>
      </w:r>
      <w:r w:rsidR="00220501">
        <w:rPr>
          <w:lang w:val="en-CA"/>
        </w:rPr>
        <w:t>ted for each age group. The F wa</w:t>
      </w:r>
      <w:r>
        <w:rPr>
          <w:lang w:val="en-CA"/>
        </w:rPr>
        <w:t>s high because the catch at age shows high catches of very small year classes as a result of the smearing of the 2013 year class.</w:t>
      </w:r>
    </w:p>
    <w:p w14:paraId="72173645" w14:textId="5E73823B" w:rsidR="00C24C27" w:rsidRDefault="00E008B4" w:rsidP="005433A1">
      <w:pPr>
        <w:pStyle w:val="BodyText"/>
        <w:rPr>
          <w:rFonts w:cs="Arial"/>
        </w:rPr>
      </w:pPr>
      <w:r w:rsidRPr="00C24C27">
        <w:rPr>
          <w:rFonts w:cs="Arial"/>
        </w:rPr>
        <w:t xml:space="preserve">The Chair </w:t>
      </w:r>
      <w:proofErr w:type="spellStart"/>
      <w:r w:rsidR="00C24C27" w:rsidRPr="00C24C27">
        <w:rPr>
          <w:rFonts w:cs="Arial"/>
        </w:rPr>
        <w:t>summarised</w:t>
      </w:r>
      <w:proofErr w:type="spellEnd"/>
      <w:r w:rsidR="00C24C27" w:rsidRPr="00C24C27">
        <w:rPr>
          <w:rFonts w:cs="Arial"/>
        </w:rPr>
        <w:t xml:space="preserve"> the discussion </w:t>
      </w:r>
      <w:r w:rsidR="00220501">
        <w:rPr>
          <w:rFonts w:cs="Arial"/>
        </w:rPr>
        <w:t>up to this point</w:t>
      </w:r>
      <w:r w:rsidR="003E3F0C">
        <w:rPr>
          <w:rFonts w:cs="Arial"/>
        </w:rPr>
        <w:t>.</w:t>
      </w:r>
      <w:r w:rsidR="00C24C27" w:rsidRPr="00C24C27">
        <w:rPr>
          <w:rFonts w:cs="Arial"/>
        </w:rPr>
        <w:t xml:space="preserve"> He noted that the r</w:t>
      </w:r>
      <w:r w:rsidR="00FF73DA" w:rsidRPr="00C24C27">
        <w:rPr>
          <w:rFonts w:cs="Arial"/>
        </w:rPr>
        <w:t xml:space="preserve">esults </w:t>
      </w:r>
      <w:r w:rsidR="00C24C27" w:rsidRPr="00C24C27">
        <w:rPr>
          <w:rFonts w:cs="Arial"/>
        </w:rPr>
        <w:t xml:space="preserve">from the model </w:t>
      </w:r>
      <w:r w:rsidR="00C24C27">
        <w:rPr>
          <w:rFonts w:cs="Arial"/>
        </w:rPr>
        <w:t xml:space="preserve">should </w:t>
      </w:r>
      <w:r w:rsidR="00FF73DA" w:rsidRPr="00C24C27">
        <w:rPr>
          <w:rFonts w:cs="Arial"/>
        </w:rPr>
        <w:t xml:space="preserve">allow </w:t>
      </w:r>
      <w:r w:rsidR="00C24C27" w:rsidRPr="00C24C27">
        <w:rPr>
          <w:rFonts w:cs="Arial"/>
        </w:rPr>
        <w:t>the reconstruction of</w:t>
      </w:r>
      <w:r w:rsidR="00FF73DA" w:rsidRPr="00C24C27">
        <w:rPr>
          <w:rFonts w:cs="Arial"/>
        </w:rPr>
        <w:t xml:space="preserve"> the population over time and </w:t>
      </w:r>
      <w:r w:rsidR="00C24C27" w:rsidRPr="00C24C27">
        <w:rPr>
          <w:rFonts w:cs="Arial"/>
        </w:rPr>
        <w:t>provide catch advice but that significant issues wi</w:t>
      </w:r>
      <w:r w:rsidR="003E3F0C">
        <w:rPr>
          <w:rFonts w:cs="Arial"/>
        </w:rPr>
        <w:t>th the VPA had been identified.</w:t>
      </w:r>
      <w:r w:rsidR="00C24C27" w:rsidRPr="00C24C27">
        <w:rPr>
          <w:rFonts w:cs="Arial"/>
        </w:rPr>
        <w:t xml:space="preserve"> He asked the reviewers and then the science staff, designated resource managers and TRAC co-chairs if the model was still </w:t>
      </w:r>
      <w:r w:rsidR="00220501">
        <w:rPr>
          <w:rFonts w:cs="Arial"/>
        </w:rPr>
        <w:t>useful for management purposes.</w:t>
      </w:r>
      <w:r w:rsidR="00FF73DA" w:rsidRPr="00C24C27">
        <w:rPr>
          <w:rFonts w:cs="Arial"/>
        </w:rPr>
        <w:t xml:space="preserve"> </w:t>
      </w:r>
      <w:r w:rsidR="00C24C27" w:rsidRPr="00C24C27">
        <w:rPr>
          <w:rFonts w:cs="Arial"/>
        </w:rPr>
        <w:t xml:space="preserve">There was agreement </w:t>
      </w:r>
      <w:r w:rsidR="00C24C27">
        <w:rPr>
          <w:rFonts w:cs="Arial"/>
        </w:rPr>
        <w:t xml:space="preserve">from all </w:t>
      </w:r>
      <w:r w:rsidR="00C24C27" w:rsidRPr="00C24C27">
        <w:rPr>
          <w:rFonts w:cs="Arial"/>
        </w:rPr>
        <w:t xml:space="preserve">that </w:t>
      </w:r>
      <w:r w:rsidR="00C24C27">
        <w:rPr>
          <w:rFonts w:cs="Arial"/>
        </w:rPr>
        <w:t>the model should be rejected but</w:t>
      </w:r>
      <w:r w:rsidR="00C24C27" w:rsidRPr="00C24C27">
        <w:rPr>
          <w:rFonts w:cs="Arial"/>
        </w:rPr>
        <w:t xml:space="preserve"> concern was expressed that there was no clear alternative approach.</w:t>
      </w:r>
    </w:p>
    <w:p w14:paraId="7F89F710" w14:textId="32761C3D" w:rsidR="00D7481A" w:rsidRDefault="00C24C27" w:rsidP="005433A1">
      <w:pPr>
        <w:pStyle w:val="BodyText"/>
        <w:rPr>
          <w:rFonts w:cs="Arial"/>
        </w:rPr>
      </w:pPr>
      <w:r>
        <w:rPr>
          <w:rFonts w:cs="Arial"/>
        </w:rPr>
        <w:t xml:space="preserve">It was suggested that </w:t>
      </w:r>
      <w:r w:rsidR="00D7481A">
        <w:rPr>
          <w:rFonts w:cs="Arial"/>
        </w:rPr>
        <w:t>the TRAC could</w:t>
      </w:r>
      <w:r>
        <w:rPr>
          <w:rFonts w:cs="Arial"/>
        </w:rPr>
        <w:t xml:space="preserve"> comment on the current state of the stock relative to the 2009 to 2012 time period shown by the assessment team. </w:t>
      </w:r>
      <w:r w:rsidR="00D7481A">
        <w:rPr>
          <w:rFonts w:cs="Arial"/>
        </w:rPr>
        <w:t>The non-q adjuste</w:t>
      </w:r>
      <w:r w:rsidR="00220501">
        <w:rPr>
          <w:rFonts w:cs="Arial"/>
        </w:rPr>
        <w:t>d survey biomass indices give</w:t>
      </w:r>
      <w:r w:rsidR="00D7481A">
        <w:rPr>
          <w:rFonts w:cs="Arial"/>
        </w:rPr>
        <w:t xml:space="preserve"> a view of where the stock is in relation to the past.</w:t>
      </w:r>
      <w:r>
        <w:rPr>
          <w:rFonts w:cs="Arial"/>
        </w:rPr>
        <w:t xml:space="preserve"> </w:t>
      </w:r>
      <w:r w:rsidR="00D7481A">
        <w:rPr>
          <w:rFonts w:cs="Arial"/>
        </w:rPr>
        <w:t>Catch</w:t>
      </w:r>
      <w:r>
        <w:rPr>
          <w:rFonts w:cs="Arial"/>
        </w:rPr>
        <w:t xml:space="preserve"> advice could be provided in terms of adjusting the current quota and could be supported by the data, and not by anything produced by the model</w:t>
      </w:r>
      <w:r w:rsidR="003E3F0C">
        <w:rPr>
          <w:rFonts w:cs="Arial"/>
        </w:rPr>
        <w:t xml:space="preserve">. </w:t>
      </w:r>
    </w:p>
    <w:p w14:paraId="6AD826B5" w14:textId="00D38766" w:rsidR="00D7481A" w:rsidRDefault="00D7481A" w:rsidP="005433A1">
      <w:pPr>
        <w:pStyle w:val="BodyText"/>
        <w:rPr>
          <w:rFonts w:cs="Arial"/>
        </w:rPr>
      </w:pPr>
      <w:r>
        <w:rPr>
          <w:rFonts w:cs="Arial"/>
        </w:rPr>
        <w:t xml:space="preserve">The surveys provide </w:t>
      </w:r>
      <w:r w:rsidR="006E7828">
        <w:rPr>
          <w:rFonts w:cs="Arial"/>
        </w:rPr>
        <w:t xml:space="preserve">indices of </w:t>
      </w:r>
      <w:r w:rsidR="00C75DC0">
        <w:rPr>
          <w:rFonts w:cs="Arial"/>
        </w:rPr>
        <w:t>numbers and biomass that</w:t>
      </w:r>
      <w:r>
        <w:rPr>
          <w:rFonts w:cs="Arial"/>
        </w:rPr>
        <w:t xml:space="preserve"> can be used to show where the stock is now compared to the last few years. Recruitment can be identified from the indices without the model. When a really large year class is present, it is </w:t>
      </w:r>
      <w:r w:rsidR="00220501">
        <w:rPr>
          <w:rFonts w:cs="Arial"/>
        </w:rPr>
        <w:t>obvious in the survey data</w:t>
      </w:r>
      <w:r>
        <w:rPr>
          <w:rFonts w:cs="Arial"/>
        </w:rPr>
        <w:t>. The 2013 year class is large but is already age 6 and there are currently no other exceptional year classes so the abundance in the survey indices will decline. Aggregated survey indices can be used to guide the direction that the current quota should be adjusted.</w:t>
      </w:r>
    </w:p>
    <w:p w14:paraId="0151DE60" w14:textId="52D9CACB" w:rsidR="00D7481A" w:rsidRDefault="008A213A" w:rsidP="005433A1">
      <w:pPr>
        <w:pStyle w:val="BodyText"/>
        <w:rPr>
          <w:rFonts w:cs="Arial"/>
        </w:rPr>
      </w:pPr>
      <w:r>
        <w:rPr>
          <w:rFonts w:cs="Arial"/>
        </w:rPr>
        <w:t>The calculation of relative F is model free if there is no q adjustment of the surveys. It was suggested by the reviewers that this would be a u</w:t>
      </w:r>
      <w:r w:rsidR="007C60AF">
        <w:rPr>
          <w:rFonts w:cs="Arial"/>
        </w:rPr>
        <w:t>seful indicator to include.</w:t>
      </w:r>
      <w:r w:rsidR="00D7481A">
        <w:rPr>
          <w:rFonts w:cs="Arial"/>
        </w:rPr>
        <w:t xml:space="preserve"> </w:t>
      </w:r>
      <w:r w:rsidR="007C60AF">
        <w:rPr>
          <w:rFonts w:cs="Arial"/>
        </w:rPr>
        <w:t xml:space="preserve">The reviewers also suggested including a table </w:t>
      </w:r>
      <w:r w:rsidR="00220501">
        <w:rPr>
          <w:rFonts w:cs="Arial"/>
        </w:rPr>
        <w:t>showing</w:t>
      </w:r>
      <w:r w:rsidR="00C319C9">
        <w:rPr>
          <w:rFonts w:cs="Arial"/>
        </w:rPr>
        <w:t xml:space="preserve"> positive and negative features of the stock; this would be </w:t>
      </w:r>
      <w:r w:rsidR="007C60AF">
        <w:rPr>
          <w:rFonts w:cs="Arial"/>
        </w:rPr>
        <w:t>similar to the one from t</w:t>
      </w:r>
      <w:r w:rsidR="00C75DC0">
        <w:rPr>
          <w:rFonts w:cs="Arial"/>
        </w:rPr>
        <w:t>he H</w:t>
      </w:r>
      <w:r w:rsidR="00C319C9">
        <w:rPr>
          <w:rFonts w:cs="Arial"/>
        </w:rPr>
        <w:t>addock interim report</w:t>
      </w:r>
      <w:r w:rsidR="007C60AF">
        <w:rPr>
          <w:rFonts w:cs="Arial"/>
        </w:rPr>
        <w:t>.</w:t>
      </w:r>
    </w:p>
    <w:p w14:paraId="3CCCBCA7" w14:textId="588FC403" w:rsidR="00C319C9" w:rsidRDefault="00220501" w:rsidP="005433A1">
      <w:pPr>
        <w:pStyle w:val="BodyText"/>
        <w:rPr>
          <w:rFonts w:cs="Arial"/>
        </w:rPr>
      </w:pPr>
      <w:r>
        <w:rPr>
          <w:rFonts w:cs="Arial"/>
        </w:rPr>
        <w:t>T</w:t>
      </w:r>
      <w:r w:rsidR="00C319C9">
        <w:rPr>
          <w:rFonts w:cs="Arial"/>
        </w:rPr>
        <w:t xml:space="preserve">he Chair </w:t>
      </w:r>
      <w:r>
        <w:rPr>
          <w:rFonts w:cs="Arial"/>
        </w:rPr>
        <w:t xml:space="preserve">again </w:t>
      </w:r>
      <w:proofErr w:type="spellStart"/>
      <w:r>
        <w:rPr>
          <w:rFonts w:cs="Arial"/>
        </w:rPr>
        <w:t>summarised</w:t>
      </w:r>
      <w:proofErr w:type="spellEnd"/>
      <w:r>
        <w:rPr>
          <w:rFonts w:cs="Arial"/>
        </w:rPr>
        <w:t xml:space="preserve"> the discussion and </w:t>
      </w:r>
      <w:r w:rsidR="00C319C9">
        <w:rPr>
          <w:rFonts w:cs="Arial"/>
        </w:rPr>
        <w:t xml:space="preserve">requested that the group provide a list of additional homework items for the assessment leads to complete for </w:t>
      </w:r>
      <w:r>
        <w:rPr>
          <w:rFonts w:cs="Arial"/>
        </w:rPr>
        <w:t>the next day</w:t>
      </w:r>
      <w:r w:rsidR="00C319C9">
        <w:rPr>
          <w:rFonts w:cs="Arial"/>
        </w:rPr>
        <w:t xml:space="preserve"> of the TRAC meeting. The purpose of the homework would be to give evidence that could be used to describe current stock status and where the TRAC thinks the stock is in relation to the past. In addition, the decision was made to reject the model for providing catch advice and it is</w:t>
      </w:r>
      <w:r w:rsidR="00C75DC0">
        <w:rPr>
          <w:rFonts w:cs="Arial"/>
        </w:rPr>
        <w:t xml:space="preserve">, </w:t>
      </w:r>
      <w:r w:rsidR="00C319C9">
        <w:rPr>
          <w:rFonts w:cs="Arial"/>
        </w:rPr>
        <w:t>therefore</w:t>
      </w:r>
      <w:r w:rsidR="00C75DC0">
        <w:rPr>
          <w:rFonts w:cs="Arial"/>
        </w:rPr>
        <w:t>,</w:t>
      </w:r>
      <w:r w:rsidR="00C319C9">
        <w:rPr>
          <w:rFonts w:cs="Arial"/>
        </w:rPr>
        <w:t xml:space="preserve"> necessary to clearly justify this decision. The group requested the following:</w:t>
      </w:r>
    </w:p>
    <w:p w14:paraId="156E19DB" w14:textId="77777777" w:rsidR="00C319C9" w:rsidRDefault="00C319C9" w:rsidP="005433A1">
      <w:pPr>
        <w:pStyle w:val="ListBullet"/>
      </w:pPr>
      <w:r>
        <w:t>Swept area indices for biomass and number for all three surveys without any q adjustments.</w:t>
      </w:r>
    </w:p>
    <w:p w14:paraId="3BE29491" w14:textId="0B9DC3F4" w:rsidR="00C319C9" w:rsidRDefault="00C319C9" w:rsidP="005433A1">
      <w:pPr>
        <w:pStyle w:val="ListBullet"/>
      </w:pPr>
      <w:r>
        <w:t>Length compositions from the surveys for the two most recent years and the time period when the exceptional 2003 year class was of similar age to the 2013 year class now (e.g.</w:t>
      </w:r>
      <w:r w:rsidR="00C75DC0">
        <w:t>,</w:t>
      </w:r>
      <w:r>
        <w:t xml:space="preserve"> 2009 to 2011).</w:t>
      </w:r>
    </w:p>
    <w:p w14:paraId="7E6A4661" w14:textId="77777777" w:rsidR="00C319C9" w:rsidRDefault="00C13020" w:rsidP="005433A1">
      <w:pPr>
        <w:pStyle w:val="ListBullet"/>
      </w:pPr>
      <w:r>
        <w:t>Relative F values, catch and quota information for the same years as above.</w:t>
      </w:r>
    </w:p>
    <w:p w14:paraId="4E1AF0EC" w14:textId="5465AC62" w:rsidR="00C13020" w:rsidRPr="00D8265E" w:rsidRDefault="00C13020" w:rsidP="00D8265E">
      <w:pPr>
        <w:ind w:left="360"/>
        <w:rPr>
          <w:i/>
        </w:rPr>
      </w:pPr>
      <w:r w:rsidRPr="00D8265E">
        <w:rPr>
          <w:i/>
        </w:rPr>
        <w:t>Other Meeting Participants</w:t>
      </w:r>
    </w:p>
    <w:p w14:paraId="7A9966F9" w14:textId="1A00BF84" w:rsidR="00C13020" w:rsidRPr="00C13020" w:rsidRDefault="00C13020" w:rsidP="005433A1">
      <w:pPr>
        <w:pStyle w:val="BodyText"/>
      </w:pPr>
      <w:r>
        <w:lastRenderedPageBreak/>
        <w:t>There was some support expressed for looking back at the history of the stock for providin</w:t>
      </w:r>
      <w:r w:rsidR="003E3F0C">
        <w:t xml:space="preserve">g advice. </w:t>
      </w:r>
      <w:r>
        <w:t>The survey information that is being prepared as part of the homework must be model free</w:t>
      </w:r>
      <w:r w:rsidR="00C75DC0">
        <w:t>,</w:t>
      </w:r>
      <w:r>
        <w:t xml:space="preserve"> and comfort was expressed with the list of homework that had been prepared.</w:t>
      </w:r>
    </w:p>
    <w:p w14:paraId="6A10451B" w14:textId="77777777" w:rsidR="00C13020" w:rsidRPr="008B04BB" w:rsidRDefault="000F2E12" w:rsidP="00354A60">
      <w:pPr>
        <w:pStyle w:val="Heading3"/>
        <w:rPr>
          <w:lang w:val="en-US"/>
        </w:rPr>
      </w:pPr>
      <w:bookmarkStart w:id="10" w:name="_Toc44061511"/>
      <w:r w:rsidRPr="008B04BB">
        <w:rPr>
          <w:lang w:val="en-US"/>
        </w:rPr>
        <w:t>Haddock Somatic Growth Changes on Eastern Georges Bank</w:t>
      </w:r>
      <w:bookmarkEnd w:id="10"/>
    </w:p>
    <w:p w14:paraId="0D381752" w14:textId="77777777" w:rsidR="006315DA" w:rsidRDefault="00C13020" w:rsidP="000F2E12">
      <w:pPr>
        <w:tabs>
          <w:tab w:val="left" w:pos="1800"/>
        </w:tabs>
        <w:spacing w:before="0" w:after="0"/>
        <w:ind w:left="1800" w:hanging="1800"/>
      </w:pPr>
      <w:r>
        <w:t>Presentation</w:t>
      </w:r>
      <w:r w:rsidR="006315DA">
        <w:t xml:space="preserve">: </w:t>
      </w:r>
      <w:r w:rsidR="000F2E12">
        <w:tab/>
      </w:r>
      <w:r>
        <w:t>Understanding Haddock Somatic Growth Changes on Eastern Georges Bank</w:t>
      </w:r>
    </w:p>
    <w:p w14:paraId="3BE35797" w14:textId="77777777" w:rsidR="006315DA" w:rsidRDefault="006315DA" w:rsidP="000F2E12">
      <w:pPr>
        <w:tabs>
          <w:tab w:val="left" w:pos="1800"/>
        </w:tabs>
        <w:spacing w:before="0" w:after="0"/>
        <w:ind w:left="1800" w:hanging="1800"/>
      </w:pPr>
      <w:r>
        <w:t>Science Leads</w:t>
      </w:r>
      <w:r w:rsidR="00C13020">
        <w:t xml:space="preserve">: </w:t>
      </w:r>
      <w:r w:rsidR="000F2E12">
        <w:tab/>
      </w:r>
      <w:r w:rsidR="00C13020">
        <w:t xml:space="preserve">Y. Wang, A. </w:t>
      </w:r>
      <w:proofErr w:type="spellStart"/>
      <w:r w:rsidR="00C13020">
        <w:t>Gharouni</w:t>
      </w:r>
      <w:proofErr w:type="spellEnd"/>
      <w:r w:rsidR="00C13020">
        <w:t xml:space="preserve">, K. </w:t>
      </w:r>
      <w:proofErr w:type="spellStart"/>
      <w:r w:rsidR="00C13020">
        <w:t>Friedland</w:t>
      </w:r>
      <w:proofErr w:type="spellEnd"/>
      <w:r w:rsidR="00C13020">
        <w:t xml:space="preserve"> and C. Melrose</w:t>
      </w:r>
    </w:p>
    <w:p w14:paraId="1BA41B8B" w14:textId="77777777" w:rsidR="006315DA" w:rsidRDefault="006315DA" w:rsidP="000F2E12">
      <w:pPr>
        <w:tabs>
          <w:tab w:val="left" w:pos="1800"/>
        </w:tabs>
        <w:spacing w:before="0" w:after="0"/>
        <w:ind w:left="1800" w:hanging="1800"/>
      </w:pPr>
      <w:r>
        <w:t xml:space="preserve">Presenter: </w:t>
      </w:r>
      <w:r w:rsidR="000F2E12">
        <w:tab/>
      </w:r>
      <w:r w:rsidR="00C13020">
        <w:t>Y. Wang</w:t>
      </w:r>
    </w:p>
    <w:p w14:paraId="01C15541" w14:textId="77777777" w:rsidR="006315DA" w:rsidRDefault="006315DA" w:rsidP="000F2E12">
      <w:pPr>
        <w:tabs>
          <w:tab w:val="left" w:pos="1800"/>
        </w:tabs>
        <w:spacing w:before="0" w:after="0"/>
        <w:ind w:left="1800" w:hanging="1800"/>
      </w:pPr>
      <w:r>
        <w:t xml:space="preserve">Rapporteurs: </w:t>
      </w:r>
      <w:r w:rsidR="000F2E12">
        <w:tab/>
      </w:r>
      <w:r w:rsidR="00C13020">
        <w:t>Q. McCurdy</w:t>
      </w:r>
      <w:r>
        <w:t xml:space="preserve"> and K. Clark</w:t>
      </w:r>
    </w:p>
    <w:p w14:paraId="4C4B27E5" w14:textId="77777777" w:rsidR="006315DA" w:rsidRPr="001D7229" w:rsidRDefault="006315DA" w:rsidP="00885119">
      <w:pPr>
        <w:pStyle w:val="Heading4"/>
      </w:pPr>
      <w:r w:rsidRPr="001D7229">
        <w:t>Presentation Highlights</w:t>
      </w:r>
    </w:p>
    <w:p w14:paraId="7A4658E0" w14:textId="5EF5AECB" w:rsidR="0048580C" w:rsidRDefault="00C13020" w:rsidP="005433A1">
      <w:pPr>
        <w:pStyle w:val="BodyText"/>
      </w:pPr>
      <w:r>
        <w:t>A</w:t>
      </w:r>
      <w:r w:rsidRPr="008E76FD">
        <w:t xml:space="preserve">ccompanying </w:t>
      </w:r>
      <w:r>
        <w:t>the recent biomass in</w:t>
      </w:r>
      <w:r w:rsidR="00C75DC0">
        <w:t>crease of Eastern Georges Bank H</w:t>
      </w:r>
      <w:r>
        <w:t xml:space="preserve">addock, </w:t>
      </w:r>
      <w:r w:rsidRPr="008E76FD">
        <w:t>there has</w:t>
      </w:r>
      <w:r w:rsidR="00C75DC0">
        <w:t xml:space="preserve"> been a significant decline in H</w:t>
      </w:r>
      <w:r w:rsidRPr="008E76FD">
        <w:t>addock growth</w:t>
      </w:r>
      <w:r w:rsidR="00BA64AF">
        <w:t>. At the same time,</w:t>
      </w:r>
      <w:r>
        <w:t xml:space="preserve"> </w:t>
      </w:r>
      <w:r w:rsidRPr="008E76FD">
        <w:t>Georges Bank has experienced environmental changes</w:t>
      </w:r>
      <w:r>
        <w:t xml:space="preserve">. To understand </w:t>
      </w:r>
      <w:r w:rsidRPr="008E76FD">
        <w:t>the mechanism of somatic growth changes</w:t>
      </w:r>
      <w:r>
        <w:t xml:space="preserve">, </w:t>
      </w:r>
      <w:r w:rsidR="00786A74">
        <w:t xml:space="preserve">Generalized Additive Models (GAM) </w:t>
      </w:r>
      <w:r>
        <w:t xml:space="preserve">were used to relate biotic and abiotic variables to </w:t>
      </w:r>
      <w:r w:rsidR="00C75DC0">
        <w:t>Haddock growth on E</w:t>
      </w:r>
      <w:r>
        <w:t xml:space="preserve">astern Georges Bank. </w:t>
      </w:r>
      <w:r w:rsidR="00786A74">
        <w:t>The selection of covariate variables was</w:t>
      </w:r>
      <w:r>
        <w:t xml:space="preserve"> based on a conceptual model and data availability. The results showed that d</w:t>
      </w:r>
      <w:r w:rsidRPr="00FC3243">
        <w:t>ensity dependent effect</w:t>
      </w:r>
      <w:r w:rsidR="00786A74">
        <w:t>s and possibly</w:t>
      </w:r>
      <w:r w:rsidRPr="00FC3243">
        <w:t xml:space="preserve"> high</w:t>
      </w:r>
      <w:r w:rsidR="00786A74">
        <w:t>er</w:t>
      </w:r>
      <w:r w:rsidRPr="00FC3243">
        <w:t xml:space="preserve"> temp</w:t>
      </w:r>
      <w:r w:rsidR="00786A74">
        <w:t>eratures</w:t>
      </w:r>
      <w:r w:rsidRPr="00FC3243">
        <w:t xml:space="preserve"> in the summer a</w:t>
      </w:r>
      <w:r w:rsidR="00786A74">
        <w:t>nd fall have the most influence</w:t>
      </w:r>
      <w:r w:rsidRPr="00FC3243">
        <w:t xml:space="preserve"> on haddock growth changes</w:t>
      </w:r>
      <w:r>
        <w:t xml:space="preserve">. This is consistent with </w:t>
      </w:r>
      <w:r w:rsidR="00CB7289" w:rsidRPr="00CB7289">
        <w:rPr>
          <w:color w:val="000000" w:themeColor="text1"/>
        </w:rPr>
        <w:t xml:space="preserve">the </w:t>
      </w:r>
      <w:r w:rsidRPr="00FC3243">
        <w:t xml:space="preserve">description </w:t>
      </w:r>
      <w:r w:rsidR="00CB7289">
        <w:t xml:space="preserve">in </w:t>
      </w:r>
      <w:r w:rsidR="00534ABE" w:rsidRPr="00534ABE">
        <w:t>Clark et al. (1982</w:t>
      </w:r>
      <w:r w:rsidR="00CB7289" w:rsidRPr="00534ABE">
        <w:t>)</w:t>
      </w:r>
      <w:r w:rsidR="00CB7289">
        <w:t xml:space="preserve"> </w:t>
      </w:r>
      <w:r w:rsidR="00A90AA9">
        <w:t>of a reduction in</w:t>
      </w:r>
      <w:r w:rsidRPr="00FC3243">
        <w:t xml:space="preserve"> fish size following very strong cohorts.</w:t>
      </w:r>
    </w:p>
    <w:p w14:paraId="77CC7DA9" w14:textId="77777777" w:rsidR="00C30B4B" w:rsidRPr="001D7229" w:rsidRDefault="00C30B4B" w:rsidP="00885119">
      <w:pPr>
        <w:pStyle w:val="Heading4"/>
      </w:pPr>
      <w:r w:rsidRPr="001D7229">
        <w:t>Discussion</w:t>
      </w:r>
    </w:p>
    <w:p w14:paraId="7AFDB8FF" w14:textId="77777777" w:rsidR="00A90AA9" w:rsidRPr="00D8265E" w:rsidRDefault="00A90AA9" w:rsidP="00D8265E">
      <w:pPr>
        <w:ind w:left="360"/>
        <w:rPr>
          <w:i/>
        </w:rPr>
      </w:pPr>
      <w:r w:rsidRPr="00D8265E">
        <w:rPr>
          <w:i/>
        </w:rPr>
        <w:t>Reviewers</w:t>
      </w:r>
    </w:p>
    <w:p w14:paraId="72AF1189" w14:textId="7F285CE1" w:rsidR="00A90AA9" w:rsidRDefault="00A90AA9" w:rsidP="005433A1">
      <w:pPr>
        <w:pStyle w:val="BodyText"/>
      </w:pPr>
      <w:r>
        <w:t>It was noted that GAM can include a wide range of variables, some of which might not explain much</w:t>
      </w:r>
      <w:r w:rsidR="000F2E12">
        <w:t xml:space="preserve"> of the data</w:t>
      </w:r>
      <w:r>
        <w:t xml:space="preserve">. It was asked if the </w:t>
      </w:r>
      <w:r w:rsidR="000F2E12">
        <w:t xml:space="preserve">models could be simplified </w:t>
      </w:r>
      <w:r w:rsidR="00C75DC0">
        <w:t xml:space="preserve">further. </w:t>
      </w:r>
      <w:r>
        <w:t>Had a stepwise method of removing one variable and then examining the AIC been done to se</w:t>
      </w:r>
      <w:r w:rsidR="00C75DC0">
        <w:t>e if this made much difference?</w:t>
      </w:r>
      <w:r>
        <w:t xml:space="preserve"> It was noted that both AIC and ANOVA were used to determine the input v</w:t>
      </w:r>
      <w:r w:rsidR="000F2E12">
        <w:t>ariables and that variables</w:t>
      </w:r>
      <w:r>
        <w:t xml:space="preserve"> with</w:t>
      </w:r>
      <w:r w:rsidR="00C75DC0">
        <w:t xml:space="preserve"> high </w:t>
      </w:r>
      <w:proofErr w:type="spellStart"/>
      <w:r w:rsidR="00C75DC0">
        <w:t>concurvity</w:t>
      </w:r>
      <w:proofErr w:type="spellEnd"/>
      <w:r w:rsidR="00C75DC0">
        <w:t xml:space="preserve"> were removed. </w:t>
      </w:r>
      <w:r>
        <w:t>If a variable was removed and the AIC did not change, the variable was left out.</w:t>
      </w:r>
    </w:p>
    <w:p w14:paraId="41409B32" w14:textId="2A9D881E" w:rsidR="00A90AA9" w:rsidRDefault="00A90AA9" w:rsidP="005433A1">
      <w:pPr>
        <w:pStyle w:val="BodyText"/>
      </w:pPr>
      <w:r>
        <w:t>Some of the features of GAMs were discussed, particularly the abili</w:t>
      </w:r>
      <w:r w:rsidR="003E3F0C">
        <w:t xml:space="preserve">ty to get smoother curve fits. </w:t>
      </w:r>
      <w:r>
        <w:t xml:space="preserve">It was noted that you can constrain them a bit to see </w:t>
      </w:r>
      <w:r w:rsidR="00C75DC0">
        <w:t>if the results make more sense.</w:t>
      </w:r>
      <w:r>
        <w:t xml:space="preserve"> In this study, the authors started with the default and made changes when there were outcomes that did not make sense. </w:t>
      </w:r>
      <w:r w:rsidR="000F2E12">
        <w:t xml:space="preserve">If one variable is fixed, it impacts another. </w:t>
      </w:r>
      <w:r>
        <w:t xml:space="preserve">There is still a need to use expert judgement and not </w:t>
      </w:r>
      <w:r w:rsidR="003E3F0C">
        <w:t>to rely entirely on the model.</w:t>
      </w:r>
    </w:p>
    <w:p w14:paraId="668EB2B1" w14:textId="77777777" w:rsidR="00F7273D" w:rsidRPr="00D8265E" w:rsidRDefault="00F7273D" w:rsidP="00D8265E">
      <w:pPr>
        <w:ind w:left="360"/>
        <w:rPr>
          <w:i/>
        </w:rPr>
      </w:pPr>
      <w:r w:rsidRPr="00D8265E">
        <w:rPr>
          <w:i/>
        </w:rPr>
        <w:t>Science Staff, Designated Resource Managers and TRAC Co-Chairs</w:t>
      </w:r>
    </w:p>
    <w:p w14:paraId="0B6A0EDD" w14:textId="04F5E193" w:rsidR="00F7273D" w:rsidRDefault="000F2E12" w:rsidP="005433A1">
      <w:pPr>
        <w:pStyle w:val="BodyText"/>
        <w:rPr>
          <w:lang w:val="en-CA"/>
        </w:rPr>
      </w:pPr>
      <w:r>
        <w:t>T</w:t>
      </w:r>
      <w:r w:rsidR="00F7273D">
        <w:rPr>
          <w:lang w:val="en-CA"/>
        </w:rPr>
        <w:t>he conceptual model</w:t>
      </w:r>
      <w:r>
        <w:rPr>
          <w:lang w:val="en-CA"/>
        </w:rPr>
        <w:t xml:space="preserve"> that was presented</w:t>
      </w:r>
      <w:r w:rsidR="00F7273D">
        <w:rPr>
          <w:lang w:val="en-CA"/>
        </w:rPr>
        <w:t xml:space="preserve"> indicated that there was no information for the benthos. It was asked if there was a plan to use any information as a proxy for this</w:t>
      </w:r>
      <w:r>
        <w:rPr>
          <w:lang w:val="en-CA"/>
        </w:rPr>
        <w:t xml:space="preserve"> but</w:t>
      </w:r>
      <w:r w:rsidR="00C75DC0">
        <w:rPr>
          <w:lang w:val="en-CA"/>
        </w:rPr>
        <w:t>,</w:t>
      </w:r>
      <w:r>
        <w:rPr>
          <w:lang w:val="en-CA"/>
        </w:rPr>
        <w:t xml:space="preserve"> unfortunately, the</w:t>
      </w:r>
      <w:r w:rsidR="00F7273D">
        <w:rPr>
          <w:lang w:val="en-CA"/>
        </w:rPr>
        <w:t xml:space="preserve"> information is not available in a form that</w:t>
      </w:r>
      <w:r>
        <w:rPr>
          <w:lang w:val="en-CA"/>
        </w:rPr>
        <w:t xml:space="preserve"> can be used in the model</w:t>
      </w:r>
      <w:r w:rsidR="003E3F0C">
        <w:rPr>
          <w:lang w:val="en-CA"/>
        </w:rPr>
        <w:t xml:space="preserve">. </w:t>
      </w:r>
      <w:r w:rsidR="00F7273D">
        <w:rPr>
          <w:lang w:val="en-CA"/>
        </w:rPr>
        <w:t>The lack of ecosystem data is a challenge.</w:t>
      </w:r>
    </w:p>
    <w:p w14:paraId="7EC8F099" w14:textId="655A877D" w:rsidR="00F7273D" w:rsidRDefault="00F7273D" w:rsidP="005433A1">
      <w:pPr>
        <w:pStyle w:val="BodyText"/>
        <w:rPr>
          <w:lang w:val="en-CA"/>
        </w:rPr>
      </w:pPr>
      <w:r>
        <w:rPr>
          <w:lang w:val="en-CA"/>
        </w:rPr>
        <w:t>The smearing of age cla</w:t>
      </w:r>
      <w:r w:rsidR="00C75DC0">
        <w:rPr>
          <w:lang w:val="en-CA"/>
        </w:rPr>
        <w:t>sses around the 2013 H</w:t>
      </w:r>
      <w:r>
        <w:rPr>
          <w:lang w:val="en-CA"/>
        </w:rPr>
        <w:t>addock year class was raised as a potential issue for the model. This kind of error would show up in the residuals. However, there are so many samples for the strong year class, that it is not considered to be a problem.</w:t>
      </w:r>
    </w:p>
    <w:p w14:paraId="7DC3263F" w14:textId="4088809D" w:rsidR="00F7273D" w:rsidRDefault="00F7273D" w:rsidP="005433A1">
      <w:pPr>
        <w:pStyle w:val="BodyText"/>
        <w:rPr>
          <w:lang w:val="en-CA"/>
        </w:rPr>
      </w:pPr>
      <w:r>
        <w:rPr>
          <w:lang w:val="en-CA"/>
        </w:rPr>
        <w:t xml:space="preserve">It </w:t>
      </w:r>
      <w:r w:rsidR="000F2E12">
        <w:rPr>
          <w:lang w:val="en-CA"/>
        </w:rPr>
        <w:t>was suggested that the authors consider</w:t>
      </w:r>
      <w:r>
        <w:rPr>
          <w:lang w:val="en-CA"/>
        </w:rPr>
        <w:t xml:space="preserve"> using an interaction term with year since it would be interesting to see how density dependence might vary over time. </w:t>
      </w:r>
      <w:r w:rsidR="000F2E12">
        <w:rPr>
          <w:lang w:val="en-CA"/>
        </w:rPr>
        <w:t xml:space="preserve">Out </w:t>
      </w:r>
      <w:r>
        <w:rPr>
          <w:lang w:val="en-CA"/>
        </w:rPr>
        <w:t>of sample prediction, such as removing 2011 and estimating to see how comparable the results are with and without these data</w:t>
      </w:r>
      <w:r w:rsidR="00C75DC0">
        <w:rPr>
          <w:lang w:val="en-CA"/>
        </w:rPr>
        <w:t>,</w:t>
      </w:r>
      <w:r w:rsidR="000F2E12">
        <w:rPr>
          <w:lang w:val="en-CA"/>
        </w:rPr>
        <w:t xml:space="preserve"> might also be an interesting approach</w:t>
      </w:r>
      <w:r>
        <w:rPr>
          <w:lang w:val="en-CA"/>
        </w:rPr>
        <w:t>.</w:t>
      </w:r>
    </w:p>
    <w:p w14:paraId="429F4B14" w14:textId="77777777" w:rsidR="00F7273D" w:rsidRPr="00D8265E" w:rsidRDefault="00F7273D" w:rsidP="00D8265E">
      <w:pPr>
        <w:ind w:left="360"/>
        <w:rPr>
          <w:i/>
        </w:rPr>
      </w:pPr>
      <w:r w:rsidRPr="00D8265E">
        <w:rPr>
          <w:i/>
        </w:rPr>
        <w:t>Other Meeting Participants</w:t>
      </w:r>
    </w:p>
    <w:p w14:paraId="74101268" w14:textId="3AD5A960" w:rsidR="00F7273D" w:rsidRPr="00F7273D" w:rsidRDefault="00F7273D" w:rsidP="005433A1">
      <w:pPr>
        <w:pStyle w:val="BodyText"/>
        <w:rPr>
          <w:lang w:val="en-CA"/>
        </w:rPr>
      </w:pPr>
      <w:r>
        <w:rPr>
          <w:lang w:val="en-CA"/>
        </w:rPr>
        <w:lastRenderedPageBreak/>
        <w:t>It was noted that the authors did not use the NMFS survey information for length at age</w:t>
      </w:r>
      <w:r w:rsidR="00101CBC">
        <w:rPr>
          <w:lang w:val="en-CA"/>
        </w:rPr>
        <w:t>.</w:t>
      </w:r>
    </w:p>
    <w:p w14:paraId="1E80F989" w14:textId="6145ADF3" w:rsidR="00F7273D" w:rsidRPr="00782DD0" w:rsidRDefault="00797F23" w:rsidP="00291412">
      <w:pPr>
        <w:pStyle w:val="Heading2"/>
      </w:pPr>
      <w:bookmarkStart w:id="11" w:name="_Toc44061512"/>
      <w:r w:rsidRPr="00782DD0">
        <w:rPr>
          <w:caps w:val="0"/>
        </w:rPr>
        <w:t>ALLOCATION SHARES</w:t>
      </w:r>
      <w:bookmarkEnd w:id="11"/>
    </w:p>
    <w:p w14:paraId="58D7BD7A" w14:textId="52E6BBAC" w:rsidR="00F7273D" w:rsidRPr="00BB64F9" w:rsidRDefault="00F7273D" w:rsidP="00782DD0">
      <w:pPr>
        <w:spacing w:before="0" w:after="0"/>
        <w:ind w:left="3240" w:hanging="3240"/>
        <w:rPr>
          <w:color w:val="000000" w:themeColor="text1"/>
          <w:szCs w:val="22"/>
        </w:rPr>
      </w:pPr>
      <w:r w:rsidRPr="00BB64F9">
        <w:rPr>
          <w:color w:val="000000" w:themeColor="text1"/>
        </w:rPr>
        <w:t>Working Paper 2019</w:t>
      </w:r>
      <w:r w:rsidRPr="000940CC">
        <w:rPr>
          <w:color w:val="000000" w:themeColor="text1"/>
        </w:rPr>
        <w:t>/</w:t>
      </w:r>
      <w:r w:rsidR="000940CC" w:rsidRPr="000940CC">
        <w:rPr>
          <w:color w:val="000000" w:themeColor="text1"/>
        </w:rPr>
        <w:t>03</w:t>
      </w:r>
      <w:r w:rsidRPr="000940CC">
        <w:rPr>
          <w:color w:val="000000" w:themeColor="text1"/>
        </w:rPr>
        <w:t>:</w:t>
      </w:r>
      <w:r w:rsidRPr="00BB64F9">
        <w:rPr>
          <w:color w:val="000000" w:themeColor="text1"/>
        </w:rPr>
        <w:t xml:space="preserve"> </w:t>
      </w:r>
      <w:r w:rsidR="00782DD0">
        <w:rPr>
          <w:color w:val="000000" w:themeColor="text1"/>
        </w:rPr>
        <w:tab/>
      </w:r>
      <w:r w:rsidR="00956166">
        <w:rPr>
          <w:color w:val="000000" w:themeColor="text1"/>
        </w:rPr>
        <w:t>Update of Allocation Shares for Canada and the USA of the Transboundary Resources of Atlantic Cod, Haddock and Yellowtail Flounder on Georges Bank through Fishing Year 2020</w:t>
      </w:r>
    </w:p>
    <w:p w14:paraId="678CDD84" w14:textId="77777777" w:rsidR="00F7273D" w:rsidRPr="00BB64F9" w:rsidRDefault="00782DD0" w:rsidP="00782DD0">
      <w:pPr>
        <w:pStyle w:val="Default"/>
        <w:ind w:left="3240" w:hanging="3240"/>
        <w:rPr>
          <w:color w:val="000000" w:themeColor="text1"/>
          <w:sz w:val="22"/>
          <w:szCs w:val="22"/>
        </w:rPr>
      </w:pPr>
      <w:r>
        <w:rPr>
          <w:color w:val="000000" w:themeColor="text1"/>
          <w:sz w:val="22"/>
          <w:szCs w:val="22"/>
        </w:rPr>
        <w:t>Science Leads (Working Paper):</w:t>
      </w:r>
      <w:r>
        <w:rPr>
          <w:color w:val="000000" w:themeColor="text1"/>
          <w:sz w:val="22"/>
          <w:szCs w:val="22"/>
        </w:rPr>
        <w:tab/>
      </w:r>
      <w:r w:rsidR="00956166">
        <w:rPr>
          <w:color w:val="000000" w:themeColor="text1"/>
          <w:sz w:val="22"/>
          <w:szCs w:val="22"/>
        </w:rPr>
        <w:t>M.A. Barrett and E.N. Brooks</w:t>
      </w:r>
    </w:p>
    <w:p w14:paraId="221AF5E2" w14:textId="77777777" w:rsidR="00F7273D" w:rsidRPr="00BB64F9" w:rsidRDefault="00F7273D" w:rsidP="00782DD0">
      <w:pPr>
        <w:spacing w:before="0" w:after="0"/>
        <w:ind w:left="3240" w:hanging="3240"/>
        <w:rPr>
          <w:color w:val="000000" w:themeColor="text1"/>
        </w:rPr>
      </w:pPr>
      <w:r w:rsidRPr="00BB64F9">
        <w:rPr>
          <w:color w:val="000000" w:themeColor="text1"/>
        </w:rPr>
        <w:t xml:space="preserve">Presenter: </w:t>
      </w:r>
      <w:r w:rsidR="00782DD0">
        <w:rPr>
          <w:color w:val="000000" w:themeColor="text1"/>
        </w:rPr>
        <w:tab/>
      </w:r>
      <w:r w:rsidRPr="00BB64F9">
        <w:rPr>
          <w:color w:val="000000" w:themeColor="text1"/>
        </w:rPr>
        <w:t>M.</w:t>
      </w:r>
      <w:r w:rsidR="00956166">
        <w:rPr>
          <w:color w:val="000000" w:themeColor="text1"/>
        </w:rPr>
        <w:t>A. Barrett</w:t>
      </w:r>
    </w:p>
    <w:p w14:paraId="7F57AC46" w14:textId="77777777" w:rsidR="00F7273D" w:rsidRPr="00BB64F9" w:rsidRDefault="00F7273D" w:rsidP="00782DD0">
      <w:pPr>
        <w:spacing w:before="0" w:after="0"/>
        <w:ind w:left="3240" w:hanging="3240"/>
        <w:rPr>
          <w:color w:val="000000" w:themeColor="text1"/>
        </w:rPr>
      </w:pPr>
      <w:r w:rsidRPr="00BB64F9">
        <w:rPr>
          <w:color w:val="000000" w:themeColor="text1"/>
        </w:rPr>
        <w:t xml:space="preserve">Rapporteurs: </w:t>
      </w:r>
      <w:r w:rsidR="00782DD0">
        <w:rPr>
          <w:color w:val="000000" w:themeColor="text1"/>
        </w:rPr>
        <w:tab/>
      </w:r>
      <w:r w:rsidRPr="00BB64F9">
        <w:rPr>
          <w:color w:val="000000" w:themeColor="text1"/>
        </w:rPr>
        <w:t>Q. McCurdy and K. Clark</w:t>
      </w:r>
    </w:p>
    <w:p w14:paraId="7991C7A5" w14:textId="77777777" w:rsidR="00F7273D" w:rsidRPr="001D7229" w:rsidRDefault="00F7273D" w:rsidP="00885119">
      <w:pPr>
        <w:pStyle w:val="Heading4"/>
      </w:pPr>
      <w:r w:rsidRPr="001D7229">
        <w:t>Presentation Highlights</w:t>
      </w:r>
    </w:p>
    <w:p w14:paraId="68A50DE8" w14:textId="54EE9ED1" w:rsidR="006149A8" w:rsidRDefault="006149A8" w:rsidP="005433A1">
      <w:pPr>
        <w:pStyle w:val="BodyText"/>
      </w:pPr>
      <w:r>
        <w:t>The development of consistent management by Canada and the USA for the trans</w:t>
      </w:r>
      <w:r w:rsidR="00C75DC0">
        <w:t>boundary resources of Atlantic Cod, Haddock and Yellowtail F</w:t>
      </w:r>
      <w:r>
        <w:t xml:space="preserve">lounder on Georges Bank led to a sharing allocation agreement by the TMGC. For Atlantic </w:t>
      </w:r>
      <w:r w:rsidR="00C75DC0">
        <w:t>Cod and H</w:t>
      </w:r>
      <w:r>
        <w:t xml:space="preserve">addock, the agreement is limited to the </w:t>
      </w:r>
      <w:r w:rsidR="00C75DC0">
        <w:t>EGB</w:t>
      </w:r>
      <w:r>
        <w:t xml:space="preserve"> management unit, </w:t>
      </w:r>
      <w:r w:rsidR="00C75DC0">
        <w:t>whilst the management unit for Yellowtail fl</w:t>
      </w:r>
      <w:r>
        <w:t>ounder encompasses all of Georges Bank ea</w:t>
      </w:r>
      <w:r w:rsidR="003E3F0C">
        <w:t xml:space="preserve">st of the Great South Channel. </w:t>
      </w:r>
      <w:r>
        <w:t>The sharing formulae incorporate: 1) historical utilization based on reported landings from 1967 to 1994 and 2) spatial-temporal changes in resource distributions determined from the DFO and USA NMFS survey results that are updated annually. From 2010 onward, utilization has accounted for 10% and distribution for 90% of the allocation. The 2018 DFO and NMFS survey results were used to update the calculation for the 2020 fishing year allocations.</w:t>
      </w:r>
    </w:p>
    <w:p w14:paraId="1F137EFC" w14:textId="78F6A826" w:rsidR="00CE7040" w:rsidRDefault="006149A8" w:rsidP="005433A1">
      <w:pPr>
        <w:pStyle w:val="BodyText"/>
      </w:pPr>
      <w:r>
        <w:t>The resource distributions in 2018 were: 28%</w:t>
      </w:r>
      <w:r w:rsidR="00C75DC0">
        <w:t xml:space="preserve"> USA, 72% Canada, for Atlantic Cod; 55% USA, 45% Canada, for H</w:t>
      </w:r>
      <w:r>
        <w:t xml:space="preserve">addock; </w:t>
      </w:r>
      <w:r w:rsidR="00C75DC0">
        <w:t>and 71% USA, 29% Canada, for Yellowtail F</w:t>
      </w:r>
      <w:r>
        <w:t>lounder. The 2020 fishing year allocations (calendar year for Canada; May 1, 2020 to April 30, 2021 for the USA), updated with the 2018 resource distributions, r</w:t>
      </w:r>
      <w:r w:rsidR="00C75DC0">
        <w:t>esulted in shares for Atlantic C</w:t>
      </w:r>
      <w:r>
        <w:t>od of 29% USA, 71% Can</w:t>
      </w:r>
      <w:r w:rsidR="00C75DC0">
        <w:t>ada; for H</w:t>
      </w:r>
      <w:r>
        <w:t xml:space="preserve">addock </w:t>
      </w:r>
      <w:r w:rsidR="00C75DC0">
        <w:t>of 54% USA, 46% Canada and for Yellowtail F</w:t>
      </w:r>
      <w:r>
        <w:t>lounder of 74% USA, 26% Canada.</w:t>
      </w:r>
    </w:p>
    <w:p w14:paraId="49FB4D22" w14:textId="77777777" w:rsidR="006149A8" w:rsidRPr="00D8265E" w:rsidRDefault="006149A8" w:rsidP="00D8265E">
      <w:pPr>
        <w:ind w:left="360"/>
        <w:rPr>
          <w:i/>
        </w:rPr>
      </w:pPr>
      <w:r w:rsidRPr="00D8265E">
        <w:rPr>
          <w:i/>
        </w:rPr>
        <w:t>Reviewers</w:t>
      </w:r>
    </w:p>
    <w:p w14:paraId="48CAE50C" w14:textId="77777777" w:rsidR="006149A8" w:rsidRPr="006149A8" w:rsidRDefault="006149A8" w:rsidP="005433A1">
      <w:pPr>
        <w:pStyle w:val="BodyText"/>
      </w:pPr>
      <w:r>
        <w:t>The reviewers had no comments or questions.</w:t>
      </w:r>
    </w:p>
    <w:p w14:paraId="2AC1D314" w14:textId="77777777" w:rsidR="006149A8" w:rsidRPr="00D8265E" w:rsidRDefault="006149A8" w:rsidP="00D8265E">
      <w:pPr>
        <w:ind w:left="360"/>
        <w:rPr>
          <w:i/>
        </w:rPr>
      </w:pPr>
      <w:r w:rsidRPr="00D8265E">
        <w:rPr>
          <w:i/>
        </w:rPr>
        <w:t>Science Staff, Designated Resource Managers and TRAC Co-Chairs</w:t>
      </w:r>
    </w:p>
    <w:p w14:paraId="68CB784F" w14:textId="03DAF930" w:rsidR="006149A8" w:rsidRPr="006149A8" w:rsidRDefault="006149A8" w:rsidP="005433A1">
      <w:pPr>
        <w:pStyle w:val="BodyText"/>
      </w:pPr>
      <w:r>
        <w:t xml:space="preserve">It was noted at last year’s TRAC that there were some strata without data on the </w:t>
      </w:r>
      <w:r w:rsidR="00782DD0">
        <w:t>U.S.</w:t>
      </w:r>
      <w:r>
        <w:t xml:space="preserve"> side and that it was assumed that these were zeros. </w:t>
      </w:r>
      <w:r w:rsidR="00D37029">
        <w:t>This did not occur in 2018</w:t>
      </w:r>
      <w:r w:rsidR="00C75DC0">
        <w:t>,</w:t>
      </w:r>
      <w:r w:rsidR="00D37029">
        <w:t xml:space="preserve"> and it has been discussed with the survey leads on both sides of the border to ensure that this issue does not reoccur.</w:t>
      </w:r>
    </w:p>
    <w:p w14:paraId="60D36AEE" w14:textId="77777777" w:rsidR="006149A8" w:rsidRPr="00D8265E" w:rsidRDefault="006149A8" w:rsidP="00D8265E">
      <w:pPr>
        <w:ind w:left="360"/>
        <w:rPr>
          <w:i/>
        </w:rPr>
      </w:pPr>
      <w:r w:rsidRPr="00D8265E">
        <w:rPr>
          <w:i/>
        </w:rPr>
        <w:t>Other Meeting Participants</w:t>
      </w:r>
    </w:p>
    <w:p w14:paraId="29BA0C72" w14:textId="28E1F32C" w:rsidR="00170101" w:rsidRDefault="00D37029" w:rsidP="005433A1">
      <w:pPr>
        <w:pStyle w:val="BodyText"/>
      </w:pPr>
      <w:r>
        <w:t>There were no comments or questions.</w:t>
      </w:r>
    </w:p>
    <w:p w14:paraId="7F3A9DC5" w14:textId="77777777" w:rsidR="00170101" w:rsidRDefault="00170101">
      <w:pPr>
        <w:spacing w:before="0" w:after="0"/>
        <w:rPr>
          <w:rFonts w:eastAsiaTheme="minorHAnsi" w:cs="Arial"/>
          <w:color w:val="000000" w:themeColor="text1"/>
          <w:szCs w:val="22"/>
          <w:lang w:val="en-CA"/>
        </w:rPr>
      </w:pPr>
      <w:r>
        <w:rPr>
          <w:rFonts w:cs="Arial"/>
          <w:color w:val="000000" w:themeColor="text1"/>
        </w:rPr>
        <w:br w:type="page"/>
      </w:r>
    </w:p>
    <w:p w14:paraId="1D352D5C" w14:textId="4C7ABFB1" w:rsidR="00C63094" w:rsidRPr="00782DD0" w:rsidRDefault="00C63094" w:rsidP="00C63094">
      <w:pPr>
        <w:pStyle w:val="Heading2"/>
      </w:pPr>
      <w:bookmarkStart w:id="12" w:name="_Toc44061513"/>
      <w:r>
        <w:lastRenderedPageBreak/>
        <w:t>EASTERN GEORGES BANK HADDOCK ASSESSMENT HOMEWORK</w:t>
      </w:r>
      <w:bookmarkEnd w:id="12"/>
    </w:p>
    <w:p w14:paraId="768B435D" w14:textId="1DDA51FE" w:rsidR="00A95C58" w:rsidRPr="00026043" w:rsidRDefault="00C63094" w:rsidP="00885119">
      <w:pPr>
        <w:pStyle w:val="Heading4"/>
      </w:pPr>
      <w:r>
        <w:t>P</w:t>
      </w:r>
      <w:r w:rsidR="00A95C58" w:rsidRPr="00026043">
        <w:t>resentation Highlights</w:t>
      </w:r>
    </w:p>
    <w:p w14:paraId="57A433BB" w14:textId="65159D6A" w:rsidR="00A95C58" w:rsidRDefault="006A0147" w:rsidP="005433A1">
      <w:pPr>
        <w:pStyle w:val="BodyText"/>
        <w:rPr>
          <w:lang w:val="en-CA"/>
        </w:rPr>
      </w:pPr>
      <w:r>
        <w:rPr>
          <w:lang w:val="en-CA"/>
        </w:rPr>
        <w:t>The assessment leads presented figures showing the three survey indices without any adjustment for catchability. The surveys were shown individually and then averaged together</w:t>
      </w:r>
      <w:r w:rsidR="003E3F0C">
        <w:rPr>
          <w:lang w:val="en-CA"/>
        </w:rPr>
        <w:t xml:space="preserve">. </w:t>
      </w:r>
      <w:r w:rsidR="00A95C58">
        <w:rPr>
          <w:lang w:val="en-CA"/>
        </w:rPr>
        <w:t xml:space="preserve">It was noted that all three surveys are above the mean in their terminal years. </w:t>
      </w:r>
      <w:r>
        <w:rPr>
          <w:lang w:val="en-CA"/>
        </w:rPr>
        <w:t>They were also shown adjusted to the mean so that they could be compared to the VPA output</w:t>
      </w:r>
      <w:r w:rsidR="003E3F0C">
        <w:rPr>
          <w:lang w:val="en-CA"/>
        </w:rPr>
        <w:t xml:space="preserve">. </w:t>
      </w:r>
      <w:r w:rsidR="00C75DC0">
        <w:rPr>
          <w:lang w:val="en-CA"/>
        </w:rPr>
        <w:t>Length frequencies of H</w:t>
      </w:r>
      <w:r w:rsidR="00A95C58">
        <w:rPr>
          <w:lang w:val="en-CA"/>
        </w:rPr>
        <w:t>addock caught in each of the surveys were shown for 2010, 2018 and 2019</w:t>
      </w:r>
      <w:r w:rsidR="00C75DC0">
        <w:rPr>
          <w:lang w:val="en-CA"/>
        </w:rPr>
        <w:t>,</w:t>
      </w:r>
      <w:r w:rsidR="00A95C58">
        <w:rPr>
          <w:lang w:val="en-CA"/>
        </w:rPr>
        <w:t xml:space="preserve"> demonstrating that the 2013 year class is smaller at age than the 2003 year class was</w:t>
      </w:r>
      <w:r w:rsidR="003E3F0C">
        <w:rPr>
          <w:lang w:val="en-CA"/>
        </w:rPr>
        <w:t xml:space="preserve">. </w:t>
      </w:r>
      <w:r w:rsidR="00A95C58">
        <w:rPr>
          <w:lang w:val="en-CA"/>
        </w:rPr>
        <w:t>The 2018 and 2019 NMFS fall surveys show some evidence of a second mode at a small size</w:t>
      </w:r>
      <w:r w:rsidR="003E3F0C">
        <w:rPr>
          <w:lang w:val="en-CA"/>
        </w:rPr>
        <w:t xml:space="preserve">. </w:t>
      </w:r>
      <w:r w:rsidR="00A95C58">
        <w:rPr>
          <w:lang w:val="en-CA"/>
        </w:rPr>
        <w:t>The model free relative F trend (</w:t>
      </w:r>
      <w:r w:rsidR="00E8088F">
        <w:rPr>
          <w:lang w:val="en-CA"/>
        </w:rPr>
        <w:t xml:space="preserve">total </w:t>
      </w:r>
      <w:r w:rsidR="00A95C58">
        <w:rPr>
          <w:lang w:val="en-CA"/>
        </w:rPr>
        <w:t>catch divided by the three survey average) was also shown</w:t>
      </w:r>
      <w:r w:rsidR="003E3F0C">
        <w:rPr>
          <w:lang w:val="en-CA"/>
        </w:rPr>
        <w:t xml:space="preserve">. </w:t>
      </w:r>
      <w:r w:rsidR="00A95C58">
        <w:rPr>
          <w:lang w:val="en-CA"/>
        </w:rPr>
        <w:t>It has declined in recent years</w:t>
      </w:r>
      <w:r w:rsidR="003E3F0C">
        <w:rPr>
          <w:lang w:val="en-CA"/>
        </w:rPr>
        <w:t xml:space="preserve">. </w:t>
      </w:r>
      <w:r w:rsidR="00A95C58">
        <w:rPr>
          <w:lang w:val="en-CA"/>
        </w:rPr>
        <w:t xml:space="preserve">Finally, a draft of the proposed catch advice was shown, along with a table showing both the positive and negative features of the </w:t>
      </w:r>
      <w:r w:rsidR="00C75DC0">
        <w:rPr>
          <w:lang w:val="en-CA"/>
        </w:rPr>
        <w:t>EGB H</w:t>
      </w:r>
      <w:r w:rsidR="00A95C58">
        <w:rPr>
          <w:lang w:val="en-CA"/>
        </w:rPr>
        <w:t>addock stock</w:t>
      </w:r>
      <w:r w:rsidR="003E3F0C">
        <w:rPr>
          <w:lang w:val="en-CA"/>
        </w:rPr>
        <w:t xml:space="preserve">. </w:t>
      </w:r>
      <w:r w:rsidR="00A95C58">
        <w:rPr>
          <w:lang w:val="en-CA"/>
        </w:rPr>
        <w:t>It was proposed that both the drafted advice and the table be in</w:t>
      </w:r>
      <w:r w:rsidR="00C75DC0">
        <w:rPr>
          <w:lang w:val="en-CA"/>
        </w:rPr>
        <w:t>cluded in the H</w:t>
      </w:r>
      <w:r w:rsidR="00026043">
        <w:rPr>
          <w:lang w:val="en-CA"/>
        </w:rPr>
        <w:t>addock TSR.</w:t>
      </w:r>
      <w:r w:rsidR="00A95C58">
        <w:rPr>
          <w:lang w:val="en-CA"/>
        </w:rPr>
        <w:t xml:space="preserve"> </w:t>
      </w:r>
    </w:p>
    <w:p w14:paraId="51616AF8" w14:textId="77777777" w:rsidR="00A95C58" w:rsidRPr="00026043" w:rsidRDefault="00A95C58" w:rsidP="00885119">
      <w:pPr>
        <w:pStyle w:val="Heading4"/>
      </w:pPr>
      <w:r w:rsidRPr="00026043">
        <w:t>Discussion</w:t>
      </w:r>
    </w:p>
    <w:p w14:paraId="2151845D" w14:textId="77777777" w:rsidR="00E8088F" w:rsidRPr="006547CF" w:rsidRDefault="00E8088F" w:rsidP="006547CF">
      <w:pPr>
        <w:ind w:left="360"/>
        <w:rPr>
          <w:i/>
        </w:rPr>
      </w:pPr>
      <w:r w:rsidRPr="006547CF">
        <w:rPr>
          <w:i/>
        </w:rPr>
        <w:t>Reviewers</w:t>
      </w:r>
    </w:p>
    <w:p w14:paraId="4F4F9636" w14:textId="17F1ADD2" w:rsidR="005F5565" w:rsidRDefault="00E8088F" w:rsidP="005433A1">
      <w:pPr>
        <w:pStyle w:val="BodyText"/>
        <w:rPr>
          <w:lang w:val="en-CA"/>
        </w:rPr>
      </w:pPr>
      <w:r>
        <w:rPr>
          <w:lang w:val="en-CA"/>
        </w:rPr>
        <w:t xml:space="preserve">Concern was expressed with the inclusion of the </w:t>
      </w:r>
      <w:r w:rsidR="005F5565">
        <w:rPr>
          <w:lang w:val="en-CA"/>
        </w:rPr>
        <w:t xml:space="preserve">NMFS </w:t>
      </w:r>
      <w:r>
        <w:rPr>
          <w:lang w:val="en-CA"/>
        </w:rPr>
        <w:t>fall survey in the calculation of relative F since that survey is considered to only be a good index for up to age 5 and</w:t>
      </w:r>
      <w:r w:rsidR="00C75DC0">
        <w:rPr>
          <w:lang w:val="en-CA"/>
        </w:rPr>
        <w:t>,</w:t>
      </w:r>
      <w:r>
        <w:rPr>
          <w:lang w:val="en-CA"/>
        </w:rPr>
        <w:t xml:space="preserve"> therefore</w:t>
      </w:r>
      <w:r w:rsidR="00C75DC0">
        <w:rPr>
          <w:lang w:val="en-CA"/>
        </w:rPr>
        <w:t>,</w:t>
      </w:r>
      <w:r>
        <w:rPr>
          <w:lang w:val="en-CA"/>
        </w:rPr>
        <w:t xml:space="preserve"> does not include the 2013 year class in 2019</w:t>
      </w:r>
      <w:r w:rsidR="003E3F0C">
        <w:rPr>
          <w:lang w:val="en-CA"/>
        </w:rPr>
        <w:t xml:space="preserve">. </w:t>
      </w:r>
      <w:r w:rsidR="005F5565">
        <w:rPr>
          <w:lang w:val="en-CA"/>
        </w:rPr>
        <w:t xml:space="preserve">It was </w:t>
      </w:r>
      <w:r w:rsidR="006547CF">
        <w:rPr>
          <w:lang w:val="en-CA"/>
        </w:rPr>
        <w:t xml:space="preserve">agreed </w:t>
      </w:r>
      <w:r w:rsidR="005F5565">
        <w:rPr>
          <w:lang w:val="en-CA"/>
        </w:rPr>
        <w:t>that relative F should be calculated for each survey and then</w:t>
      </w:r>
      <w:r w:rsidR="006547CF">
        <w:rPr>
          <w:lang w:val="en-CA"/>
        </w:rPr>
        <w:t xml:space="preserve"> the three numbers should be averaged together</w:t>
      </w:r>
      <w:r w:rsidR="003E3F0C">
        <w:rPr>
          <w:lang w:val="en-CA"/>
        </w:rPr>
        <w:t xml:space="preserve">. </w:t>
      </w:r>
      <w:r w:rsidR="006547CF">
        <w:rPr>
          <w:lang w:val="en-CA"/>
        </w:rPr>
        <w:t>I</w:t>
      </w:r>
      <w:r w:rsidR="005F5565">
        <w:rPr>
          <w:lang w:val="en-CA"/>
        </w:rPr>
        <w:t xml:space="preserve">f there is </w:t>
      </w:r>
      <w:r w:rsidR="006547CF">
        <w:rPr>
          <w:lang w:val="en-CA"/>
        </w:rPr>
        <w:t xml:space="preserve">very </w:t>
      </w:r>
      <w:r w:rsidR="005F5565">
        <w:rPr>
          <w:lang w:val="en-CA"/>
        </w:rPr>
        <w:t>little difference between the relative F calculated including or excluding the fall survey</w:t>
      </w:r>
      <w:r w:rsidR="00C75DC0">
        <w:rPr>
          <w:lang w:val="en-CA"/>
        </w:rPr>
        <w:t>,</w:t>
      </w:r>
      <w:r w:rsidR="005F5565">
        <w:rPr>
          <w:lang w:val="en-CA"/>
        </w:rPr>
        <w:t xml:space="preserve"> then it should be included to be consistent</w:t>
      </w:r>
      <w:r w:rsidR="003E3F0C">
        <w:rPr>
          <w:lang w:val="en-CA"/>
        </w:rPr>
        <w:t xml:space="preserve">. </w:t>
      </w:r>
      <w:r w:rsidR="005F5565">
        <w:rPr>
          <w:lang w:val="en-CA"/>
        </w:rPr>
        <w:t>It was also agreed that, since the DFO survey did not start until the mid-1980s, any time series using survey averages (including the calculation of relative F) should be from 1987 onwards so that all three surveys are included.</w:t>
      </w:r>
    </w:p>
    <w:p w14:paraId="3B4278D3" w14:textId="221B8A62" w:rsidR="005F5565" w:rsidRDefault="005F5565" w:rsidP="005433A1">
      <w:pPr>
        <w:pStyle w:val="BodyText"/>
        <w:rPr>
          <w:lang w:val="en-CA"/>
        </w:rPr>
      </w:pPr>
      <w:r>
        <w:rPr>
          <w:lang w:val="en-CA"/>
        </w:rPr>
        <w:t>There was a discussion regarding the age at maturity of the stock</w:t>
      </w:r>
      <w:r w:rsidR="003E3F0C">
        <w:rPr>
          <w:lang w:val="en-CA"/>
        </w:rPr>
        <w:t xml:space="preserve">. </w:t>
      </w:r>
      <w:r>
        <w:rPr>
          <w:lang w:val="en-CA"/>
        </w:rPr>
        <w:t>The ogive for the whole of Georges Bank is used and the age at maturity is considered to be age 3+</w:t>
      </w:r>
      <w:r w:rsidR="003E3F0C">
        <w:rPr>
          <w:lang w:val="en-CA"/>
        </w:rPr>
        <w:t xml:space="preserve">. </w:t>
      </w:r>
      <w:r>
        <w:rPr>
          <w:lang w:val="en-CA"/>
        </w:rPr>
        <w:t>Based on this, the 2013 year class has already spawned three or four times</w:t>
      </w:r>
      <w:r w:rsidR="00C75DC0">
        <w:rPr>
          <w:lang w:val="en-CA"/>
        </w:rPr>
        <w:t>,</w:t>
      </w:r>
      <w:r>
        <w:rPr>
          <w:lang w:val="en-CA"/>
        </w:rPr>
        <w:t xml:space="preserve"> so harvesting them at their current age </w:t>
      </w:r>
      <w:r w:rsidR="006547CF">
        <w:rPr>
          <w:lang w:val="en-CA"/>
        </w:rPr>
        <w:t>does not prevent this year class from reproducing</w:t>
      </w:r>
      <w:r w:rsidR="003E3F0C">
        <w:rPr>
          <w:lang w:val="en-CA"/>
        </w:rPr>
        <w:t xml:space="preserve">. </w:t>
      </w:r>
      <w:r w:rsidR="006547CF">
        <w:rPr>
          <w:lang w:val="en-CA"/>
        </w:rPr>
        <w:t>However,</w:t>
      </w:r>
      <w:r>
        <w:rPr>
          <w:lang w:val="en-CA"/>
        </w:rPr>
        <w:t xml:space="preserve"> the 2013 year class, with its slower growth, is exposed to higher mortality </w:t>
      </w:r>
      <w:r w:rsidR="006547CF">
        <w:rPr>
          <w:lang w:val="en-CA"/>
        </w:rPr>
        <w:t xml:space="preserve">over a longer period </w:t>
      </w:r>
      <w:r>
        <w:rPr>
          <w:lang w:val="en-CA"/>
        </w:rPr>
        <w:t xml:space="preserve">than the </w:t>
      </w:r>
      <w:r w:rsidR="006547CF">
        <w:rPr>
          <w:lang w:val="en-CA"/>
        </w:rPr>
        <w:t xml:space="preserve">faster growing </w:t>
      </w:r>
      <w:r>
        <w:rPr>
          <w:lang w:val="en-CA"/>
        </w:rPr>
        <w:t>2003 year class that it is being compared to.</w:t>
      </w:r>
    </w:p>
    <w:p w14:paraId="0021FD04" w14:textId="77777777" w:rsidR="001A3735" w:rsidRPr="006547CF" w:rsidRDefault="001A3735" w:rsidP="006547CF">
      <w:pPr>
        <w:ind w:left="360"/>
        <w:rPr>
          <w:i/>
        </w:rPr>
      </w:pPr>
      <w:r w:rsidRPr="006547CF">
        <w:rPr>
          <w:i/>
        </w:rPr>
        <w:t>Science Staff, Designated Resource Managers and TRAC Co-Chairs</w:t>
      </w:r>
    </w:p>
    <w:p w14:paraId="32F42512" w14:textId="3DAE0874" w:rsidR="005F5565" w:rsidRDefault="001A3735" w:rsidP="005433A1">
      <w:pPr>
        <w:pStyle w:val="BodyText"/>
        <w:rPr>
          <w:lang w:val="en-CA"/>
        </w:rPr>
      </w:pPr>
      <w:r>
        <w:rPr>
          <w:lang w:val="en-CA"/>
        </w:rPr>
        <w:t>It was reiterated that relative F should be calculated for each survey individually and then averaged together</w:t>
      </w:r>
      <w:r w:rsidR="00D56225">
        <w:rPr>
          <w:lang w:val="en-CA"/>
        </w:rPr>
        <w:t xml:space="preserve"> since the surveys are not q adjusted and</w:t>
      </w:r>
      <w:r w:rsidR="00C75DC0">
        <w:rPr>
          <w:lang w:val="en-CA"/>
        </w:rPr>
        <w:t>,</w:t>
      </w:r>
      <w:r w:rsidR="00D56225">
        <w:rPr>
          <w:lang w:val="en-CA"/>
        </w:rPr>
        <w:t xml:space="preserve"> therefore</w:t>
      </w:r>
      <w:r w:rsidR="00C75DC0">
        <w:rPr>
          <w:lang w:val="en-CA"/>
        </w:rPr>
        <w:t>,</w:t>
      </w:r>
      <w:r w:rsidR="00D56225">
        <w:rPr>
          <w:lang w:val="en-CA"/>
        </w:rPr>
        <w:t xml:space="preserve"> each has a different catchability.</w:t>
      </w:r>
    </w:p>
    <w:p w14:paraId="5B3EFA3B" w14:textId="77777777" w:rsidR="001A3735" w:rsidRPr="006547CF" w:rsidRDefault="001A3735" w:rsidP="006547CF">
      <w:pPr>
        <w:ind w:left="360"/>
        <w:rPr>
          <w:i/>
        </w:rPr>
      </w:pPr>
      <w:r w:rsidRPr="006547CF">
        <w:rPr>
          <w:i/>
        </w:rPr>
        <w:t>Other Meeting Participants</w:t>
      </w:r>
    </w:p>
    <w:p w14:paraId="1A1297BB" w14:textId="469D31FA" w:rsidR="00B24754" w:rsidRDefault="00FD4747" w:rsidP="005433A1">
      <w:pPr>
        <w:pStyle w:val="BodyText"/>
      </w:pPr>
      <w:r>
        <w:rPr>
          <w:color w:val="000000" w:themeColor="text1"/>
          <w:lang w:val="en-CA"/>
        </w:rPr>
        <w:t>The</w:t>
      </w:r>
      <w:r w:rsidR="001A3735">
        <w:rPr>
          <w:color w:val="000000" w:themeColor="text1"/>
          <w:lang w:val="en-CA"/>
        </w:rPr>
        <w:t xml:space="preserve"> bullet in the table of positive and negative features of the stock</w:t>
      </w:r>
      <w:r>
        <w:rPr>
          <w:color w:val="000000" w:themeColor="text1"/>
          <w:lang w:val="en-CA"/>
        </w:rPr>
        <w:t xml:space="preserve"> that</w:t>
      </w:r>
      <w:r w:rsidR="001A3735">
        <w:rPr>
          <w:color w:val="000000" w:themeColor="text1"/>
          <w:lang w:val="en-CA"/>
        </w:rPr>
        <w:t xml:space="preserve"> read, “</w:t>
      </w:r>
      <w:r w:rsidR="001A3735" w:rsidRPr="00AB1C6D">
        <w:t>Even if no catch were taken in 2020, biomass is projected to decline</w:t>
      </w:r>
      <w:r w:rsidR="001A3735">
        <w:t>”</w:t>
      </w:r>
      <w:r>
        <w:t xml:space="preserve"> was discussed</w:t>
      </w:r>
      <w:r w:rsidR="001A3735">
        <w:t>. It was noted that the stock is currently considered healthy and</w:t>
      </w:r>
      <w:r w:rsidR="00C75DC0">
        <w:t>,</w:t>
      </w:r>
      <w:r w:rsidR="001A3735">
        <w:t xml:space="preserve"> in the absence of a mo</w:t>
      </w:r>
      <w:r>
        <w:t xml:space="preserve">del, there are no projections. Without the model, it can still be determined that the 2013 year class </w:t>
      </w:r>
      <w:r w:rsidR="001A3735">
        <w:t>is</w:t>
      </w:r>
      <w:r w:rsidR="00B24754">
        <w:t xml:space="preserve"> carrying this stock and this year class is now declining in number</w:t>
      </w:r>
      <w:r w:rsidR="006547CF">
        <w:t xml:space="preserve"> as it ages</w:t>
      </w:r>
      <w:r w:rsidR="003E3F0C">
        <w:t xml:space="preserve">. </w:t>
      </w:r>
      <w:r w:rsidR="00B24754">
        <w:t>Therefore</w:t>
      </w:r>
      <w:r w:rsidR="00C75DC0">
        <w:t>,</w:t>
      </w:r>
      <w:r w:rsidR="00B24754">
        <w:t xml:space="preserve"> the statement is ac</w:t>
      </w:r>
      <w:r>
        <w:t>curate</w:t>
      </w:r>
      <w:r w:rsidR="006547CF">
        <w:t xml:space="preserve"> and should be included in the table in the TSR</w:t>
      </w:r>
      <w:r>
        <w:t>.</w:t>
      </w:r>
    </w:p>
    <w:p w14:paraId="5653A2CB" w14:textId="2A72278E" w:rsidR="00471E9F" w:rsidRDefault="00B24754" w:rsidP="005433A1">
      <w:pPr>
        <w:pStyle w:val="BodyText"/>
      </w:pPr>
      <w:r>
        <w:t>The draft wording for catch advice was discussed in detail</w:t>
      </w:r>
      <w:r w:rsidR="003E3F0C">
        <w:t xml:space="preserve">. </w:t>
      </w:r>
      <w:r>
        <w:t>There was consensus from the group to keep to the scientific facts. It was asked if there was a way to characterize quota advice in terms of risk</w:t>
      </w:r>
      <w:r w:rsidR="00C75DC0">
        <w:t>,</w:t>
      </w:r>
      <w:r>
        <w:t xml:space="preserve"> but there was no agreement as to how this might be done.</w:t>
      </w:r>
      <w:r w:rsidR="001A3735">
        <w:t xml:space="preserve"> </w:t>
      </w:r>
      <w:r>
        <w:t>It was agreed that the advice should be for 2020 quota up to 30,</w:t>
      </w:r>
      <w:r w:rsidR="00C75DC0">
        <w:t xml:space="preserve">000 </w:t>
      </w:r>
      <w:proofErr w:type="spellStart"/>
      <w:r w:rsidR="00C75DC0">
        <w:t>mt</w:t>
      </w:r>
      <w:proofErr w:type="spellEnd"/>
      <w:r w:rsidR="00C75DC0">
        <w:t xml:space="preserve"> (the current 2019 quota)</w:t>
      </w:r>
      <w:r>
        <w:t xml:space="preserve"> but that quota in 2021 should be less than 30,000 </w:t>
      </w:r>
      <w:proofErr w:type="spellStart"/>
      <w:r>
        <w:t>mt</w:t>
      </w:r>
      <w:r w:rsidR="003E3F0C">
        <w:t>.</w:t>
      </w:r>
      <w:proofErr w:type="spellEnd"/>
      <w:r w:rsidR="003E3F0C">
        <w:t xml:space="preserve"> </w:t>
      </w:r>
      <w:r w:rsidR="00471E9F">
        <w:t xml:space="preserve">It was agreed that, although two year advice is being </w:t>
      </w:r>
      <w:r w:rsidR="00471E9F">
        <w:lastRenderedPageBreak/>
        <w:t>given, an interim report on this stock in 2020 would not be appropriate</w:t>
      </w:r>
      <w:r w:rsidR="003E3F0C">
        <w:t xml:space="preserve">. </w:t>
      </w:r>
      <w:r>
        <w:t>The</w:t>
      </w:r>
      <w:r w:rsidR="00AA6A96">
        <w:t xml:space="preserve"> appropriateness of 2021 quota will need to be assessed at the 2020 TRAC meeting by comparing relative F values, weights at age, and survey trends.</w:t>
      </w:r>
      <w:r>
        <w:t xml:space="preserve"> </w:t>
      </w:r>
    </w:p>
    <w:p w14:paraId="619938FC" w14:textId="41C30214" w:rsidR="001A3735" w:rsidRDefault="00471E9F" w:rsidP="005433A1">
      <w:pPr>
        <w:pStyle w:val="BodyText"/>
      </w:pPr>
      <w:r>
        <w:t>The use of relative F in providing catch advice was discussed</w:t>
      </w:r>
      <w:r w:rsidR="003E3F0C">
        <w:t xml:space="preserve">. </w:t>
      </w:r>
      <w:r>
        <w:t xml:space="preserve">Relative F will be recalculated </w:t>
      </w:r>
      <w:r w:rsidR="002805E2">
        <w:t xml:space="preserve">for the TSR </w:t>
      </w:r>
      <w:r>
        <w:t>as requested by the reviewers and other science</w:t>
      </w:r>
      <w:r w:rsidR="00EE62B8">
        <w:t xml:space="preserve"> participants</w:t>
      </w:r>
      <w:r w:rsidR="003E3F0C">
        <w:t xml:space="preserve">. </w:t>
      </w:r>
      <w:r>
        <w:t xml:space="preserve">It </w:t>
      </w:r>
      <w:r w:rsidR="002805E2">
        <w:t>will be shown for the</w:t>
      </w:r>
      <w:r>
        <w:t xml:space="preserve"> time series from 1987 onwards and the </w:t>
      </w:r>
      <w:r w:rsidRPr="005433A1">
        <w:t>values from 2009 to 2011 (when the 2003 year class was of similar age to the 2013 year class now) will be compared to the rest of the time series and the current time period to see if catches of that magnitude were reasonable</w:t>
      </w:r>
      <w:r w:rsidR="003E3F0C" w:rsidRPr="005433A1">
        <w:t xml:space="preserve">. </w:t>
      </w:r>
      <w:r w:rsidRPr="005433A1">
        <w:t>The relative F in the 2009 to 2011 t</w:t>
      </w:r>
      <w:r w:rsidR="002805E2" w:rsidRPr="005433A1">
        <w:t>ime period provides a threshold and some guidance.</w:t>
      </w:r>
    </w:p>
    <w:p w14:paraId="4E2C0352" w14:textId="7C809142" w:rsidR="00A95C58" w:rsidRDefault="00797F23" w:rsidP="00291412">
      <w:pPr>
        <w:pStyle w:val="Heading2"/>
        <w:rPr>
          <w:color w:val="000000" w:themeColor="text1"/>
        </w:rPr>
      </w:pPr>
      <w:bookmarkStart w:id="13" w:name="_Toc44061514"/>
      <w:r w:rsidRPr="00FD4747">
        <w:rPr>
          <w:caps w:val="0"/>
        </w:rPr>
        <w:t>SPATIO-TEMPORAL CHANGES IN ENCOUNTER PROBABILITY OF COD AND YELLOWTAIL ON GEORGES BANK</w:t>
      </w:r>
      <w:bookmarkEnd w:id="13"/>
    </w:p>
    <w:p w14:paraId="09885096" w14:textId="77777777" w:rsidR="00FD4747" w:rsidRDefault="00FD4747" w:rsidP="002805E2">
      <w:pPr>
        <w:spacing w:before="0" w:after="0"/>
        <w:ind w:left="1800" w:hanging="1800"/>
      </w:pPr>
      <w:r>
        <w:t>Presentatio</w:t>
      </w:r>
      <w:r w:rsidRPr="00FD4747">
        <w:rPr>
          <w:rFonts w:cs="Arial"/>
        </w:rPr>
        <w:t xml:space="preserve">n: </w:t>
      </w:r>
      <w:r w:rsidR="002805E2">
        <w:rPr>
          <w:rFonts w:cs="Arial"/>
        </w:rPr>
        <w:tab/>
      </w:r>
      <w:proofErr w:type="spellStart"/>
      <w:r w:rsidRPr="00FD4747">
        <w:rPr>
          <w:rFonts w:cs="Arial"/>
          <w:szCs w:val="22"/>
        </w:rPr>
        <w:t>Spatio</w:t>
      </w:r>
      <w:proofErr w:type="spellEnd"/>
      <w:r w:rsidRPr="00FD4747">
        <w:rPr>
          <w:rFonts w:cs="Arial"/>
          <w:szCs w:val="22"/>
        </w:rPr>
        <w:t>-temporal changes in encounter probability of cod and yellowtail on Georges Bank</w:t>
      </w:r>
    </w:p>
    <w:p w14:paraId="4D883E44" w14:textId="77777777" w:rsidR="00FD4747" w:rsidRDefault="00FD4747" w:rsidP="002805E2">
      <w:pPr>
        <w:spacing w:before="0" w:after="0"/>
        <w:ind w:left="1800" w:hanging="1800"/>
      </w:pPr>
      <w:r>
        <w:t xml:space="preserve">Science Leads: </w:t>
      </w:r>
      <w:r w:rsidR="002805E2">
        <w:tab/>
      </w:r>
      <w:r>
        <w:t>D. Keith</w:t>
      </w:r>
    </w:p>
    <w:p w14:paraId="7EC9A43F" w14:textId="77777777" w:rsidR="00FD4747" w:rsidRDefault="00FD4747" w:rsidP="002805E2">
      <w:pPr>
        <w:spacing w:before="0" w:after="0"/>
        <w:ind w:left="1800" w:hanging="1800"/>
      </w:pPr>
      <w:r>
        <w:t xml:space="preserve">Presenter: </w:t>
      </w:r>
      <w:r w:rsidR="002805E2">
        <w:tab/>
      </w:r>
      <w:r>
        <w:t>D. Keith</w:t>
      </w:r>
    </w:p>
    <w:p w14:paraId="18AEF428" w14:textId="77777777" w:rsidR="00FD4747" w:rsidRPr="002805E2" w:rsidRDefault="00FD4747" w:rsidP="002805E2">
      <w:pPr>
        <w:spacing w:before="0" w:after="0"/>
        <w:ind w:left="1800" w:hanging="1800"/>
        <w:rPr>
          <w:lang w:val="fr-CA"/>
        </w:rPr>
      </w:pPr>
      <w:r w:rsidRPr="002805E2">
        <w:rPr>
          <w:lang w:val="fr-CA"/>
        </w:rPr>
        <w:t xml:space="preserve">Rapporteurs: </w:t>
      </w:r>
      <w:r w:rsidR="002805E2" w:rsidRPr="002805E2">
        <w:rPr>
          <w:lang w:val="fr-CA"/>
        </w:rPr>
        <w:tab/>
      </w:r>
      <w:r w:rsidRPr="002805E2">
        <w:rPr>
          <w:lang w:val="fr-CA"/>
        </w:rPr>
        <w:t>F. Irvine and K. Clark</w:t>
      </w:r>
    </w:p>
    <w:p w14:paraId="0AD97255" w14:textId="77777777" w:rsidR="00FD4747" w:rsidRPr="002805E2" w:rsidRDefault="0060009B" w:rsidP="00885119">
      <w:pPr>
        <w:pStyle w:val="Heading4"/>
      </w:pPr>
      <w:r w:rsidRPr="002805E2">
        <w:t>Presentation Highlights</w:t>
      </w:r>
    </w:p>
    <w:p w14:paraId="5303EB83" w14:textId="5C4294FB" w:rsidR="0060009B" w:rsidRDefault="0060009B" w:rsidP="005433A1">
      <w:pPr>
        <w:pStyle w:val="BodyText"/>
      </w:pPr>
      <w:r w:rsidRPr="0060009B">
        <w:t>This research is part of a project attempting to develop a methodological framework to evaluate existing closures</w:t>
      </w:r>
      <w:r w:rsidR="003E3F0C">
        <w:t xml:space="preserve">. </w:t>
      </w:r>
      <w:r w:rsidRPr="0060009B">
        <w:t>The project uses the time-area closures designed to protect spa</w:t>
      </w:r>
      <w:r w:rsidR="00C75DC0">
        <w:t>wning aggregations of Atlantic Cod and Yellowtail F</w:t>
      </w:r>
      <w:r w:rsidRPr="0060009B">
        <w:t>lounder from bycatch in the Canadian scallop fishery on</w:t>
      </w:r>
      <w:r w:rsidR="0056049E">
        <w:t xml:space="preserve"> Georges Bank as a case study. </w:t>
      </w:r>
      <w:r w:rsidR="00C75DC0">
        <w:t>This presentation used the DFO s</w:t>
      </w:r>
      <w:r w:rsidRPr="0060009B">
        <w:t xml:space="preserve">urvey, NMFS </w:t>
      </w:r>
      <w:r w:rsidR="00C75DC0">
        <w:t>spring survey, and NMFS f</w:t>
      </w:r>
      <w:r w:rsidRPr="0060009B">
        <w:t>all survey to look at inter-annual and seasonal trends in the spatiotemporal distributions of cod and yellowtail across Georges Bank</w:t>
      </w:r>
      <w:r w:rsidR="003E3F0C">
        <w:t xml:space="preserve">. </w:t>
      </w:r>
      <w:r w:rsidRPr="0060009B">
        <w:t>For both species, general declines in probability of occurrence were observed in recent years and the survey data indicates that distributional shifts occur appro</w:t>
      </w:r>
      <w:r w:rsidR="0056049E">
        <w:t>ximately every 3-5 years. </w:t>
      </w:r>
      <w:r w:rsidR="00C75DC0">
        <w:t>For C</w:t>
      </w:r>
      <w:r w:rsidRPr="0060009B">
        <w:t>od</w:t>
      </w:r>
      <w:r w:rsidR="00C75DC0">
        <w:t>,</w:t>
      </w:r>
      <w:r w:rsidRPr="0060009B">
        <w:t xml:space="preserve"> the surveys indicated a seasonal shift in the fall to the</w:t>
      </w:r>
      <w:r w:rsidR="0056049E">
        <w:t xml:space="preserve"> northeast corner of the bank. </w:t>
      </w:r>
      <w:r w:rsidRPr="0060009B">
        <w:t>Yellowtail tend to be found consistently within a core region</w:t>
      </w:r>
      <w:r w:rsidR="0056049E">
        <w:t>,</w:t>
      </w:r>
      <w:r w:rsidRPr="0060009B">
        <w:t xml:space="preserve"> but the area of occurrence appears to expand and contract with cha</w:t>
      </w:r>
      <w:r w:rsidR="0056049E">
        <w:t>nges in population abundance. </w:t>
      </w:r>
      <w:r w:rsidRPr="0060009B">
        <w:t>The results could be used to inform management of existing closures by a) identifying regions in which the probability of occurrence is elevated, b) identifying the time of year in which probability of occurrence is highest, and c) providing a methodology to quantify the success of achieving specific management objectives.</w:t>
      </w:r>
    </w:p>
    <w:p w14:paraId="586EE91D" w14:textId="77777777" w:rsidR="0060009B" w:rsidRPr="002805E2" w:rsidRDefault="0060009B" w:rsidP="00885119">
      <w:pPr>
        <w:pStyle w:val="Heading4"/>
      </w:pPr>
      <w:r w:rsidRPr="002805E2">
        <w:t>Discussion</w:t>
      </w:r>
    </w:p>
    <w:p w14:paraId="31F1E649" w14:textId="77777777" w:rsidR="0060009B" w:rsidRPr="002805E2" w:rsidRDefault="0060009B" w:rsidP="002805E2">
      <w:pPr>
        <w:ind w:left="360"/>
        <w:rPr>
          <w:i/>
        </w:rPr>
      </w:pPr>
      <w:r w:rsidRPr="002805E2">
        <w:rPr>
          <w:i/>
        </w:rPr>
        <w:t>Reviewer</w:t>
      </w:r>
    </w:p>
    <w:p w14:paraId="281C55D0" w14:textId="77777777" w:rsidR="0060009B" w:rsidRDefault="0060009B" w:rsidP="005433A1">
      <w:pPr>
        <w:pStyle w:val="BodyText"/>
        <w:rPr>
          <w:lang w:eastAsia="en-CA"/>
        </w:rPr>
      </w:pPr>
      <w:r>
        <w:rPr>
          <w:lang w:eastAsia="en-CA"/>
        </w:rPr>
        <w:t xml:space="preserve">The presentation was considered informative and it was noted that </w:t>
      </w:r>
      <w:proofErr w:type="spellStart"/>
      <w:r>
        <w:rPr>
          <w:lang w:eastAsia="en-CA"/>
        </w:rPr>
        <w:t>spatio</w:t>
      </w:r>
      <w:proofErr w:type="spellEnd"/>
      <w:r>
        <w:rPr>
          <w:lang w:eastAsia="en-CA"/>
        </w:rPr>
        <w:t>-temporal information should be incorpor</w:t>
      </w:r>
      <w:r w:rsidR="00785C47">
        <w:rPr>
          <w:lang w:eastAsia="en-CA"/>
        </w:rPr>
        <w:t>ated into any future benchmarks.</w:t>
      </w:r>
    </w:p>
    <w:p w14:paraId="6214D77D" w14:textId="77777777" w:rsidR="00785C47" w:rsidRPr="002805E2" w:rsidRDefault="00785C47" w:rsidP="002805E2">
      <w:pPr>
        <w:pStyle w:val="NoSpacing"/>
        <w:tabs>
          <w:tab w:val="left" w:pos="8640"/>
        </w:tabs>
        <w:spacing w:before="120" w:after="120"/>
        <w:ind w:left="360" w:right="360"/>
        <w:rPr>
          <w:rFonts w:ascii="Arial" w:hAnsi="Arial" w:cs="Arial"/>
        </w:rPr>
      </w:pPr>
      <w:r w:rsidRPr="002805E2">
        <w:rPr>
          <w:rFonts w:ascii="Arial" w:hAnsi="Arial" w:cs="Arial"/>
          <w:b/>
        </w:rPr>
        <w:t xml:space="preserve">Research Recommendation: </w:t>
      </w:r>
      <w:proofErr w:type="spellStart"/>
      <w:r w:rsidRPr="002805E2">
        <w:rPr>
          <w:rFonts w:ascii="Arial" w:hAnsi="Arial" w:cs="Arial"/>
        </w:rPr>
        <w:t>Spatio</w:t>
      </w:r>
      <w:proofErr w:type="spellEnd"/>
      <w:r w:rsidRPr="002805E2">
        <w:rPr>
          <w:rFonts w:ascii="Arial" w:hAnsi="Arial" w:cs="Arial"/>
        </w:rPr>
        <w:t>-temporal information should be incorporated into future benchmarks for TRAC stocks.</w:t>
      </w:r>
    </w:p>
    <w:p w14:paraId="549BC8D3" w14:textId="77777777" w:rsidR="0060009B" w:rsidRPr="002805E2" w:rsidRDefault="0060009B" w:rsidP="002805E2">
      <w:pPr>
        <w:ind w:left="360"/>
        <w:rPr>
          <w:i/>
        </w:rPr>
      </w:pPr>
      <w:r w:rsidRPr="002805E2">
        <w:rPr>
          <w:i/>
        </w:rPr>
        <w:t>Science Staff, Designated Resource Managers and TRAC Co-Chairs</w:t>
      </w:r>
    </w:p>
    <w:p w14:paraId="77742E80" w14:textId="1F4BEC2B" w:rsidR="00785C47" w:rsidRDefault="00785C47" w:rsidP="005433A1">
      <w:pPr>
        <w:pStyle w:val="BodyText"/>
        <w:rPr>
          <w:lang w:val="en-CA" w:eastAsia="en-CA"/>
        </w:rPr>
      </w:pPr>
      <w:r>
        <w:rPr>
          <w:lang w:val="en-CA" w:eastAsia="en-CA"/>
        </w:rPr>
        <w:t>A</w:t>
      </w:r>
      <w:r w:rsidR="0060009B">
        <w:rPr>
          <w:lang w:val="en-CA" w:eastAsia="en-CA"/>
        </w:rPr>
        <w:t xml:space="preserve"> stock that is at a very low level may be exhibiting a contraction of its range rather than a distributional shift</w:t>
      </w:r>
      <w:r w:rsidR="003E3F0C">
        <w:rPr>
          <w:lang w:val="en-CA" w:eastAsia="en-CA"/>
        </w:rPr>
        <w:t xml:space="preserve">. </w:t>
      </w:r>
      <w:r>
        <w:rPr>
          <w:lang w:val="en-CA" w:eastAsia="en-CA"/>
        </w:rPr>
        <w:t>The current method used for defining the yellowtail cells (3.5 kg</w:t>
      </w:r>
      <w:r w:rsidR="002805E2">
        <w:rPr>
          <w:lang w:val="en-CA" w:eastAsia="en-CA"/>
        </w:rPr>
        <w:t xml:space="preserve">/tow) should likely be revised </w:t>
      </w:r>
      <w:r>
        <w:rPr>
          <w:lang w:val="en-CA" w:eastAsia="en-CA"/>
        </w:rPr>
        <w:t>because of this contraction of range</w:t>
      </w:r>
      <w:r w:rsidR="003E3F0C">
        <w:rPr>
          <w:lang w:val="en-CA" w:eastAsia="en-CA"/>
        </w:rPr>
        <w:t xml:space="preserve">. </w:t>
      </w:r>
    </w:p>
    <w:p w14:paraId="2A22108A" w14:textId="7DA35688" w:rsidR="00170101" w:rsidRDefault="0060009B" w:rsidP="005433A1">
      <w:pPr>
        <w:pStyle w:val="BodyText"/>
        <w:rPr>
          <w:lang w:val="en-CA" w:eastAsia="en-CA"/>
        </w:rPr>
      </w:pPr>
      <w:r>
        <w:rPr>
          <w:lang w:val="en-CA" w:eastAsia="en-CA"/>
        </w:rPr>
        <w:t>It was noted that it would be interesting to look into the temporal distribution of juveniles as well as adults.</w:t>
      </w:r>
      <w:r w:rsidR="00170101">
        <w:rPr>
          <w:lang w:val="en-CA" w:eastAsia="en-CA"/>
        </w:rPr>
        <w:br w:type="page"/>
      </w:r>
    </w:p>
    <w:p w14:paraId="1D706F6F" w14:textId="77777777" w:rsidR="0060009B" w:rsidRPr="002805E2" w:rsidRDefault="0060009B" w:rsidP="002805E2">
      <w:pPr>
        <w:ind w:left="360"/>
        <w:rPr>
          <w:i/>
        </w:rPr>
      </w:pPr>
      <w:r w:rsidRPr="002805E2">
        <w:rPr>
          <w:i/>
        </w:rPr>
        <w:lastRenderedPageBreak/>
        <w:t>Other Meeting Participants</w:t>
      </w:r>
    </w:p>
    <w:p w14:paraId="7D6FC3D8" w14:textId="4568ED55" w:rsidR="0060009B" w:rsidRDefault="002805E2" w:rsidP="005433A1">
      <w:pPr>
        <w:pStyle w:val="BodyText"/>
        <w:rPr>
          <w:lang w:val="en-CA" w:eastAsia="en-CA"/>
        </w:rPr>
      </w:pPr>
      <w:r>
        <w:rPr>
          <w:lang w:val="en-CA" w:eastAsia="en-CA"/>
        </w:rPr>
        <w:t>B</w:t>
      </w:r>
      <w:r w:rsidR="0060009B">
        <w:rPr>
          <w:lang w:val="en-CA" w:eastAsia="en-CA"/>
        </w:rPr>
        <w:t>ased on scallop surveys in the U.S., the highest chance of encountering yellowtail occurs between August and October</w:t>
      </w:r>
      <w:r w:rsidR="003E3F0C">
        <w:rPr>
          <w:lang w:val="en-CA" w:eastAsia="en-CA"/>
        </w:rPr>
        <w:t xml:space="preserve">. </w:t>
      </w:r>
      <w:r w:rsidR="00785C47">
        <w:rPr>
          <w:lang w:val="en-CA" w:eastAsia="en-CA"/>
        </w:rPr>
        <w:t>Changes in U.S. scallop gear have significantly reduced cod bycatch.</w:t>
      </w:r>
      <w:r w:rsidR="0060009B">
        <w:rPr>
          <w:lang w:val="en-CA" w:eastAsia="en-CA"/>
        </w:rPr>
        <w:t xml:space="preserve"> </w:t>
      </w:r>
    </w:p>
    <w:p w14:paraId="43B94375" w14:textId="5A933549" w:rsidR="00785C47" w:rsidRDefault="00785C47" w:rsidP="005433A1">
      <w:pPr>
        <w:pStyle w:val="BodyText"/>
        <w:rPr>
          <w:lang w:val="en-CA" w:eastAsia="en-CA"/>
        </w:rPr>
      </w:pPr>
      <w:r>
        <w:rPr>
          <w:lang w:val="en-CA" w:eastAsia="en-CA"/>
        </w:rPr>
        <w:t>It was asked what factors were in</w:t>
      </w:r>
      <w:r w:rsidR="0056049E">
        <w:rPr>
          <w:lang w:val="en-CA" w:eastAsia="en-CA"/>
        </w:rPr>
        <w:t>cluded in the analysis</w:t>
      </w:r>
      <w:r w:rsidR="003E3F0C">
        <w:rPr>
          <w:lang w:val="en-CA" w:eastAsia="en-CA"/>
        </w:rPr>
        <w:t xml:space="preserve">. </w:t>
      </w:r>
      <w:r w:rsidR="0056049E">
        <w:rPr>
          <w:lang w:val="en-CA" w:eastAsia="en-CA"/>
        </w:rPr>
        <w:t>Thirty-</w:t>
      </w:r>
      <w:r>
        <w:rPr>
          <w:lang w:val="en-CA" w:eastAsia="en-CA"/>
        </w:rPr>
        <w:t xml:space="preserve">three environmental factors were included based on random spatial field, sea surface temperature and, in the case of yellowtail, bottom type. </w:t>
      </w:r>
    </w:p>
    <w:p w14:paraId="355DC170" w14:textId="4A1172DE" w:rsidR="00785C47" w:rsidRDefault="00785C47" w:rsidP="005433A1">
      <w:pPr>
        <w:pStyle w:val="BodyText"/>
        <w:rPr>
          <w:lang w:val="en-CA" w:eastAsia="en-CA"/>
        </w:rPr>
      </w:pPr>
      <w:r>
        <w:rPr>
          <w:lang w:val="en-CA" w:eastAsia="en-CA"/>
        </w:rPr>
        <w:t xml:space="preserve">The DFO summer survey has covered the edge of </w:t>
      </w:r>
      <w:r w:rsidR="0056049E">
        <w:rPr>
          <w:lang w:val="en-CA" w:eastAsia="en-CA"/>
        </w:rPr>
        <w:t>EGB</w:t>
      </w:r>
      <w:r>
        <w:rPr>
          <w:lang w:val="en-CA" w:eastAsia="en-CA"/>
        </w:rPr>
        <w:t xml:space="preserve"> several times in recent years</w:t>
      </w:r>
      <w:r w:rsidR="003E3F0C">
        <w:rPr>
          <w:lang w:val="en-CA" w:eastAsia="en-CA"/>
        </w:rPr>
        <w:t xml:space="preserve">. </w:t>
      </w:r>
      <w:r>
        <w:rPr>
          <w:lang w:val="en-CA" w:eastAsia="en-CA"/>
        </w:rPr>
        <w:t>It would be interesting to look</w:t>
      </w:r>
      <w:r w:rsidR="0056049E">
        <w:rPr>
          <w:lang w:val="en-CA" w:eastAsia="en-CA"/>
        </w:rPr>
        <w:t xml:space="preserve"> at the summer distribution of Y</w:t>
      </w:r>
      <w:r>
        <w:rPr>
          <w:lang w:val="en-CA" w:eastAsia="en-CA"/>
        </w:rPr>
        <w:t>ellowtail in those years</w:t>
      </w:r>
      <w:r w:rsidR="003E3F0C">
        <w:rPr>
          <w:lang w:val="en-CA" w:eastAsia="en-CA"/>
        </w:rPr>
        <w:t xml:space="preserve">. </w:t>
      </w:r>
    </w:p>
    <w:p w14:paraId="68D2A8AC" w14:textId="73A22FCA" w:rsidR="00785C47" w:rsidRPr="002805E2" w:rsidRDefault="00785C47" w:rsidP="002805E2">
      <w:pPr>
        <w:pStyle w:val="NoSpacing"/>
        <w:tabs>
          <w:tab w:val="left" w:pos="8640"/>
        </w:tabs>
        <w:spacing w:before="120" w:after="120"/>
        <w:ind w:left="360" w:right="360"/>
        <w:rPr>
          <w:rFonts w:ascii="Arial" w:hAnsi="Arial" w:cs="Arial"/>
        </w:rPr>
      </w:pPr>
      <w:r w:rsidRPr="002805E2">
        <w:rPr>
          <w:rFonts w:ascii="Arial" w:hAnsi="Arial" w:cs="Arial"/>
          <w:b/>
        </w:rPr>
        <w:t xml:space="preserve">Research Recommendation: </w:t>
      </w:r>
      <w:r w:rsidR="0056049E">
        <w:rPr>
          <w:rFonts w:ascii="Arial" w:hAnsi="Arial" w:cs="Arial"/>
        </w:rPr>
        <w:t>At a future Y</w:t>
      </w:r>
      <w:r w:rsidRPr="002805E2">
        <w:rPr>
          <w:rFonts w:ascii="Arial" w:hAnsi="Arial" w:cs="Arial"/>
        </w:rPr>
        <w:t>ellowtail</w:t>
      </w:r>
      <w:r w:rsidR="0056049E">
        <w:rPr>
          <w:rFonts w:ascii="Arial" w:hAnsi="Arial" w:cs="Arial"/>
        </w:rPr>
        <w:t xml:space="preserve"> F</w:t>
      </w:r>
      <w:r w:rsidRPr="002805E2">
        <w:rPr>
          <w:rFonts w:ascii="Arial" w:hAnsi="Arial" w:cs="Arial"/>
        </w:rPr>
        <w:t>lounder benchmark, data from the summer DFO survey</w:t>
      </w:r>
      <w:r w:rsidR="0056049E">
        <w:rPr>
          <w:rFonts w:ascii="Arial" w:hAnsi="Arial" w:cs="Arial"/>
        </w:rPr>
        <w:t xml:space="preserve"> should be examined to see if they provide</w:t>
      </w:r>
      <w:r w:rsidRPr="002805E2">
        <w:rPr>
          <w:rFonts w:ascii="Arial" w:hAnsi="Arial" w:cs="Arial"/>
        </w:rPr>
        <w:t xml:space="preserve"> additional information on distribution.</w:t>
      </w:r>
    </w:p>
    <w:p w14:paraId="749DB728" w14:textId="28E8A1E2" w:rsidR="00785C47" w:rsidRDefault="00797F23" w:rsidP="00291412">
      <w:pPr>
        <w:pStyle w:val="Heading2"/>
        <w:rPr>
          <w:lang w:eastAsia="en-CA"/>
        </w:rPr>
      </w:pPr>
      <w:bookmarkStart w:id="14" w:name="_Toc44061515"/>
      <w:r>
        <w:rPr>
          <w:caps w:val="0"/>
          <w:lang w:eastAsia="en-CA"/>
        </w:rPr>
        <w:t>PROGRESS OF THE ATLANTIC COD STOCK STRUCTURE WORKING GROUP</w:t>
      </w:r>
      <w:bookmarkEnd w:id="14"/>
    </w:p>
    <w:p w14:paraId="61887037" w14:textId="77777777" w:rsidR="00785C47" w:rsidRDefault="00785C47" w:rsidP="002805E2">
      <w:pPr>
        <w:spacing w:before="0" w:after="0"/>
        <w:ind w:left="1800" w:hanging="1800"/>
      </w:pPr>
      <w:r>
        <w:t>Presentatio</w:t>
      </w:r>
      <w:r w:rsidRPr="00FD4747">
        <w:rPr>
          <w:rFonts w:cs="Arial"/>
        </w:rPr>
        <w:t xml:space="preserve">n: </w:t>
      </w:r>
      <w:r w:rsidR="002805E2">
        <w:rPr>
          <w:rFonts w:cs="Arial"/>
        </w:rPr>
        <w:tab/>
      </w:r>
      <w:r w:rsidR="00216C51">
        <w:rPr>
          <w:rFonts w:cs="Arial"/>
          <w:szCs w:val="22"/>
        </w:rPr>
        <w:t>Report on progress of the Atlantic Cod Stock Structure Working Group</w:t>
      </w:r>
    </w:p>
    <w:p w14:paraId="4A45E365" w14:textId="77777777" w:rsidR="00785C47" w:rsidRDefault="00785C47" w:rsidP="002805E2">
      <w:pPr>
        <w:spacing w:before="0" w:after="0"/>
        <w:ind w:left="1800" w:hanging="1800"/>
      </w:pPr>
      <w:r>
        <w:t xml:space="preserve">Science Leads: </w:t>
      </w:r>
      <w:r w:rsidR="00911D34">
        <w:tab/>
      </w:r>
      <w:r w:rsidR="00BF20D8">
        <w:t>R. McBride</w:t>
      </w:r>
      <w:r w:rsidR="00DA1EB7">
        <w:t xml:space="preserve"> and K. </w:t>
      </w:r>
      <w:proofErr w:type="spellStart"/>
      <w:r w:rsidR="00DA1EB7">
        <w:t>Smedbol</w:t>
      </w:r>
      <w:proofErr w:type="spellEnd"/>
    </w:p>
    <w:p w14:paraId="7631655E" w14:textId="77777777" w:rsidR="00785C47" w:rsidRDefault="00785C47" w:rsidP="002805E2">
      <w:pPr>
        <w:spacing w:before="0" w:after="0"/>
        <w:ind w:left="1800" w:hanging="1800"/>
      </w:pPr>
      <w:r>
        <w:t xml:space="preserve">Presenter: </w:t>
      </w:r>
      <w:r w:rsidR="00911D34">
        <w:tab/>
      </w:r>
      <w:r w:rsidR="00DA1EB7">
        <w:t xml:space="preserve">K. </w:t>
      </w:r>
      <w:proofErr w:type="spellStart"/>
      <w:r w:rsidR="00DA1EB7">
        <w:t>Smedbol</w:t>
      </w:r>
      <w:proofErr w:type="spellEnd"/>
    </w:p>
    <w:p w14:paraId="600AB285" w14:textId="77777777" w:rsidR="00785C47" w:rsidRPr="0060463F" w:rsidRDefault="00785C47" w:rsidP="002805E2">
      <w:pPr>
        <w:spacing w:before="0"/>
        <w:ind w:left="1800" w:hanging="1800"/>
        <w:rPr>
          <w:lang w:val="en-CA"/>
        </w:rPr>
      </w:pPr>
      <w:r w:rsidRPr="0060463F">
        <w:rPr>
          <w:lang w:val="en-CA"/>
        </w:rPr>
        <w:t xml:space="preserve">Rapporteurs: </w:t>
      </w:r>
      <w:r w:rsidR="00911D34">
        <w:rPr>
          <w:lang w:val="en-CA"/>
        </w:rPr>
        <w:tab/>
      </w:r>
      <w:r w:rsidRPr="0060463F">
        <w:rPr>
          <w:lang w:val="en-CA"/>
        </w:rPr>
        <w:t>F. Irvine and K. Clark</w:t>
      </w:r>
    </w:p>
    <w:p w14:paraId="156F7D66" w14:textId="77777777" w:rsidR="00216C51" w:rsidRPr="002805E2" w:rsidRDefault="00216C51" w:rsidP="00885119">
      <w:pPr>
        <w:pStyle w:val="Heading4"/>
      </w:pPr>
      <w:r w:rsidRPr="002805E2">
        <w:t>Presentation Highlights</w:t>
      </w:r>
    </w:p>
    <w:p w14:paraId="712A66CD" w14:textId="296FD976" w:rsidR="00216C51" w:rsidRPr="005F5E0D" w:rsidRDefault="0056049E" w:rsidP="005433A1">
      <w:pPr>
        <w:pStyle w:val="BodyText"/>
      </w:pPr>
      <w:r>
        <w:t>The Atlantic C</w:t>
      </w:r>
      <w:r w:rsidR="00216C51" w:rsidRPr="005F5E0D">
        <w:t>od stock structure workin</w:t>
      </w:r>
      <w:r w:rsidR="00216C51">
        <w:t>g group (ACSSWG) was formed by the U.S. National Oceanographic and Atmospheric Administration (NOAA) Fisheries in 2018 to d</w:t>
      </w:r>
      <w:r w:rsidR="00216C51" w:rsidRPr="005F5E0D">
        <w:t>etermine the most appropri</w:t>
      </w:r>
      <w:r>
        <w:t>ate representation of Atlantic C</w:t>
      </w:r>
      <w:r w:rsidR="00216C51" w:rsidRPr="005F5E0D">
        <w:t xml:space="preserve">od stock structure for use in regional stock assessments based on currently available information. </w:t>
      </w:r>
      <w:r w:rsidR="00216C51">
        <w:t>The ACSSWG is</w:t>
      </w:r>
      <w:r w:rsidR="00216C51" w:rsidRPr="005F5E0D">
        <w:t xml:space="preserve"> composed of 15 members from federal, state, academic, and other non-governmental organizations of both the US and Canada. The </w:t>
      </w:r>
      <w:r w:rsidR="00216C51">
        <w:t>ACSS</w:t>
      </w:r>
      <w:r w:rsidR="00216C51" w:rsidRPr="005F5E0D">
        <w:t>WG has met together twice, in addit</w:t>
      </w:r>
      <w:r w:rsidR="00216C51">
        <w:t>ion to several conference calls</w:t>
      </w:r>
      <w:r>
        <w:t>,</w:t>
      </w:r>
      <w:r w:rsidR="00216C51">
        <w:t xml:space="preserve"> and has engaged with</w:t>
      </w:r>
      <w:r w:rsidR="00216C51" w:rsidRPr="005F5E0D">
        <w:t xml:space="preserve"> the industry</w:t>
      </w:r>
      <w:r w:rsidR="00BF20D8">
        <w:t>, stakeholders and others</w:t>
      </w:r>
      <w:r w:rsidR="00216C51" w:rsidRPr="005F5E0D">
        <w:t xml:space="preserve"> in </w:t>
      </w:r>
      <w:hyperlink r:id="rId25" w:history="1">
        <w:r w:rsidR="00216C51" w:rsidRPr="005F5E0D">
          <w:rPr>
            <w:rStyle w:val="Hyperlink"/>
            <w:rFonts w:cstheme="minorHAnsi"/>
            <w:color w:val="0563C1"/>
          </w:rPr>
          <w:t>two New Hampshire Sea Grant-sponsored symposia</w:t>
        </w:r>
      </w:hyperlink>
      <w:r w:rsidR="00216C51">
        <w:t xml:space="preserve">. </w:t>
      </w:r>
    </w:p>
    <w:p w14:paraId="02B6C1E2" w14:textId="77777777" w:rsidR="00BF20D8" w:rsidRPr="005F5E0D" w:rsidRDefault="00216C51" w:rsidP="005433A1">
      <w:pPr>
        <w:pStyle w:val="BodyText"/>
      </w:pPr>
      <w:r w:rsidRPr="005F5E0D">
        <w:t>The W</w:t>
      </w:r>
      <w:r>
        <w:t xml:space="preserve">orking </w:t>
      </w:r>
      <w:r w:rsidRPr="005F5E0D">
        <w:t>G</w:t>
      </w:r>
      <w:r>
        <w:t>roup</w:t>
      </w:r>
      <w:r w:rsidRPr="005F5E0D">
        <w:t xml:space="preserve"> objectives are going forward in two phases. </w:t>
      </w:r>
      <w:r>
        <w:t>The product of p</w:t>
      </w:r>
      <w:r w:rsidRPr="005F5E0D">
        <w:t xml:space="preserve">hase one </w:t>
      </w:r>
      <w:r>
        <w:t>will be a NOAA Technical Memorandum</w:t>
      </w:r>
      <w:r w:rsidRPr="005F5E0D">
        <w:t xml:space="preserve"> that addresses the scientific support for biological stock structure of cod in US and adjacent waters (NAFO Divisions 5 and 6, with interactions with 4X). The report provides a holistic view from the following six disciplines: 1) spawning and early life; 2) genetic markers; 3) basic life history [abundance, growth, maturity]; 4) external or internal ‘natural’ markers, shape, or coloration; 5) applied markers, both conventional and technology tags; and 6) fisherman’s ecological knowledge. This report is being drafted for peer-review by the N</w:t>
      </w:r>
      <w:r w:rsidR="00BF20D8">
        <w:t>ew England Fishery Management Council (N</w:t>
      </w:r>
      <w:r w:rsidRPr="005F5E0D">
        <w:t>EFMC</w:t>
      </w:r>
      <w:r w:rsidR="00BF20D8">
        <w:t>)</w:t>
      </w:r>
      <w:r w:rsidRPr="005F5E0D">
        <w:t xml:space="preserve"> S</w:t>
      </w:r>
      <w:r w:rsidR="00BF20D8">
        <w:t>cience and Statistical Committee (S</w:t>
      </w:r>
      <w:r w:rsidRPr="005F5E0D">
        <w:t>SC</w:t>
      </w:r>
      <w:r w:rsidR="00BF20D8">
        <w:t>)</w:t>
      </w:r>
      <w:r w:rsidRPr="005F5E0D">
        <w:t xml:space="preserve"> during the period January-February 2020, with the expectation to present to the NEFMC April, 2020, meeting in Mystic, </w:t>
      </w:r>
      <w:r w:rsidR="00BF20D8">
        <w:t>Connecticut.</w:t>
      </w:r>
    </w:p>
    <w:p w14:paraId="3838B4DF" w14:textId="77777777" w:rsidR="00216C51" w:rsidRPr="005F5E0D" w:rsidRDefault="00216C51" w:rsidP="005433A1">
      <w:pPr>
        <w:pStyle w:val="BodyText"/>
      </w:pPr>
      <w:r w:rsidRPr="005F5E0D">
        <w:t xml:space="preserve">Phase two has been separated from phase one, and </w:t>
      </w:r>
      <w:r>
        <w:t xml:space="preserve">has not </w:t>
      </w:r>
      <w:r w:rsidR="00BF20D8">
        <w:t xml:space="preserve">yet </w:t>
      </w:r>
      <w:r>
        <w:t>begun</w:t>
      </w:r>
      <w:r w:rsidRPr="005F5E0D">
        <w:t xml:space="preserve">. Its goal is to broadly consider potential actions to meet management objectives including but not limited to maintaining status quo, altering stock boundaries, spatial and temporal restrictions, and stock composition analysis. </w:t>
      </w:r>
      <w:r>
        <w:t>Another</w:t>
      </w:r>
      <w:r w:rsidRPr="005F5E0D">
        <w:t xml:space="preserve"> meeting where the ‘phase one’ report will be available, and a broad assemblage of constituents from fishery, monitoring, assessment, and management interests meet, and a ‘white paper’ summarizing a list of actions and associated pros and cons of each will be made available to the </w:t>
      </w:r>
      <w:r w:rsidR="00BF20D8">
        <w:t>NEFMC</w:t>
      </w:r>
      <w:r>
        <w:t xml:space="preserve"> </w:t>
      </w:r>
      <w:r w:rsidRPr="005F5E0D">
        <w:t>and other interested parties for further action.</w:t>
      </w:r>
    </w:p>
    <w:p w14:paraId="727FAA93" w14:textId="77777777" w:rsidR="00216C51" w:rsidRPr="002805E2" w:rsidRDefault="00BF20D8" w:rsidP="00885119">
      <w:pPr>
        <w:pStyle w:val="Heading4"/>
      </w:pPr>
      <w:r w:rsidRPr="002805E2">
        <w:lastRenderedPageBreak/>
        <w:t>Discussion</w:t>
      </w:r>
    </w:p>
    <w:p w14:paraId="26BFB8E6" w14:textId="77777777" w:rsidR="00BF20D8" w:rsidRPr="002805E2" w:rsidRDefault="00BF20D8" w:rsidP="00670622">
      <w:pPr>
        <w:ind w:left="360"/>
        <w:rPr>
          <w:i/>
        </w:rPr>
      </w:pPr>
      <w:r w:rsidRPr="002805E2">
        <w:rPr>
          <w:i/>
        </w:rPr>
        <w:t>Reviewers</w:t>
      </w:r>
    </w:p>
    <w:p w14:paraId="24250DD2" w14:textId="293347D2" w:rsidR="00BF20D8" w:rsidRDefault="003B13CC" w:rsidP="005433A1">
      <w:pPr>
        <w:pStyle w:val="BodyText"/>
        <w:rPr>
          <w:lang w:eastAsia="en-CA"/>
        </w:rPr>
      </w:pPr>
      <w:r>
        <w:rPr>
          <w:lang w:eastAsia="en-CA"/>
        </w:rPr>
        <w:t>No comments</w:t>
      </w:r>
      <w:r w:rsidR="005433A1">
        <w:rPr>
          <w:lang w:eastAsia="en-CA"/>
        </w:rPr>
        <w:t>.</w:t>
      </w:r>
    </w:p>
    <w:p w14:paraId="3C9008F5" w14:textId="77777777" w:rsidR="003B13CC" w:rsidRPr="002805E2" w:rsidRDefault="003B13CC" w:rsidP="00670622">
      <w:pPr>
        <w:ind w:left="360"/>
        <w:rPr>
          <w:i/>
        </w:rPr>
      </w:pPr>
      <w:r w:rsidRPr="002805E2">
        <w:rPr>
          <w:i/>
        </w:rPr>
        <w:t>Science Staff, Designated Resource Managers and TRAC Co-Chairs</w:t>
      </w:r>
    </w:p>
    <w:p w14:paraId="7CB46668" w14:textId="5FBEC3E3" w:rsidR="003B13CC" w:rsidRDefault="003B13CC" w:rsidP="005433A1">
      <w:pPr>
        <w:pStyle w:val="BodyText"/>
      </w:pPr>
      <w:r>
        <w:t>It was asked how much new information is being incorporated compared to old</w:t>
      </w:r>
      <w:r w:rsidR="00670622">
        <w:t>er</w:t>
      </w:r>
      <w:r>
        <w:t xml:space="preserve"> information </w:t>
      </w:r>
      <w:r w:rsidR="00670622">
        <w:t>that was already available and how l</w:t>
      </w:r>
      <w:r>
        <w:t xml:space="preserve">ikely </w:t>
      </w:r>
      <w:r w:rsidR="00670622">
        <w:t>it is that</w:t>
      </w:r>
      <w:r>
        <w:t xml:space="preserve"> stock structure has remained consistent over time?  The data type time series vary</w:t>
      </w:r>
      <w:r w:rsidR="0056049E">
        <w:t>,</w:t>
      </w:r>
      <w:r>
        <w:t xml:space="preserve"> and </w:t>
      </w:r>
      <w:r w:rsidR="009039BD">
        <w:t>the scale of aggregation for each type of data is variable</w:t>
      </w:r>
      <w:r w:rsidR="003E3F0C">
        <w:t xml:space="preserve">. </w:t>
      </w:r>
      <w:r w:rsidR="009039BD">
        <w:t>It is</w:t>
      </w:r>
      <w:r w:rsidR="0056049E">
        <w:t>,</w:t>
      </w:r>
      <w:r w:rsidR="009039BD">
        <w:t xml:space="preserve"> therefore</w:t>
      </w:r>
      <w:r w:rsidR="0056049E">
        <w:t>,</w:t>
      </w:r>
      <w:r w:rsidR="009039BD">
        <w:t xml:space="preserve"> important to consider the timeline when framing stock units</w:t>
      </w:r>
      <w:r w:rsidR="003E3F0C">
        <w:t xml:space="preserve">. </w:t>
      </w:r>
      <w:r w:rsidR="009039BD">
        <w:t>It was noted that to address spatial complexity, it is not always necessary to change the management units.</w:t>
      </w:r>
    </w:p>
    <w:p w14:paraId="2FC9A7F5" w14:textId="77777777" w:rsidR="009039BD" w:rsidRPr="002805E2" w:rsidRDefault="009039BD" w:rsidP="00670622">
      <w:pPr>
        <w:ind w:left="360"/>
        <w:rPr>
          <w:i/>
        </w:rPr>
      </w:pPr>
      <w:r w:rsidRPr="002805E2">
        <w:rPr>
          <w:i/>
        </w:rPr>
        <w:t>Other Meeting Participants</w:t>
      </w:r>
    </w:p>
    <w:p w14:paraId="663D255D" w14:textId="2411102B" w:rsidR="009039BD" w:rsidRDefault="009039BD" w:rsidP="005433A1">
      <w:pPr>
        <w:pStyle w:val="BodyText"/>
      </w:pPr>
      <w:r>
        <w:t>There has not been a lot of involvement of Canadian stakeholders outside DFO</w:t>
      </w:r>
      <w:r w:rsidR="003E3F0C">
        <w:t xml:space="preserve">. </w:t>
      </w:r>
      <w:r w:rsidR="00670622">
        <w:t xml:space="preserve">Some </w:t>
      </w:r>
      <w:r>
        <w:t xml:space="preserve">Canadian industry representatives were interviewed by Dr. </w:t>
      </w:r>
      <w:proofErr w:type="spellStart"/>
      <w:r>
        <w:t>DeCelles</w:t>
      </w:r>
      <w:proofErr w:type="spellEnd"/>
      <w:r>
        <w:t xml:space="preserve"> as part of this investigation</w:t>
      </w:r>
      <w:r w:rsidR="003E3F0C">
        <w:t xml:space="preserve">. </w:t>
      </w:r>
      <w:r>
        <w:t>However, it was noted that it is important to distribute the information to Canadian stakeholders</w:t>
      </w:r>
      <w:r w:rsidR="00670622">
        <w:t xml:space="preserve"> so that they can provide feedback</w:t>
      </w:r>
      <w:r w:rsidR="003E3F0C">
        <w:t xml:space="preserve">. </w:t>
      </w:r>
      <w:r>
        <w:t>It was noted by members of the ACSSWG that there are opportunitie</w:t>
      </w:r>
      <w:r w:rsidR="00D26197">
        <w:t>s for commenting on the process.</w:t>
      </w:r>
    </w:p>
    <w:p w14:paraId="52CF45F0" w14:textId="42309245" w:rsidR="009039BD" w:rsidRDefault="009039BD" w:rsidP="005433A1">
      <w:pPr>
        <w:pStyle w:val="BodyText"/>
      </w:pPr>
      <w:r>
        <w:t>There was discussion about the information regarding parasites and stock discrimination</w:t>
      </w:r>
      <w:r w:rsidR="003E3F0C">
        <w:t xml:space="preserve">. </w:t>
      </w:r>
      <w:r>
        <w:t>Industry is seeing seasonal changes in parasite load on Georges Bank. Perhaps this could be further sampled and examined.</w:t>
      </w:r>
    </w:p>
    <w:p w14:paraId="74BAEA44" w14:textId="77777777" w:rsidR="009039BD" w:rsidRPr="00670622" w:rsidRDefault="009039BD" w:rsidP="00670622">
      <w:pPr>
        <w:pStyle w:val="NoSpacing"/>
        <w:tabs>
          <w:tab w:val="left" w:pos="8640"/>
        </w:tabs>
        <w:spacing w:before="120" w:after="120"/>
        <w:ind w:left="360" w:right="360"/>
        <w:rPr>
          <w:rFonts w:ascii="Arial" w:hAnsi="Arial" w:cs="Arial"/>
        </w:rPr>
      </w:pPr>
      <w:r w:rsidRPr="00670622">
        <w:rPr>
          <w:rFonts w:ascii="Arial" w:hAnsi="Arial" w:cs="Arial"/>
          <w:b/>
        </w:rPr>
        <w:t xml:space="preserve">Research Recommendation: </w:t>
      </w:r>
      <w:r w:rsidRPr="00670622">
        <w:rPr>
          <w:rFonts w:ascii="Arial" w:hAnsi="Arial" w:cs="Arial"/>
        </w:rPr>
        <w:t xml:space="preserve">DFO Science should work with Canadian industry to look into collecting information on parasites. </w:t>
      </w:r>
    </w:p>
    <w:p w14:paraId="41BA29FD" w14:textId="76554EC0" w:rsidR="009039BD" w:rsidRDefault="00797F23" w:rsidP="00291412">
      <w:pPr>
        <w:pStyle w:val="Heading2"/>
      </w:pPr>
      <w:bookmarkStart w:id="15" w:name="_Toc44061516"/>
      <w:r w:rsidRPr="00670622">
        <w:rPr>
          <w:caps w:val="0"/>
        </w:rPr>
        <w:t>EASTERN GEORGES BANK COD</w:t>
      </w:r>
      <w:bookmarkEnd w:id="15"/>
    </w:p>
    <w:p w14:paraId="1DE9AF58" w14:textId="77777777" w:rsidR="00E333AC" w:rsidRPr="008B04BB" w:rsidRDefault="00E333AC" w:rsidP="00354A60">
      <w:pPr>
        <w:pStyle w:val="Heading3"/>
        <w:rPr>
          <w:lang w:val="en-US"/>
        </w:rPr>
      </w:pPr>
      <w:bookmarkStart w:id="16" w:name="_Toc44061517"/>
      <w:r w:rsidRPr="008B04BB">
        <w:rPr>
          <w:lang w:val="en-US"/>
        </w:rPr>
        <w:t>Data Update for Eastern Georges Bank Cod in 2019</w:t>
      </w:r>
      <w:bookmarkEnd w:id="16"/>
    </w:p>
    <w:p w14:paraId="28F8940B" w14:textId="0B5ACBCE" w:rsidR="00D26197" w:rsidRDefault="00D26197" w:rsidP="00670622">
      <w:pPr>
        <w:spacing w:before="0" w:after="0"/>
        <w:ind w:left="3240" w:hanging="3240"/>
      </w:pPr>
      <w:r>
        <w:t>Working Paper</w:t>
      </w:r>
      <w:r w:rsidR="000940CC">
        <w:t xml:space="preserve"> 2019/</w:t>
      </w:r>
      <w:r w:rsidR="000940CC" w:rsidRPr="000940CC">
        <w:t>04</w:t>
      </w:r>
      <w:r w:rsidRPr="00FD4747">
        <w:rPr>
          <w:rFonts w:cs="Arial"/>
        </w:rPr>
        <w:t xml:space="preserve">: </w:t>
      </w:r>
      <w:r w:rsidR="00670622">
        <w:rPr>
          <w:rFonts w:cs="Arial"/>
        </w:rPr>
        <w:tab/>
      </w:r>
      <w:r w:rsidR="00422FE6">
        <w:rPr>
          <w:rFonts w:cs="Arial"/>
          <w:szCs w:val="22"/>
        </w:rPr>
        <w:t>Data Update for Eastern Georges Bank Cod in 2019</w:t>
      </w:r>
    </w:p>
    <w:p w14:paraId="63543200" w14:textId="77777777" w:rsidR="00D26197" w:rsidRDefault="00D26197" w:rsidP="00670622">
      <w:pPr>
        <w:spacing w:before="0" w:after="0"/>
        <w:ind w:left="3240" w:hanging="3240"/>
      </w:pPr>
      <w:r>
        <w:t xml:space="preserve">Science Leads: </w:t>
      </w:r>
      <w:r w:rsidR="00670622">
        <w:tab/>
      </w:r>
      <w:r>
        <w:t xml:space="preserve">M. Barrett, C. </w:t>
      </w:r>
      <w:proofErr w:type="spellStart"/>
      <w:r>
        <w:t>Legault</w:t>
      </w:r>
      <w:proofErr w:type="spellEnd"/>
      <w:r>
        <w:t xml:space="preserve">, F. Irvine and I. </w:t>
      </w:r>
      <w:proofErr w:type="spellStart"/>
      <w:r>
        <w:t>Andrushchenko</w:t>
      </w:r>
      <w:proofErr w:type="spellEnd"/>
    </w:p>
    <w:p w14:paraId="300F1932" w14:textId="77777777" w:rsidR="00D26197" w:rsidRDefault="00D26197" w:rsidP="00670622">
      <w:pPr>
        <w:spacing w:before="0" w:after="0"/>
        <w:ind w:left="3240" w:hanging="3240"/>
      </w:pPr>
      <w:r>
        <w:t xml:space="preserve">Presenter: </w:t>
      </w:r>
      <w:r w:rsidR="00670622">
        <w:tab/>
      </w:r>
      <w:r>
        <w:t>M. Barrett</w:t>
      </w:r>
    </w:p>
    <w:p w14:paraId="4E465BEB" w14:textId="77777777" w:rsidR="00D26197" w:rsidRPr="00D26197" w:rsidRDefault="00D26197" w:rsidP="00670622">
      <w:pPr>
        <w:spacing w:before="0"/>
        <w:ind w:left="3240" w:hanging="3240"/>
        <w:rPr>
          <w:lang w:val="en-CA"/>
        </w:rPr>
      </w:pPr>
      <w:r w:rsidRPr="00D26197">
        <w:rPr>
          <w:lang w:val="en-CA"/>
        </w:rPr>
        <w:t xml:space="preserve">Rapporteurs: </w:t>
      </w:r>
      <w:r w:rsidR="00670622">
        <w:rPr>
          <w:lang w:val="en-CA"/>
        </w:rPr>
        <w:tab/>
      </w:r>
      <w:r w:rsidRPr="00D26197">
        <w:rPr>
          <w:lang w:val="en-CA"/>
        </w:rPr>
        <w:t>F. Irvine and K. Clark</w:t>
      </w:r>
    </w:p>
    <w:p w14:paraId="7C412E85" w14:textId="77777777" w:rsidR="00D26197" w:rsidRPr="002805E2" w:rsidRDefault="00D26197" w:rsidP="00885119">
      <w:pPr>
        <w:pStyle w:val="Heading4"/>
      </w:pPr>
      <w:r w:rsidRPr="002805E2">
        <w:t>Presentation Highlights</w:t>
      </w:r>
    </w:p>
    <w:p w14:paraId="6BA29096" w14:textId="6C2ADC1C" w:rsidR="00D26197" w:rsidRPr="005433A1" w:rsidRDefault="00D26197" w:rsidP="005433A1">
      <w:pPr>
        <w:pStyle w:val="BodyText"/>
        <w:rPr>
          <w:rStyle w:val="BodyTextChar3"/>
          <w:sz w:val="22"/>
          <w:szCs w:val="20"/>
        </w:rPr>
      </w:pPr>
      <w:r w:rsidRPr="005433A1">
        <w:rPr>
          <w:rStyle w:val="BodyTextChar3"/>
          <w:sz w:val="22"/>
          <w:szCs w:val="20"/>
        </w:rPr>
        <w:t>The com</w:t>
      </w:r>
      <w:r w:rsidR="0056049E" w:rsidRPr="005433A1">
        <w:rPr>
          <w:rStyle w:val="BodyTextChar3"/>
          <w:sz w:val="22"/>
          <w:szCs w:val="20"/>
        </w:rPr>
        <w:t>bined 2018 Canada/USA Atlantic C</w:t>
      </w:r>
      <w:r w:rsidRPr="005433A1">
        <w:rPr>
          <w:rStyle w:val="BodyTextChar3"/>
          <w:sz w:val="22"/>
          <w:szCs w:val="20"/>
        </w:rPr>
        <w:t xml:space="preserve">od catches were 565 </w:t>
      </w:r>
      <w:proofErr w:type="spellStart"/>
      <w:r w:rsidRPr="005433A1">
        <w:rPr>
          <w:rStyle w:val="BodyTextChar3"/>
          <w:sz w:val="22"/>
          <w:szCs w:val="20"/>
        </w:rPr>
        <w:t>mt</w:t>
      </w:r>
      <w:proofErr w:type="spellEnd"/>
      <w:r w:rsidRPr="005433A1">
        <w:rPr>
          <w:rStyle w:val="BodyTextChar3"/>
          <w:sz w:val="22"/>
          <w:szCs w:val="20"/>
        </w:rPr>
        <w:t xml:space="preserve"> against a quota of 951 </w:t>
      </w:r>
      <w:proofErr w:type="spellStart"/>
      <w:r w:rsidRPr="005433A1">
        <w:rPr>
          <w:rStyle w:val="BodyTextChar3"/>
          <w:sz w:val="22"/>
          <w:szCs w:val="20"/>
        </w:rPr>
        <w:t>mt.</w:t>
      </w:r>
      <w:proofErr w:type="spellEnd"/>
      <w:r w:rsidRPr="005433A1">
        <w:rPr>
          <w:rStyle w:val="BodyTextChar3"/>
          <w:sz w:val="22"/>
          <w:szCs w:val="20"/>
        </w:rPr>
        <w:t xml:space="preserve"> Two of the three research survey biomass indices increased from last year, but all three remain below their time series average. Condition factor is at or above the long-term mean for the NMFS spring and fall surveys but remains at a low level in the DFO survey. Large cod continue to be missing from both fishery and survey catch compared to historical distributions. Relative fishing mortality continues to be low recently while survey total mortality continues to be high</w:t>
      </w:r>
      <w:r w:rsidR="0056049E" w:rsidRPr="005433A1">
        <w:rPr>
          <w:rStyle w:val="BodyTextChar3"/>
          <w:sz w:val="22"/>
          <w:szCs w:val="20"/>
        </w:rPr>
        <w:t>,</w:t>
      </w:r>
      <w:r w:rsidRPr="005433A1">
        <w:rPr>
          <w:rStyle w:val="BodyTextChar3"/>
          <w:sz w:val="22"/>
          <w:szCs w:val="20"/>
        </w:rPr>
        <w:t xml:space="preserve"> indicating that the increase in total mortality is driven by factors other than reported fishing.</w:t>
      </w:r>
    </w:p>
    <w:p w14:paraId="5691B676" w14:textId="77777777" w:rsidR="00D26197" w:rsidRPr="002805E2" w:rsidRDefault="00D26197" w:rsidP="00DD1055">
      <w:pPr>
        <w:pStyle w:val="Heading4"/>
      </w:pPr>
      <w:r w:rsidRPr="002805E2">
        <w:t>Discussion</w:t>
      </w:r>
    </w:p>
    <w:p w14:paraId="2F11C355" w14:textId="77777777" w:rsidR="00D26197" w:rsidRPr="002805E2" w:rsidRDefault="00D26197" w:rsidP="002805E2">
      <w:pPr>
        <w:ind w:left="360"/>
        <w:rPr>
          <w:i/>
        </w:rPr>
      </w:pPr>
      <w:r w:rsidRPr="002805E2">
        <w:rPr>
          <w:i/>
        </w:rPr>
        <w:t>Reviewers</w:t>
      </w:r>
    </w:p>
    <w:p w14:paraId="577F4E06" w14:textId="5070A396" w:rsidR="005D5266" w:rsidRDefault="005D5266" w:rsidP="005433A1">
      <w:pPr>
        <w:pStyle w:val="BodyText"/>
        <w:rPr>
          <w:lang w:eastAsia="en-CA"/>
        </w:rPr>
      </w:pPr>
      <w:r>
        <w:rPr>
          <w:lang w:eastAsia="en-CA"/>
        </w:rPr>
        <w:t>The three surveys often exhibit diamond patterns (e.g., one survey goes up, whilst the others go down)</w:t>
      </w:r>
      <w:r w:rsidR="003E3F0C">
        <w:rPr>
          <w:lang w:eastAsia="en-CA"/>
        </w:rPr>
        <w:t xml:space="preserve">. </w:t>
      </w:r>
      <w:r>
        <w:rPr>
          <w:lang w:eastAsia="en-CA"/>
        </w:rPr>
        <w:t>T</w:t>
      </w:r>
      <w:r w:rsidR="00670622">
        <w:rPr>
          <w:lang w:eastAsia="en-CA"/>
        </w:rPr>
        <w:t>hese</w:t>
      </w:r>
      <w:r w:rsidR="00D26197">
        <w:rPr>
          <w:lang w:eastAsia="en-CA"/>
        </w:rPr>
        <w:t xml:space="preserve"> divergent patterns </w:t>
      </w:r>
      <w:r>
        <w:rPr>
          <w:lang w:eastAsia="en-CA"/>
        </w:rPr>
        <w:t>cause</w:t>
      </w:r>
      <w:r w:rsidR="00D26197">
        <w:rPr>
          <w:lang w:eastAsia="en-CA"/>
        </w:rPr>
        <w:t xml:space="preserve"> issues for </w:t>
      </w:r>
      <w:r w:rsidR="00670622">
        <w:rPr>
          <w:lang w:eastAsia="en-CA"/>
        </w:rPr>
        <w:t>any model</w:t>
      </w:r>
      <w:r w:rsidR="00D26197">
        <w:rPr>
          <w:lang w:eastAsia="en-CA"/>
        </w:rPr>
        <w:t>.</w:t>
      </w:r>
      <w:r>
        <w:rPr>
          <w:lang w:eastAsia="en-CA"/>
        </w:rPr>
        <w:t xml:space="preserve"> There is a need to understand the spatial signal in the data for older ages, since this may be the source of some of the divergence.</w:t>
      </w:r>
    </w:p>
    <w:p w14:paraId="49E11438" w14:textId="161BFA6E" w:rsidR="005D5266" w:rsidRDefault="005D5266" w:rsidP="005433A1">
      <w:pPr>
        <w:pStyle w:val="BodyText"/>
        <w:rPr>
          <w:szCs w:val="22"/>
        </w:rPr>
      </w:pPr>
      <w:r>
        <w:rPr>
          <w:lang w:eastAsia="en-CA"/>
        </w:rPr>
        <w:t>The reviewers asked for clarification on what was expected for cod advice for 2020. The term of reference required that the TRAC i</w:t>
      </w:r>
      <w:r>
        <w:rPr>
          <w:szCs w:val="22"/>
        </w:rPr>
        <w:t xml:space="preserve">dentify and comment on changes in survey and fishery </w:t>
      </w:r>
      <w:r>
        <w:rPr>
          <w:szCs w:val="22"/>
        </w:rPr>
        <w:lastRenderedPageBreak/>
        <w:t>indicators (relative to the 2018 TRAC)</w:t>
      </w:r>
      <w:r w:rsidR="003E3F0C">
        <w:rPr>
          <w:szCs w:val="22"/>
        </w:rPr>
        <w:t xml:space="preserve">. </w:t>
      </w:r>
      <w:r>
        <w:rPr>
          <w:szCs w:val="22"/>
        </w:rPr>
        <w:t>It was noted that nothing in the input data is very different from what was seen in 2018 and</w:t>
      </w:r>
      <w:r w:rsidR="0056049E">
        <w:rPr>
          <w:szCs w:val="22"/>
        </w:rPr>
        <w:t>,</w:t>
      </w:r>
      <w:r>
        <w:rPr>
          <w:szCs w:val="22"/>
        </w:rPr>
        <w:t xml:space="preserve"> therefore</w:t>
      </w:r>
      <w:r w:rsidR="0056049E">
        <w:rPr>
          <w:szCs w:val="22"/>
        </w:rPr>
        <w:t>,</w:t>
      </w:r>
      <w:r>
        <w:rPr>
          <w:szCs w:val="22"/>
        </w:rPr>
        <w:t xml:space="preserve"> there is no reason to change the advice. Since there will be no cod TSR produced in 2019, advice and conclusions will be noted in the Proceedings. </w:t>
      </w:r>
    </w:p>
    <w:p w14:paraId="5AD19297" w14:textId="4E4B51B6" w:rsidR="005D5266" w:rsidRDefault="005D5266" w:rsidP="005433A1">
      <w:pPr>
        <w:pStyle w:val="BodyText"/>
        <w:rPr>
          <w:szCs w:val="22"/>
        </w:rPr>
      </w:pPr>
      <w:r>
        <w:rPr>
          <w:szCs w:val="22"/>
        </w:rPr>
        <w:t xml:space="preserve">It was noted that the Sinclair Z calculation for cod has the same challenge of low </w:t>
      </w:r>
      <w:r w:rsidR="00EC5DA0">
        <w:rPr>
          <w:szCs w:val="22"/>
        </w:rPr>
        <w:t>numbers of fish</w:t>
      </w:r>
      <w:r>
        <w:rPr>
          <w:szCs w:val="22"/>
        </w:rPr>
        <w:t xml:space="preserve"> at older ages that was observed for yellowtail</w:t>
      </w:r>
      <w:r w:rsidR="003E3F0C">
        <w:rPr>
          <w:szCs w:val="22"/>
        </w:rPr>
        <w:t xml:space="preserve">. </w:t>
      </w:r>
      <w:r>
        <w:rPr>
          <w:szCs w:val="22"/>
        </w:rPr>
        <w:t>In the most recent two years, the Sinclair Z calculation for ages 6 to 8 has no data for ages 7 and 8</w:t>
      </w:r>
      <w:r w:rsidR="0056049E">
        <w:rPr>
          <w:szCs w:val="22"/>
        </w:rPr>
        <w:t>, so t</w:t>
      </w:r>
      <w:r w:rsidR="00422FE6">
        <w:rPr>
          <w:szCs w:val="22"/>
        </w:rPr>
        <w:t>he trend in Z at these older ages is therefore not reliable, making it hard to compare this year to previous years.</w:t>
      </w:r>
    </w:p>
    <w:p w14:paraId="34F19A6D" w14:textId="08E41643" w:rsidR="00422FE6" w:rsidRDefault="00422FE6" w:rsidP="005433A1">
      <w:pPr>
        <w:pStyle w:val="BodyText"/>
        <w:rPr>
          <w:szCs w:val="22"/>
        </w:rPr>
      </w:pPr>
      <w:r>
        <w:rPr>
          <w:szCs w:val="22"/>
        </w:rPr>
        <w:t>There looks like there is a pulse of small fish (30 to 40 cm) in the NMFS fall survey catch at length</w:t>
      </w:r>
      <w:r w:rsidR="003E3F0C">
        <w:rPr>
          <w:szCs w:val="22"/>
        </w:rPr>
        <w:t xml:space="preserve">. </w:t>
      </w:r>
      <w:r>
        <w:rPr>
          <w:szCs w:val="22"/>
        </w:rPr>
        <w:t>These are likely age 1 fish and</w:t>
      </w:r>
      <w:r w:rsidR="0056049E">
        <w:rPr>
          <w:szCs w:val="22"/>
        </w:rPr>
        <w:t>,</w:t>
      </w:r>
      <w:r>
        <w:rPr>
          <w:szCs w:val="22"/>
        </w:rPr>
        <w:t xml:space="preserve"> compared to the recent ten year average, this looks like a lot of fish</w:t>
      </w:r>
      <w:r w:rsidR="003E3F0C">
        <w:rPr>
          <w:szCs w:val="22"/>
        </w:rPr>
        <w:t xml:space="preserve">. </w:t>
      </w:r>
      <w:r>
        <w:rPr>
          <w:szCs w:val="22"/>
        </w:rPr>
        <w:t>However, the stock has been historically low over the past ten years and it should be noted that this pulse of fish is only 10% of what was observed in the 1970s to the 1990s.</w:t>
      </w:r>
    </w:p>
    <w:p w14:paraId="33BE0CD5" w14:textId="77777777" w:rsidR="00D26197" w:rsidRPr="002805E2" w:rsidRDefault="00D26197" w:rsidP="002805E2">
      <w:pPr>
        <w:ind w:left="360"/>
        <w:rPr>
          <w:i/>
        </w:rPr>
      </w:pPr>
      <w:r w:rsidRPr="002805E2">
        <w:rPr>
          <w:i/>
        </w:rPr>
        <w:t>Science Staff, Designated Resource Managers and TRAC Co-Chairs</w:t>
      </w:r>
    </w:p>
    <w:p w14:paraId="1CFF1AED" w14:textId="77777777" w:rsidR="00D26197" w:rsidRDefault="00D26197" w:rsidP="005433A1">
      <w:pPr>
        <w:pStyle w:val="BodyText"/>
      </w:pPr>
      <w:r>
        <w:t xml:space="preserve">It was </w:t>
      </w:r>
      <w:r w:rsidR="00670622">
        <w:t>agreed that there we</w:t>
      </w:r>
      <w:r w:rsidR="00422FE6">
        <w:t>re no obvious reasons to change the advice and conclusions this year.</w:t>
      </w:r>
    </w:p>
    <w:p w14:paraId="01B8BDE2" w14:textId="77777777" w:rsidR="00D26197" w:rsidRPr="002805E2" w:rsidRDefault="00D26197" w:rsidP="002805E2">
      <w:pPr>
        <w:ind w:left="360"/>
        <w:rPr>
          <w:i/>
        </w:rPr>
      </w:pPr>
      <w:r w:rsidRPr="002805E2">
        <w:rPr>
          <w:i/>
        </w:rPr>
        <w:t>Other Meeting Participants</w:t>
      </w:r>
    </w:p>
    <w:p w14:paraId="27593B07" w14:textId="52EC05B4" w:rsidR="00D26197" w:rsidRPr="005433A1" w:rsidRDefault="00422FE6" w:rsidP="005433A1">
      <w:pPr>
        <w:pStyle w:val="BodyText"/>
        <w:rPr>
          <w:rStyle w:val="BodyTextChar3"/>
          <w:sz w:val="22"/>
          <w:szCs w:val="20"/>
        </w:rPr>
      </w:pPr>
      <w:r w:rsidRPr="005433A1">
        <w:rPr>
          <w:rStyle w:val="BodyTextChar3"/>
          <w:sz w:val="22"/>
          <w:szCs w:val="20"/>
        </w:rPr>
        <w:t>Although there is no TSR for cod, there was agreement from the group that TRAC will report on the various biological facto</w:t>
      </w:r>
      <w:r w:rsidR="00670622" w:rsidRPr="005433A1">
        <w:rPr>
          <w:rStyle w:val="BodyTextChar3"/>
          <w:sz w:val="22"/>
          <w:szCs w:val="20"/>
        </w:rPr>
        <w:t>rs and it will be noted in the P</w:t>
      </w:r>
      <w:r w:rsidRPr="005433A1">
        <w:rPr>
          <w:rStyle w:val="BodyTextChar3"/>
          <w:sz w:val="22"/>
          <w:szCs w:val="20"/>
        </w:rPr>
        <w:t>roceedings that there is nothing obviously different in the indices and input that that would change the advice from last year</w:t>
      </w:r>
      <w:r w:rsidR="003E3F0C" w:rsidRPr="005433A1">
        <w:rPr>
          <w:rStyle w:val="BodyTextChar3"/>
          <w:sz w:val="22"/>
          <w:szCs w:val="20"/>
        </w:rPr>
        <w:t xml:space="preserve">. </w:t>
      </w:r>
      <w:r w:rsidRPr="005433A1">
        <w:rPr>
          <w:rStyle w:val="BodyTextChar3"/>
          <w:sz w:val="22"/>
          <w:szCs w:val="20"/>
        </w:rPr>
        <w:t>The assessment team was asked to draft a consensus statement that would be reviewed and then included in the Proceedings.</w:t>
      </w:r>
    </w:p>
    <w:p w14:paraId="253A50AA" w14:textId="77777777" w:rsidR="00422FE6" w:rsidRDefault="00E333AC" w:rsidP="00354A60">
      <w:pPr>
        <w:pStyle w:val="Heading3"/>
        <w:rPr>
          <w:rStyle w:val="BodyTextChar3"/>
          <w:color w:val="000000"/>
          <w:sz w:val="22"/>
          <w:szCs w:val="22"/>
        </w:rPr>
      </w:pPr>
      <w:bookmarkStart w:id="17" w:name="_Toc44061518"/>
      <w:r>
        <w:rPr>
          <w:rStyle w:val="BodyTextChar3"/>
          <w:color w:val="000000"/>
          <w:sz w:val="22"/>
          <w:szCs w:val="22"/>
        </w:rPr>
        <w:t>Alternative Methodologies for Providing Interim Catch Advice for Eastern Georges Bank Cod</w:t>
      </w:r>
      <w:bookmarkEnd w:id="17"/>
    </w:p>
    <w:p w14:paraId="4935616C" w14:textId="488828A9" w:rsidR="008B7786" w:rsidRDefault="00422FE6" w:rsidP="00E333AC">
      <w:pPr>
        <w:spacing w:before="0" w:after="0"/>
        <w:ind w:left="3240" w:hanging="3240"/>
        <w:rPr>
          <w:rFonts w:cs="Arial"/>
          <w:szCs w:val="22"/>
        </w:rPr>
      </w:pPr>
      <w:r>
        <w:t>Working Paper</w:t>
      </w:r>
      <w:r w:rsidR="00E333AC">
        <w:t xml:space="preserve"> 2019</w:t>
      </w:r>
      <w:r w:rsidR="00E333AC" w:rsidRPr="000940CC">
        <w:t>/</w:t>
      </w:r>
      <w:r w:rsidR="000940CC" w:rsidRPr="000940CC">
        <w:t>05:</w:t>
      </w:r>
      <w:r w:rsidR="00E333AC">
        <w:rPr>
          <w:rFonts w:cs="Arial"/>
        </w:rPr>
        <w:tab/>
      </w:r>
      <w:r w:rsidR="008B7786" w:rsidRPr="00704323">
        <w:rPr>
          <w:rFonts w:cs="Arial"/>
          <w:szCs w:val="22"/>
        </w:rPr>
        <w:t>Alternative Methodologies for Providing Interim Catch Advice for Eastern Georges Bank Cod</w:t>
      </w:r>
    </w:p>
    <w:p w14:paraId="1FE75A02" w14:textId="77777777" w:rsidR="00422FE6" w:rsidRPr="008B7786" w:rsidRDefault="00422FE6" w:rsidP="00E333AC">
      <w:pPr>
        <w:spacing w:before="0" w:after="0"/>
        <w:ind w:left="3240" w:hanging="3240"/>
        <w:rPr>
          <w:rFonts w:cs="Arial"/>
          <w:szCs w:val="22"/>
        </w:rPr>
      </w:pPr>
      <w:r>
        <w:t>Science Leads:</w:t>
      </w:r>
      <w:r w:rsidR="00E333AC">
        <w:tab/>
      </w:r>
      <w:r w:rsidR="008E42DC">
        <w:t xml:space="preserve">I. </w:t>
      </w:r>
      <w:proofErr w:type="spellStart"/>
      <w:r w:rsidR="008E42DC">
        <w:t>Andrushchenko</w:t>
      </w:r>
      <w:proofErr w:type="spellEnd"/>
      <w:r w:rsidR="008E42DC">
        <w:t xml:space="preserve">, C. </w:t>
      </w:r>
      <w:proofErr w:type="spellStart"/>
      <w:r w:rsidR="008E42DC">
        <w:t>Legault</w:t>
      </w:r>
      <w:proofErr w:type="spellEnd"/>
      <w:r w:rsidR="008E42DC">
        <w:t xml:space="preserve">, </w:t>
      </w:r>
      <w:r w:rsidR="00E333AC">
        <w:t xml:space="preserve">and </w:t>
      </w:r>
      <w:r w:rsidR="008E42DC">
        <w:t>M.</w:t>
      </w:r>
      <w:r w:rsidR="00E333AC">
        <w:t>A.</w:t>
      </w:r>
      <w:r w:rsidR="008E42DC">
        <w:t xml:space="preserve"> Barrett</w:t>
      </w:r>
    </w:p>
    <w:p w14:paraId="0974B62D" w14:textId="77777777" w:rsidR="00422FE6" w:rsidRDefault="00422FE6" w:rsidP="00E333AC">
      <w:pPr>
        <w:spacing w:before="0" w:after="0"/>
        <w:ind w:left="3240" w:hanging="3240"/>
      </w:pPr>
      <w:r>
        <w:t>Presenter:</w:t>
      </w:r>
      <w:r w:rsidR="00E333AC">
        <w:tab/>
      </w:r>
      <w:r w:rsidR="008E42DC">
        <w:t xml:space="preserve">I. </w:t>
      </w:r>
      <w:proofErr w:type="spellStart"/>
      <w:r w:rsidR="008E42DC">
        <w:t>Andrushchenko</w:t>
      </w:r>
      <w:proofErr w:type="spellEnd"/>
      <w:r w:rsidR="008E42DC">
        <w:t xml:space="preserve"> and C. </w:t>
      </w:r>
      <w:proofErr w:type="spellStart"/>
      <w:r w:rsidR="008E42DC">
        <w:t>Legault</w:t>
      </w:r>
      <w:proofErr w:type="spellEnd"/>
    </w:p>
    <w:p w14:paraId="5D7D9FB5" w14:textId="77777777" w:rsidR="00422FE6" w:rsidRPr="0060463F" w:rsidRDefault="00422FE6" w:rsidP="00E333AC">
      <w:pPr>
        <w:spacing w:before="0"/>
        <w:ind w:left="3240" w:hanging="3240"/>
        <w:rPr>
          <w:lang w:val="fr-CA"/>
        </w:rPr>
      </w:pPr>
      <w:r w:rsidRPr="0060463F">
        <w:rPr>
          <w:lang w:val="fr-CA"/>
        </w:rPr>
        <w:t xml:space="preserve">Rapporteurs: </w:t>
      </w:r>
      <w:r w:rsidR="00E333AC">
        <w:rPr>
          <w:lang w:val="fr-CA"/>
        </w:rPr>
        <w:tab/>
      </w:r>
      <w:r w:rsidRPr="0060463F">
        <w:rPr>
          <w:lang w:val="fr-CA"/>
        </w:rPr>
        <w:t>F. Irvine and K. Clark</w:t>
      </w:r>
    </w:p>
    <w:p w14:paraId="3764C7E8" w14:textId="77777777" w:rsidR="008B7786" w:rsidRPr="002805E2" w:rsidRDefault="008B7786" w:rsidP="00DD1055">
      <w:pPr>
        <w:pStyle w:val="Heading4"/>
      </w:pPr>
      <w:r w:rsidRPr="002805E2">
        <w:t>Presentation Highlights</w:t>
      </w:r>
    </w:p>
    <w:p w14:paraId="3055F15D" w14:textId="77EF4124" w:rsidR="008B7786" w:rsidRDefault="008B7786" w:rsidP="005433A1">
      <w:pPr>
        <w:pStyle w:val="BodyText"/>
        <w:rPr>
          <w:lang w:val="en-CA"/>
        </w:rPr>
      </w:pPr>
      <w:r w:rsidRPr="00600836">
        <w:rPr>
          <w:lang w:val="en-CA"/>
        </w:rPr>
        <w:t>Following the 2018 TRAC, poor diagnostics of both the VPA and A</w:t>
      </w:r>
      <w:r>
        <w:rPr>
          <w:lang w:val="en-CA"/>
        </w:rPr>
        <w:t xml:space="preserve">ge </w:t>
      </w:r>
      <w:r w:rsidRPr="00600836">
        <w:rPr>
          <w:lang w:val="en-CA"/>
        </w:rPr>
        <w:t>S</w:t>
      </w:r>
      <w:r>
        <w:rPr>
          <w:lang w:val="en-CA"/>
        </w:rPr>
        <w:t xml:space="preserve">tructure </w:t>
      </w:r>
      <w:r w:rsidRPr="00600836">
        <w:rPr>
          <w:lang w:val="en-CA"/>
        </w:rPr>
        <w:t>A</w:t>
      </w:r>
      <w:r>
        <w:rPr>
          <w:lang w:val="en-CA"/>
        </w:rPr>
        <w:t xml:space="preserve">ssessment </w:t>
      </w:r>
      <w:r w:rsidRPr="00600836">
        <w:rPr>
          <w:lang w:val="en-CA"/>
        </w:rPr>
        <w:t>P</w:t>
      </w:r>
      <w:r>
        <w:rPr>
          <w:lang w:val="en-CA"/>
        </w:rPr>
        <w:t xml:space="preserve">rogram (ASAP) </w:t>
      </w:r>
      <w:r w:rsidRPr="00600836">
        <w:rPr>
          <w:lang w:val="en-CA"/>
        </w:rPr>
        <w:t xml:space="preserve">models for </w:t>
      </w:r>
      <w:r w:rsidR="0056049E">
        <w:rPr>
          <w:lang w:val="en-CA"/>
        </w:rPr>
        <w:t>EGB C</w:t>
      </w:r>
      <w:r w:rsidRPr="00600836">
        <w:rPr>
          <w:lang w:val="en-CA"/>
        </w:rPr>
        <w:t xml:space="preserve">od resulted in </w:t>
      </w:r>
      <w:r>
        <w:rPr>
          <w:lang w:val="en-CA"/>
        </w:rPr>
        <w:t xml:space="preserve">the </w:t>
      </w:r>
      <w:r w:rsidRPr="00600836">
        <w:rPr>
          <w:lang w:val="en-CA"/>
        </w:rPr>
        <w:t>TMGC requesting that TRAC investigate alternative methodologies for providing catch advi</w:t>
      </w:r>
      <w:r>
        <w:rPr>
          <w:lang w:val="en-CA"/>
        </w:rPr>
        <w:t>ce. T</w:t>
      </w:r>
      <w:r w:rsidRPr="00600836">
        <w:rPr>
          <w:lang w:val="en-CA"/>
        </w:rPr>
        <w:t xml:space="preserve">wo approaches </w:t>
      </w:r>
      <w:r>
        <w:rPr>
          <w:lang w:val="en-CA"/>
        </w:rPr>
        <w:t xml:space="preserve">were </w:t>
      </w:r>
      <w:r w:rsidRPr="00600836">
        <w:rPr>
          <w:lang w:val="en-CA"/>
        </w:rPr>
        <w:t>presented for further e</w:t>
      </w:r>
      <w:r>
        <w:rPr>
          <w:lang w:val="en-CA"/>
        </w:rPr>
        <w:t xml:space="preserve">xploration: </w:t>
      </w:r>
      <w:r w:rsidRPr="00600836">
        <w:rPr>
          <w:lang w:val="en-CA"/>
        </w:rPr>
        <w:t xml:space="preserve">the Rose and </w:t>
      </w:r>
      <w:r>
        <w:rPr>
          <w:lang w:val="en-CA"/>
        </w:rPr>
        <w:t xml:space="preserve">the </w:t>
      </w:r>
      <w:r w:rsidRPr="00600836">
        <w:rPr>
          <w:lang w:val="en-CA"/>
        </w:rPr>
        <w:t>Data Limited Methods Tool (</w:t>
      </w:r>
      <w:proofErr w:type="spellStart"/>
      <w:r w:rsidRPr="00600836">
        <w:rPr>
          <w:lang w:val="en-CA"/>
        </w:rPr>
        <w:t>DLMtool</w:t>
      </w:r>
      <w:proofErr w:type="spellEnd"/>
      <w:r w:rsidRPr="00600836">
        <w:rPr>
          <w:lang w:val="en-CA"/>
        </w:rPr>
        <w:t>). The Rose approach uses a variety of assessment models to address retrospective patterns and provide catch advice based on the ensemble of models through either a formulaic calculation or making trade-offs between short</w:t>
      </w:r>
      <w:r w:rsidR="0056049E">
        <w:rPr>
          <w:lang w:val="en-CA"/>
        </w:rPr>
        <w:t>- and long-</w:t>
      </w:r>
      <w:r w:rsidRPr="00600836">
        <w:rPr>
          <w:lang w:val="en-CA"/>
        </w:rPr>
        <w:t xml:space="preserve">term consequences. The </w:t>
      </w:r>
      <w:proofErr w:type="spellStart"/>
      <w:r w:rsidRPr="00600836">
        <w:rPr>
          <w:lang w:val="en-CA"/>
        </w:rPr>
        <w:t>DLMtool</w:t>
      </w:r>
      <w:proofErr w:type="spellEnd"/>
      <w:r w:rsidRPr="00600836">
        <w:rPr>
          <w:lang w:val="en-CA"/>
        </w:rPr>
        <w:t xml:space="preserve"> prov</w:t>
      </w:r>
      <w:r w:rsidR="0056049E">
        <w:rPr>
          <w:lang w:val="en-CA"/>
        </w:rPr>
        <w:t>ides a simulation platform that</w:t>
      </w:r>
      <w:r w:rsidRPr="00600836">
        <w:rPr>
          <w:lang w:val="en-CA"/>
        </w:rPr>
        <w:t xml:space="preserve"> mimics stock dynamics across a range of uncertainties, against which simple index-based management procedures for provision of interim advice can be tested. Pros and cons of both approaches </w:t>
      </w:r>
      <w:r>
        <w:rPr>
          <w:lang w:val="en-CA"/>
        </w:rPr>
        <w:t>were presented.</w:t>
      </w:r>
    </w:p>
    <w:p w14:paraId="6C194DB5" w14:textId="77777777" w:rsidR="008B7786" w:rsidRPr="002805E2" w:rsidRDefault="008B7786" w:rsidP="00DD1055">
      <w:pPr>
        <w:pStyle w:val="Heading4"/>
      </w:pPr>
      <w:r w:rsidRPr="002805E2">
        <w:t>Discussion</w:t>
      </w:r>
    </w:p>
    <w:p w14:paraId="21C6F930" w14:textId="12B933BD" w:rsidR="00A67EAA" w:rsidRPr="00A67EAA" w:rsidRDefault="00A67EAA" w:rsidP="005433A1">
      <w:pPr>
        <w:pStyle w:val="BodyText"/>
        <w:rPr>
          <w:lang w:eastAsia="en-CA"/>
        </w:rPr>
      </w:pPr>
      <w:r>
        <w:rPr>
          <w:lang w:eastAsia="en-CA"/>
        </w:rPr>
        <w:t xml:space="preserve">The Chair initiated the discussion by asking if the assessment leads </w:t>
      </w:r>
      <w:proofErr w:type="spellStart"/>
      <w:r>
        <w:rPr>
          <w:lang w:eastAsia="en-CA"/>
        </w:rPr>
        <w:t>favoured</w:t>
      </w:r>
      <w:proofErr w:type="spellEnd"/>
      <w:r>
        <w:rPr>
          <w:lang w:eastAsia="en-CA"/>
        </w:rPr>
        <w:t xml:space="preserve"> one approach over the other. The leads agreed that both approaches had merit</w:t>
      </w:r>
      <w:r w:rsidR="0056049E">
        <w:rPr>
          <w:lang w:eastAsia="en-CA"/>
        </w:rPr>
        <w:t>,</w:t>
      </w:r>
      <w:r>
        <w:rPr>
          <w:lang w:eastAsia="en-CA"/>
        </w:rPr>
        <w:t xml:space="preserve"> and they</w:t>
      </w:r>
      <w:r w:rsidR="00DB0F4C">
        <w:rPr>
          <w:lang w:eastAsia="en-CA"/>
        </w:rPr>
        <w:t xml:space="preserve"> would be comfortable moving fo</w:t>
      </w:r>
      <w:r w:rsidR="0056049E">
        <w:rPr>
          <w:lang w:eastAsia="en-CA"/>
        </w:rPr>
        <w:t xml:space="preserve">rward with either one of them. </w:t>
      </w:r>
      <w:r w:rsidR="0060463F">
        <w:rPr>
          <w:lang w:eastAsia="en-CA"/>
        </w:rPr>
        <w:t xml:space="preserve">However, they stressed that </w:t>
      </w:r>
      <w:r w:rsidR="00E333AC">
        <w:rPr>
          <w:lang w:eastAsia="en-CA"/>
        </w:rPr>
        <w:t>TRAC needed to identify one of the approaches for further work since workload and time precluded the ability to pursue both.</w:t>
      </w:r>
    </w:p>
    <w:p w14:paraId="69527795" w14:textId="77777777" w:rsidR="008B7786" w:rsidRPr="002805E2" w:rsidRDefault="008B7786" w:rsidP="002805E2">
      <w:pPr>
        <w:ind w:left="360"/>
        <w:rPr>
          <w:i/>
        </w:rPr>
      </w:pPr>
      <w:r w:rsidRPr="002805E2">
        <w:rPr>
          <w:i/>
        </w:rPr>
        <w:lastRenderedPageBreak/>
        <w:t>Reviewers</w:t>
      </w:r>
    </w:p>
    <w:p w14:paraId="1BC28478" w14:textId="754197E7" w:rsidR="0060463F" w:rsidRDefault="009F0951" w:rsidP="005433A1">
      <w:pPr>
        <w:pStyle w:val="BodyText"/>
      </w:pPr>
      <w:r>
        <w:t>The reviewers found both approaches interesting and appropriate. It was noted that the choice of models is very important with the Rose approach so as not to bias the results</w:t>
      </w:r>
      <w:r w:rsidR="0056049E">
        <w:t>,</w:t>
      </w:r>
      <w:r>
        <w:t xml:space="preserve"> and there needs to be consideration of how the results of the suite of models will be assembled in the end</w:t>
      </w:r>
      <w:r w:rsidR="003E3F0C">
        <w:t xml:space="preserve">. </w:t>
      </w:r>
      <w:r>
        <w:t xml:space="preserve">For example, the spawning stock biomass (SSB) from an ASAP approach would result with various scenarios with distributions around them. </w:t>
      </w:r>
      <w:r w:rsidR="007D7C91">
        <w:t>In order to aggregate the results from the ensemble of models,</w:t>
      </w:r>
      <w:r>
        <w:t xml:space="preserve"> </w:t>
      </w:r>
      <w:r w:rsidR="007D7C91">
        <w:t xml:space="preserve">it </w:t>
      </w:r>
      <w:r>
        <w:t xml:space="preserve">would be possible to sample from all the posteriors, as in a </w:t>
      </w:r>
      <w:r w:rsidR="00E333AC">
        <w:t>Markov Chain Monte Carlo (</w:t>
      </w:r>
      <w:r>
        <w:t>MCMC</w:t>
      </w:r>
      <w:r w:rsidR="00E333AC">
        <w:t>)</w:t>
      </w:r>
      <w:r>
        <w:t xml:space="preserve"> approach</w:t>
      </w:r>
      <w:r w:rsidR="003E3F0C">
        <w:t xml:space="preserve">. </w:t>
      </w:r>
      <w:r w:rsidR="007D7C91">
        <w:t>However</w:t>
      </w:r>
      <w:r w:rsidR="0056049E">
        <w:t>,</w:t>
      </w:r>
      <w:r w:rsidR="007D7C91">
        <w:t xml:space="preserve"> it was noted that simple </w:t>
      </w:r>
      <w:r>
        <w:t xml:space="preserve">averaging </w:t>
      </w:r>
      <w:r w:rsidR="007D7C91">
        <w:t xml:space="preserve">of results </w:t>
      </w:r>
      <w:r w:rsidR="0056049E">
        <w:t xml:space="preserve">would not be appropriate. </w:t>
      </w:r>
      <w:r>
        <w:t>T</w:t>
      </w:r>
      <w:r w:rsidR="00E333AC">
        <w:t>he Rose method</w:t>
      </w:r>
      <w:r w:rsidR="007D7C91">
        <w:t xml:space="preserve"> would </w:t>
      </w:r>
      <w:r>
        <w:t>allow the calculation of reference points from each of the models used</w:t>
      </w:r>
      <w:r w:rsidR="0056049E">
        <w:t>,</w:t>
      </w:r>
      <w:r>
        <w:t xml:space="preserve"> which could then be compared against their ow</w:t>
      </w:r>
      <w:r w:rsidR="0056049E">
        <w:t xml:space="preserve">n or a global reference point. </w:t>
      </w:r>
      <w:r>
        <w:t>This approach could provide both catch advice and stock status.</w:t>
      </w:r>
      <w:r w:rsidR="00E333AC">
        <w:t xml:space="preserve"> </w:t>
      </w:r>
      <w:r>
        <w:t>Simulations of this approach are difficult and it is challenging if a “bad” group of models is chosen</w:t>
      </w:r>
      <w:r w:rsidR="003E3F0C">
        <w:t xml:space="preserve">. </w:t>
      </w:r>
      <w:r>
        <w:t xml:space="preserve">To do this well, </w:t>
      </w:r>
      <w:r w:rsidR="00EC5DA0">
        <w:t xml:space="preserve">a </w:t>
      </w:r>
      <w:r>
        <w:t>M</w:t>
      </w:r>
      <w:r w:rsidR="00E333AC">
        <w:t xml:space="preserve">anagement </w:t>
      </w:r>
      <w:r>
        <w:t>S</w:t>
      </w:r>
      <w:r w:rsidR="00E333AC">
        <w:t xml:space="preserve">trategy </w:t>
      </w:r>
      <w:r>
        <w:t>E</w:t>
      </w:r>
      <w:r w:rsidR="00E333AC">
        <w:t>valuation (MSE)</w:t>
      </w:r>
      <w:r>
        <w:t xml:space="preserve"> tool approach would need to be set up </w:t>
      </w:r>
      <w:r w:rsidR="0056049E">
        <w:t xml:space="preserve">across the ensemble of models. </w:t>
      </w:r>
      <w:r>
        <w:t>This is not trivial and could not be done in a year.</w:t>
      </w:r>
    </w:p>
    <w:p w14:paraId="1060B44E" w14:textId="3FCC3DF3" w:rsidR="007D7C91" w:rsidRDefault="00C750D8" w:rsidP="005433A1">
      <w:pPr>
        <w:pStyle w:val="BodyText"/>
      </w:pPr>
      <w:r>
        <w:t xml:space="preserve">The </w:t>
      </w:r>
      <w:proofErr w:type="spellStart"/>
      <w:r>
        <w:t>DLMTools</w:t>
      </w:r>
      <w:proofErr w:type="spellEnd"/>
      <w:r>
        <w:t xml:space="preserve"> approach is not a</w:t>
      </w:r>
      <w:r w:rsidR="00EC5DA0">
        <w:t>n</w:t>
      </w:r>
      <w:r>
        <w:t xml:space="preserve"> assessment model and will not provide a SSB estimate</w:t>
      </w:r>
      <w:r w:rsidR="003E3F0C">
        <w:t xml:space="preserve">. </w:t>
      </w:r>
      <w:r>
        <w:t>Instead</w:t>
      </w:r>
      <w:r w:rsidR="0056049E">
        <w:t>,</w:t>
      </w:r>
      <w:r>
        <w:t xml:space="preserve"> it is an approach to simulate the range of uncertainty and to test harvest strategies to assess if performance is consistent across this range of uncertainties</w:t>
      </w:r>
      <w:r w:rsidR="003E3F0C">
        <w:t xml:space="preserve">. </w:t>
      </w:r>
      <w:r>
        <w:t xml:space="preserve">It requires generating operating </w:t>
      </w:r>
      <w:r w:rsidR="00EC5DA0">
        <w:t xml:space="preserve">models </w:t>
      </w:r>
      <w:r>
        <w:t>using history and predictive scenarios</w:t>
      </w:r>
      <w:r w:rsidR="003E3F0C">
        <w:t xml:space="preserve">. </w:t>
      </w:r>
      <w:r>
        <w:t>The approach requires management objectives that have been provided by TMGC and other management bodies</w:t>
      </w:r>
      <w:r w:rsidR="003E3F0C">
        <w:t xml:space="preserve">. </w:t>
      </w:r>
      <w:r>
        <w:t>There is a risk of not finding a single management procedure that is robust against all uncertainty</w:t>
      </w:r>
      <w:r w:rsidR="003E3F0C">
        <w:t xml:space="preserve">. </w:t>
      </w:r>
      <w:r w:rsidR="007D7C91">
        <w:t>It has the advantage that it does not need a single correct view of stock dynamics and it integrates both science and resource management through the development of management procedures and the metrics used to evaluate performance</w:t>
      </w:r>
      <w:r w:rsidR="003E3F0C">
        <w:t xml:space="preserve">. </w:t>
      </w:r>
      <w:r w:rsidR="007D7C91">
        <w:t>There was discussion about how the operating models (OMs) could be narrowed down to a manageable number. Natural mortality, misreported catch</w:t>
      </w:r>
      <w:r w:rsidR="0056049E">
        <w:t>,</w:t>
      </w:r>
      <w:r w:rsidR="007D7C91">
        <w:t xml:space="preserve"> and a combination of both could be used, for example</w:t>
      </w:r>
      <w:r w:rsidR="003E3F0C">
        <w:t xml:space="preserve">. </w:t>
      </w:r>
      <w:r w:rsidR="007D7C91">
        <w:t>The focus should be on covering the largest uncertainties.</w:t>
      </w:r>
    </w:p>
    <w:p w14:paraId="68F1DD77" w14:textId="4B55F530" w:rsidR="007D7C91" w:rsidRDefault="007D7C91" w:rsidP="005433A1">
      <w:pPr>
        <w:pStyle w:val="BodyText"/>
      </w:pPr>
      <w:r>
        <w:t xml:space="preserve">Both the Rose and the </w:t>
      </w:r>
      <w:proofErr w:type="spellStart"/>
      <w:r>
        <w:t>DLM</w:t>
      </w:r>
      <w:r w:rsidR="00BE789C">
        <w:t>Tools</w:t>
      </w:r>
      <w:proofErr w:type="spellEnd"/>
      <w:r>
        <w:t xml:space="preserve"> approaches are </w:t>
      </w:r>
      <w:proofErr w:type="spellStart"/>
      <w:r>
        <w:t>labour</w:t>
      </w:r>
      <w:proofErr w:type="spellEnd"/>
      <w:r>
        <w:t xml:space="preserve"> intensive</w:t>
      </w:r>
      <w:r w:rsidR="003E3F0C">
        <w:t xml:space="preserve">. </w:t>
      </w:r>
      <w:r>
        <w:t>The Rose approach has a much bigger workload over time since it requires running multiple models and, if retrospective patterns occur, multiple fixes</w:t>
      </w:r>
      <w:r w:rsidR="003E3F0C">
        <w:t xml:space="preserve">. </w:t>
      </w:r>
      <w:r w:rsidR="00BE789C">
        <w:t>However, this approach can provide advice over multiple years</w:t>
      </w:r>
      <w:r w:rsidR="003E3F0C">
        <w:t xml:space="preserve">. </w:t>
      </w:r>
      <w:r w:rsidR="00BE789C">
        <w:t xml:space="preserve">The </w:t>
      </w:r>
      <w:proofErr w:type="spellStart"/>
      <w:r w:rsidR="00BE789C">
        <w:t>DLMTools</w:t>
      </w:r>
      <w:proofErr w:type="spellEnd"/>
      <w:r w:rsidR="00BE789C">
        <w:t xml:space="preserve"> approach requires considerable work from both Science and Management in setting up the OMs, MPs and harvest control rules (HCRs). Once in place, it can be used on an annual basis to provide advice for several years before the OMs, MPs and HCRs need to be reviewed again. </w:t>
      </w:r>
    </w:p>
    <w:p w14:paraId="21CA02DD" w14:textId="110DF637" w:rsidR="00C750D8" w:rsidRPr="0060463F" w:rsidRDefault="00C750D8" w:rsidP="005433A1">
      <w:pPr>
        <w:pStyle w:val="BodyText"/>
      </w:pPr>
      <w:r>
        <w:t>The reviewers asked if the approaches were being suggested as an interim solution for providing cod catch advice since both approaches require considerable input and further work before they can be operational. It was noted that this could not happen before next year but that it was hoped it could be a bridging solution if a benchmark did not occur in the next few years</w:t>
      </w:r>
      <w:r w:rsidR="003E3F0C">
        <w:t xml:space="preserve">. </w:t>
      </w:r>
      <w:r w:rsidR="0056049E">
        <w:t>It could, however, be a longer-</w:t>
      </w:r>
      <w:r>
        <w:t>term solution.</w:t>
      </w:r>
    </w:p>
    <w:p w14:paraId="5DDC8996" w14:textId="77777777" w:rsidR="008B7786" w:rsidRPr="002805E2" w:rsidRDefault="008B7786" w:rsidP="002805E2">
      <w:pPr>
        <w:ind w:left="360"/>
        <w:rPr>
          <w:i/>
        </w:rPr>
      </w:pPr>
      <w:r w:rsidRPr="002805E2">
        <w:rPr>
          <w:i/>
        </w:rPr>
        <w:t>Science Staff, Designated Resource Managers and TRAC Co-Chairs</w:t>
      </w:r>
    </w:p>
    <w:p w14:paraId="70972D42" w14:textId="13C3F24E" w:rsidR="00BE789C" w:rsidRPr="00BE789C" w:rsidRDefault="00BE789C" w:rsidP="005433A1">
      <w:pPr>
        <w:pStyle w:val="BodyText"/>
      </w:pPr>
      <w:r>
        <w:t>The workload required for both approaches was discussed again</w:t>
      </w:r>
      <w:r w:rsidR="003E3F0C">
        <w:t xml:space="preserve">. </w:t>
      </w:r>
      <w:r>
        <w:t>The Rose approach represents a greater workload on an annual basis; how</w:t>
      </w:r>
      <w:r w:rsidR="00E333AC">
        <w:t xml:space="preserve">ever, it was noted that the </w:t>
      </w:r>
      <w:proofErr w:type="spellStart"/>
      <w:r w:rsidR="00E333AC">
        <w:t>DLMt</w:t>
      </w:r>
      <w:r>
        <w:t>ools</w:t>
      </w:r>
      <w:proofErr w:type="spellEnd"/>
      <w:r>
        <w:t xml:space="preserve"> approach should not be used for a long period without reviewing the OMs, MPs and HCRs</w:t>
      </w:r>
      <w:r w:rsidR="003E3F0C">
        <w:t xml:space="preserve">. </w:t>
      </w:r>
      <w:r>
        <w:t xml:space="preserve">The involvement </w:t>
      </w:r>
      <w:r w:rsidR="00E333AC">
        <w:t xml:space="preserve">of resource managers in the </w:t>
      </w:r>
      <w:proofErr w:type="spellStart"/>
      <w:r w:rsidR="00E333AC">
        <w:t>DLMt</w:t>
      </w:r>
      <w:r>
        <w:t>ools</w:t>
      </w:r>
      <w:proofErr w:type="spellEnd"/>
      <w:r>
        <w:t xml:space="preserve"> approach was noted as a positive attribute. </w:t>
      </w:r>
      <w:r w:rsidR="00E333AC">
        <w:t xml:space="preserve">Again it was noted that the </w:t>
      </w:r>
      <w:r w:rsidR="00EC5DA0">
        <w:t xml:space="preserve">management procedure selected in the </w:t>
      </w:r>
      <w:proofErr w:type="spellStart"/>
      <w:r w:rsidR="00E333AC">
        <w:t>DLMt</w:t>
      </w:r>
      <w:r>
        <w:t>ools</w:t>
      </w:r>
      <w:proofErr w:type="spellEnd"/>
      <w:r>
        <w:t xml:space="preserve"> approach would be </w:t>
      </w:r>
      <w:r w:rsidR="00EC5DA0">
        <w:t>applied</w:t>
      </w:r>
      <w:r>
        <w:t xml:space="preserve"> annually</w:t>
      </w:r>
      <w:r w:rsidR="0056049E">
        <w:t>,</w:t>
      </w:r>
      <w:r>
        <w:t xml:space="preserve"> whereas the Rose approach, with models that are performing well, could provide multiple years of catch advice.</w:t>
      </w:r>
    </w:p>
    <w:p w14:paraId="72B04126" w14:textId="7EDCE598" w:rsidR="00BE789C" w:rsidRPr="00BE789C" w:rsidRDefault="00BE789C" w:rsidP="005433A1">
      <w:pPr>
        <w:pStyle w:val="BodyText"/>
      </w:pPr>
      <w:r>
        <w:lastRenderedPageBreak/>
        <w:t xml:space="preserve">It was observed that in many of the stocks where a </w:t>
      </w:r>
      <w:r w:rsidR="00E333AC">
        <w:t>MSE</w:t>
      </w:r>
      <w:r>
        <w:t xml:space="preserve"> approach has been taken, the advice has tended to be very conservative in order for the advice to be r</w:t>
      </w:r>
      <w:r w:rsidRPr="00BE789C">
        <w:t xml:space="preserve">obust to </w:t>
      </w:r>
      <w:r>
        <w:t xml:space="preserve">a </w:t>
      </w:r>
      <w:r w:rsidRPr="00BE789C">
        <w:t>wide range of uncertaintie</w:t>
      </w:r>
      <w:r>
        <w:t>s</w:t>
      </w:r>
      <w:r w:rsidRPr="00BE789C">
        <w:t xml:space="preserve">. </w:t>
      </w:r>
      <w:r>
        <w:t>It was noted that this</w:t>
      </w:r>
      <w:r w:rsidR="00E333AC">
        <w:t xml:space="preserve"> might be the case with the </w:t>
      </w:r>
      <w:proofErr w:type="spellStart"/>
      <w:r w:rsidR="00E333AC">
        <w:t>DLMt</w:t>
      </w:r>
      <w:r>
        <w:t>ools</w:t>
      </w:r>
      <w:proofErr w:type="spellEnd"/>
      <w:r>
        <w:t xml:space="preserve"> approach for cod</w:t>
      </w:r>
      <w:r w:rsidR="003E3F0C">
        <w:t xml:space="preserve">. </w:t>
      </w:r>
      <w:r>
        <w:t>A lot of work might be required to g</w:t>
      </w:r>
      <w:r w:rsidR="0025755C">
        <w:t>et advice that cannot be used</w:t>
      </w:r>
      <w:r w:rsidR="003E3F0C">
        <w:t xml:space="preserve">. </w:t>
      </w:r>
      <w:r w:rsidR="0025755C">
        <w:t>If the OMs, MPs and HCRs are well thought through, this need not be the case.</w:t>
      </w:r>
    </w:p>
    <w:p w14:paraId="6EC03887" w14:textId="0F0055CF" w:rsidR="00BE789C" w:rsidRPr="00BE789C" w:rsidRDefault="0025755C" w:rsidP="005433A1">
      <w:pPr>
        <w:pStyle w:val="BodyText"/>
      </w:pPr>
      <w:r>
        <w:t xml:space="preserve">The Chair </w:t>
      </w:r>
      <w:proofErr w:type="spellStart"/>
      <w:r>
        <w:t>summarised</w:t>
      </w:r>
      <w:proofErr w:type="spellEnd"/>
      <w:r>
        <w:t xml:space="preserve"> the discussion of the </w:t>
      </w:r>
      <w:r w:rsidR="0056049E">
        <w:t>s</w:t>
      </w:r>
      <w:r>
        <w:t xml:space="preserve">cience </w:t>
      </w:r>
      <w:r w:rsidR="0056049E">
        <w:t>s</w:t>
      </w:r>
      <w:r>
        <w:t xml:space="preserve">taff, </w:t>
      </w:r>
      <w:r w:rsidR="0056049E">
        <w:t>d</w:t>
      </w:r>
      <w:r>
        <w:t xml:space="preserve">esignated </w:t>
      </w:r>
      <w:r w:rsidR="0056049E">
        <w:t>r</w:t>
      </w:r>
      <w:r>
        <w:t xml:space="preserve">esource </w:t>
      </w:r>
      <w:r w:rsidR="0056049E">
        <w:t>m</w:t>
      </w:r>
      <w:r>
        <w:t>anagers, Reviewers and TRAC Co-Chairs and asked the group if they agreed tha</w:t>
      </w:r>
      <w:r w:rsidR="00E333AC">
        <w:t xml:space="preserve">t both approaches (Rose and </w:t>
      </w:r>
      <w:proofErr w:type="spellStart"/>
      <w:r w:rsidR="00E333AC">
        <w:t>DLMt</w:t>
      </w:r>
      <w:r>
        <w:t>ools</w:t>
      </w:r>
      <w:proofErr w:type="spellEnd"/>
      <w:r>
        <w:t>) are valid?  There was consensus that both were valid approaches</w:t>
      </w:r>
      <w:r w:rsidR="003E3F0C">
        <w:t xml:space="preserve">. </w:t>
      </w:r>
      <w:r>
        <w:t>The Chair then asked if one approach was preferred over the other</w:t>
      </w:r>
      <w:r w:rsidR="003E3F0C">
        <w:t xml:space="preserve">. </w:t>
      </w:r>
      <w:r>
        <w:t>The group liked the clarity of setting up m</w:t>
      </w:r>
      <w:r w:rsidR="00E333AC">
        <w:t xml:space="preserve">anagement objectives in the </w:t>
      </w:r>
      <w:proofErr w:type="spellStart"/>
      <w:r w:rsidR="00E333AC">
        <w:t>DLMt</w:t>
      </w:r>
      <w:r>
        <w:t>ools</w:t>
      </w:r>
      <w:proofErr w:type="spellEnd"/>
      <w:r>
        <w:t xml:space="preserve"> approach and felt that, if TMGC and others were willing and able to put in the work required for setting it up, this approach would be preferred and would require less investment after the initial year</w:t>
      </w:r>
      <w:r w:rsidR="003E3F0C">
        <w:t xml:space="preserve">. </w:t>
      </w:r>
      <w:r>
        <w:t>The workload with the Rose approach is heavy and does not decrease after the first year; however, the output is a lot more understandable to those outside Science</w:t>
      </w:r>
      <w:r w:rsidR="003E3F0C">
        <w:t xml:space="preserve">. </w:t>
      </w:r>
      <w:r>
        <w:t xml:space="preserve">It was agreed that the </w:t>
      </w:r>
      <w:proofErr w:type="spellStart"/>
      <w:r>
        <w:t>DLMTools</w:t>
      </w:r>
      <w:proofErr w:type="spellEnd"/>
      <w:r>
        <w:t xml:space="preserve"> approach would be presented to the TMGC as the preferred approach. If the TMGC and resource management are unable to commit to the time requirement for providing the input for </w:t>
      </w:r>
      <w:proofErr w:type="spellStart"/>
      <w:r>
        <w:t>DLMTools</w:t>
      </w:r>
      <w:proofErr w:type="spellEnd"/>
      <w:r>
        <w:t>, then the Rose approach could be pursued instead.</w:t>
      </w:r>
    </w:p>
    <w:p w14:paraId="5F457845" w14:textId="77777777" w:rsidR="008B7786" w:rsidRPr="002805E2" w:rsidRDefault="008B7786" w:rsidP="002805E2">
      <w:pPr>
        <w:ind w:left="360"/>
        <w:rPr>
          <w:i/>
        </w:rPr>
      </w:pPr>
      <w:r w:rsidRPr="002805E2">
        <w:rPr>
          <w:i/>
        </w:rPr>
        <w:t>Other Meeting Participants</w:t>
      </w:r>
    </w:p>
    <w:p w14:paraId="0723D832" w14:textId="4268AA0E" w:rsidR="00A67EAA" w:rsidRDefault="00644AD2" w:rsidP="005433A1">
      <w:pPr>
        <w:pStyle w:val="BodyText"/>
      </w:pPr>
      <w:r>
        <w:t xml:space="preserve">It was noted that the development of either of these approaches </w:t>
      </w:r>
      <w:r w:rsidR="00E333AC">
        <w:t xml:space="preserve">was more typical of </w:t>
      </w:r>
      <w:r>
        <w:t>the type of work that would be done for a benchma</w:t>
      </w:r>
      <w:r w:rsidR="00E333AC">
        <w:t>rk</w:t>
      </w:r>
      <w:r w:rsidR="003E3F0C">
        <w:t xml:space="preserve">. </w:t>
      </w:r>
      <w:r w:rsidR="00E333AC">
        <w:t>It was agreed that it</w:t>
      </w:r>
      <w:r>
        <w:t xml:space="preserve"> could not be completed in time to provide advice next year and that a longer term goal, such as a potential benchmark in three or four years, was more appropriate. In the interim, unless something radically differ</w:t>
      </w:r>
      <w:r w:rsidR="00E333AC">
        <w:t>ent</w:t>
      </w:r>
      <w:r>
        <w:t xml:space="preserve"> shows up in the data, the catch advice </w:t>
      </w:r>
      <w:r w:rsidR="00E333AC">
        <w:t>need not change</w:t>
      </w:r>
      <w:r w:rsidR="003E3F0C">
        <w:t xml:space="preserve">. </w:t>
      </w:r>
    </w:p>
    <w:p w14:paraId="0529A393" w14:textId="0D16B7D8" w:rsidR="00644AD2" w:rsidRDefault="00644AD2" w:rsidP="005433A1">
      <w:pPr>
        <w:pStyle w:val="BodyText"/>
      </w:pPr>
      <w:r>
        <w:t>It was asked if the assessment team were considering using the current harvest strategy and fishing mortality reference point (</w:t>
      </w:r>
      <w:proofErr w:type="spellStart"/>
      <w:r>
        <w:t>F</w:t>
      </w:r>
      <w:r w:rsidRPr="00291412">
        <w:rPr>
          <w:vertAlign w:val="subscript"/>
        </w:rPr>
        <w:t>ref</w:t>
      </w:r>
      <w:proofErr w:type="spellEnd"/>
      <w:r>
        <w:t xml:space="preserve">) as a starting point for the </w:t>
      </w:r>
      <w:proofErr w:type="spellStart"/>
      <w:r>
        <w:t>DLMTools</w:t>
      </w:r>
      <w:proofErr w:type="spellEnd"/>
      <w:r>
        <w:t xml:space="preserve"> approach</w:t>
      </w:r>
      <w:r w:rsidR="003E3F0C">
        <w:t xml:space="preserve">. </w:t>
      </w:r>
      <w:proofErr w:type="spellStart"/>
      <w:r w:rsidR="00BC5FCF">
        <w:t>DLMTools</w:t>
      </w:r>
      <w:proofErr w:type="spellEnd"/>
      <w:r w:rsidR="00BC5FCF">
        <w:t xml:space="preserve"> is a simulation approach and not a stock assessment model</w:t>
      </w:r>
      <w:r w:rsidR="0056049E">
        <w:t>,</w:t>
      </w:r>
      <w:r w:rsidR="00BC5FCF">
        <w:t xml:space="preserve"> so the approach will not provide a measure that can be compared to the negotiated </w:t>
      </w:r>
      <w:proofErr w:type="spellStart"/>
      <w:r w:rsidR="00BC5FCF">
        <w:t>F</w:t>
      </w:r>
      <w:r w:rsidR="00BC5FCF" w:rsidRPr="00291412">
        <w:rPr>
          <w:vertAlign w:val="subscript"/>
        </w:rPr>
        <w:t>ref</w:t>
      </w:r>
      <w:proofErr w:type="spellEnd"/>
      <w:r w:rsidR="003E3F0C">
        <w:t xml:space="preserve">. </w:t>
      </w:r>
      <w:r w:rsidR="00BC5FCF">
        <w:t>It does not give stock status but instead tests the harvest strategy against the metrics that have been agreed to ahead of time</w:t>
      </w:r>
      <w:r w:rsidR="003E3F0C">
        <w:t xml:space="preserve">. </w:t>
      </w:r>
      <w:r w:rsidR="00BC5FCF">
        <w:t>This means that TMGC will need to be willing to accept advice that is presented differently than they have received from VPA and ASAP models in the past</w:t>
      </w:r>
      <w:r w:rsidR="003E3F0C">
        <w:t xml:space="preserve">. </w:t>
      </w:r>
      <w:r w:rsidR="00BC5FCF">
        <w:t>Concern was expressed that MSE-type processes are usually long and laborious and that agreement on management objectives is challenging with domestic stocks, let alone international ones</w:t>
      </w:r>
      <w:r w:rsidR="003E3F0C">
        <w:t xml:space="preserve">. </w:t>
      </w:r>
      <w:r w:rsidR="00BC5FCF">
        <w:t xml:space="preserve">There was </w:t>
      </w:r>
      <w:r w:rsidR="00291412">
        <w:t xml:space="preserve">also </w:t>
      </w:r>
      <w:r w:rsidR="00BC5FCF">
        <w:t xml:space="preserve">concern expressed that it will take more than a year to get the required input </w:t>
      </w:r>
      <w:r w:rsidR="0056049E">
        <w:t>for the MPs and OM</w:t>
      </w:r>
      <w:r w:rsidR="00291412">
        <w:t xml:space="preserve">s to start the </w:t>
      </w:r>
      <w:proofErr w:type="spellStart"/>
      <w:r w:rsidR="00BC5FCF">
        <w:t>DLMTools</w:t>
      </w:r>
      <w:proofErr w:type="spellEnd"/>
      <w:r w:rsidR="00BC5FCF">
        <w:t xml:space="preserve"> approach.</w:t>
      </w:r>
    </w:p>
    <w:p w14:paraId="2974F4BA" w14:textId="77777777" w:rsidR="00BC5FCF" w:rsidRPr="008B04BB" w:rsidRDefault="00BC5FCF" w:rsidP="00354A60">
      <w:pPr>
        <w:pStyle w:val="Heading3"/>
        <w:rPr>
          <w:lang w:val="en-US"/>
        </w:rPr>
      </w:pPr>
      <w:bookmarkStart w:id="18" w:name="_Toc44061519"/>
      <w:r w:rsidRPr="008B04BB">
        <w:rPr>
          <w:lang w:val="en-US"/>
        </w:rPr>
        <w:t>Summary of Conclusions for Cod</w:t>
      </w:r>
      <w:bookmarkEnd w:id="18"/>
    </w:p>
    <w:p w14:paraId="06DD5180" w14:textId="07611395" w:rsidR="00BC5FCF" w:rsidRDefault="00BC5FCF" w:rsidP="005433A1">
      <w:pPr>
        <w:pStyle w:val="BodyText"/>
      </w:pPr>
      <w:r>
        <w:t xml:space="preserve">In the absence of a </w:t>
      </w:r>
      <w:r w:rsidR="00291412">
        <w:t>TSR</w:t>
      </w:r>
      <w:r>
        <w:t xml:space="preserve"> for cod, the assessment </w:t>
      </w:r>
      <w:r w:rsidR="00291412">
        <w:t>team was</w:t>
      </w:r>
      <w:r>
        <w:t xml:space="preserve"> asked to </w:t>
      </w:r>
      <w:proofErr w:type="spellStart"/>
      <w:r w:rsidR="00871D62">
        <w:t>summarise</w:t>
      </w:r>
      <w:proofErr w:type="spellEnd"/>
      <w:r w:rsidR="00871D62">
        <w:t xml:space="preserve"> the advice and approach that will be followed until the next benchmark for this stock</w:t>
      </w:r>
      <w:r w:rsidR="00291412">
        <w:t>. The</w:t>
      </w:r>
      <w:r w:rsidR="00871D62">
        <w:t xml:space="preserve"> summary was reviewed, edited and accepted by the reviewers, </w:t>
      </w:r>
      <w:r w:rsidR="00B3413E">
        <w:t>s</w:t>
      </w:r>
      <w:r w:rsidR="00871D62">
        <w:t>cience staff, designated managers and TRAC co-chairs at the TRAC meeting</w:t>
      </w:r>
      <w:r w:rsidR="003E3F0C">
        <w:t xml:space="preserve">. </w:t>
      </w:r>
      <w:r w:rsidR="00871D62">
        <w:t>There was also consensus for the summary from all other meeting participants.</w:t>
      </w:r>
    </w:p>
    <w:p w14:paraId="738C4B60" w14:textId="77777777" w:rsidR="00871D62" w:rsidRDefault="00871D62" w:rsidP="005433A1">
      <w:pPr>
        <w:pStyle w:val="BodyText"/>
      </w:pPr>
      <w:r>
        <w:t>It was agreed that:</w:t>
      </w:r>
    </w:p>
    <w:p w14:paraId="6834A4B3" w14:textId="2F360A2C" w:rsidR="00871D62" w:rsidRPr="00291412" w:rsidRDefault="00871D62" w:rsidP="00291412">
      <w:pPr>
        <w:widowControl w:val="0"/>
        <w:tabs>
          <w:tab w:val="left" w:pos="480"/>
          <w:tab w:val="left" w:pos="481"/>
        </w:tabs>
        <w:autoSpaceDE w:val="0"/>
        <w:autoSpaceDN w:val="0"/>
        <w:ind w:left="360" w:right="360"/>
        <w:rPr>
          <w:rFonts w:cs="Arial"/>
        </w:rPr>
      </w:pPr>
      <w:r w:rsidRPr="00291412">
        <w:t xml:space="preserve">Until a benchmark assessment occurs for Eastern Georges Bank Cod, the TRAC will annually </w:t>
      </w:r>
      <w:r w:rsidRPr="00291412">
        <w:rPr>
          <w:rFonts w:cs="Arial"/>
        </w:rPr>
        <w:t>update the biological and fishery indicators of the state of cod including condition factor, swept area survey biomass indices, fishery and survey catch at length, relative F, total mortality (Z), and catch and will identify and comment on any changes in these indicators</w:t>
      </w:r>
      <w:r w:rsidR="003E3F0C">
        <w:rPr>
          <w:rFonts w:cs="Arial"/>
        </w:rPr>
        <w:t xml:space="preserve">. </w:t>
      </w:r>
      <w:r w:rsidRPr="00291412">
        <w:t xml:space="preserve">Evidence of a persisting large recruitment event or </w:t>
      </w:r>
      <w:r w:rsidRPr="00291412">
        <w:lastRenderedPageBreak/>
        <w:t>substantial change in biomass trends for all three surveys (DFO, NMFS Fall and Spring) over multiple years would trigger a discussion of catch advice in TRAC</w:t>
      </w:r>
      <w:r w:rsidR="003E3F0C">
        <w:t xml:space="preserve">. </w:t>
      </w:r>
      <w:r w:rsidRPr="00291412">
        <w:t>In the absence of this trigger, the TRAC catch advice from 2018 will remain in effect until a benchmark occurs.</w:t>
      </w:r>
    </w:p>
    <w:p w14:paraId="469F4690" w14:textId="15F5F570" w:rsidR="00871D62" w:rsidRPr="00291412" w:rsidRDefault="00871D62" w:rsidP="00291412">
      <w:pPr>
        <w:ind w:left="360" w:right="360"/>
      </w:pPr>
      <w:r w:rsidRPr="00291412">
        <w:t>In the interim, the DLM tools approach for providing catch advice will be pursued by the assessment team</w:t>
      </w:r>
      <w:r w:rsidR="003E3F0C">
        <w:t xml:space="preserve">. </w:t>
      </w:r>
      <w:r w:rsidRPr="00291412">
        <w:t>TRAC advises that the development of the DLM tools approach would require the development of quantifiable management objectives by TMGC at an intercessional meeting in 2019</w:t>
      </w:r>
      <w:r w:rsidR="003E3F0C">
        <w:t xml:space="preserve">. </w:t>
      </w:r>
      <w:r w:rsidRPr="00291412">
        <w:t>If TMGC provides these management objectives, the assessment team will develop candidate management procedures (harvest control rules) and proposed metrics to measure against the management objectives</w:t>
      </w:r>
      <w:r w:rsidR="003E3F0C">
        <w:t xml:space="preserve">. </w:t>
      </w:r>
      <w:r w:rsidRPr="00291412">
        <w:t>This would then go back to TMGC for approval</w:t>
      </w:r>
      <w:r w:rsidR="003E3F0C">
        <w:t xml:space="preserve">. </w:t>
      </w:r>
      <w:r w:rsidRPr="00291412">
        <w:t>The assessment team would continue development of operating models throughout this time period</w:t>
      </w:r>
      <w:r w:rsidR="003E3F0C">
        <w:t xml:space="preserve">. </w:t>
      </w:r>
      <w:r w:rsidRPr="00291412">
        <w:t>This process would take several years with the goal of completion by the next benchmark.</w:t>
      </w:r>
    </w:p>
    <w:p w14:paraId="6762CC7D" w14:textId="35A0A11B" w:rsidR="00F37A1F" w:rsidRPr="00291412" w:rsidRDefault="00797F23" w:rsidP="00A740E6">
      <w:pPr>
        <w:pStyle w:val="Heading2"/>
      </w:pPr>
      <w:bookmarkStart w:id="19" w:name="_Toc44061520"/>
      <w:r w:rsidRPr="00291412">
        <w:rPr>
          <w:caps w:val="0"/>
        </w:rPr>
        <w:t>DRAFT TERMS OF REFERENCE FOR 2020</w:t>
      </w:r>
      <w:bookmarkEnd w:id="19"/>
      <w:r w:rsidRPr="00291412">
        <w:rPr>
          <w:caps w:val="0"/>
        </w:rPr>
        <w:t xml:space="preserve"> </w:t>
      </w:r>
    </w:p>
    <w:p w14:paraId="544BD0DE" w14:textId="73192827" w:rsidR="007673D6" w:rsidRDefault="00C57893" w:rsidP="005433A1">
      <w:pPr>
        <w:pStyle w:val="BodyText"/>
        <w:rPr>
          <w:lang w:val="en-CA"/>
        </w:rPr>
      </w:pPr>
      <w:r>
        <w:rPr>
          <w:lang w:val="en-CA"/>
        </w:rPr>
        <w:t xml:space="preserve">The draft terms of reference for the 2020 meeting of TRAC were presented by the TRAC co-chairs, Kirsten Clark and Tara </w:t>
      </w:r>
      <w:proofErr w:type="spellStart"/>
      <w:r>
        <w:rPr>
          <w:lang w:val="en-CA"/>
        </w:rPr>
        <w:t>Trinko</w:t>
      </w:r>
      <w:proofErr w:type="spellEnd"/>
      <w:r>
        <w:rPr>
          <w:lang w:val="en-CA"/>
        </w:rPr>
        <w:t>-Lake</w:t>
      </w:r>
      <w:r w:rsidR="003E3F0C">
        <w:rPr>
          <w:lang w:val="en-CA"/>
        </w:rPr>
        <w:t xml:space="preserve">. </w:t>
      </w:r>
      <w:r>
        <w:rPr>
          <w:lang w:val="en-CA"/>
        </w:rPr>
        <w:t>The meeting is tentatively scheduled from July 7 to 9, 2020</w:t>
      </w:r>
      <w:r w:rsidR="0056049E">
        <w:rPr>
          <w:lang w:val="en-CA"/>
        </w:rPr>
        <w:t xml:space="preserve"> in Woods Hole, MA</w:t>
      </w:r>
      <w:r w:rsidR="003E3F0C">
        <w:rPr>
          <w:lang w:val="en-CA"/>
        </w:rPr>
        <w:t xml:space="preserve">. </w:t>
      </w:r>
      <w:r w:rsidR="0056049E">
        <w:rPr>
          <w:lang w:val="en-CA"/>
        </w:rPr>
        <w:t>The draft Terms of R</w:t>
      </w:r>
      <w:r>
        <w:rPr>
          <w:lang w:val="en-CA"/>
        </w:rPr>
        <w:t>eference will be presented to TMGC for editing and approval.</w:t>
      </w:r>
    </w:p>
    <w:p w14:paraId="7B98BF58" w14:textId="751D3B32" w:rsidR="00973C00" w:rsidRPr="00973C00" w:rsidRDefault="00973C00" w:rsidP="00A87719">
      <w:pPr>
        <w:pStyle w:val="Heading2"/>
      </w:pPr>
      <w:bookmarkStart w:id="20" w:name="_Toc44061521"/>
      <w:r w:rsidRPr="00973C00">
        <w:t>CONCLUSIONS</w:t>
      </w:r>
      <w:bookmarkEnd w:id="20"/>
      <w:r w:rsidRPr="00973C00">
        <w:t xml:space="preserve"> </w:t>
      </w:r>
    </w:p>
    <w:p w14:paraId="3D5A3E5C" w14:textId="30859520" w:rsidR="00534ABE" w:rsidRDefault="00973C00" w:rsidP="005433A1">
      <w:pPr>
        <w:pStyle w:val="BodyText"/>
      </w:pPr>
      <w:r>
        <w:t xml:space="preserve">The meeting chair and TRAC co-chairs thanked participants for attending this year’s TRAC </w:t>
      </w:r>
      <w:r w:rsidR="00C57893">
        <w:t>meeting</w:t>
      </w:r>
      <w:r w:rsidR="003E3F0C">
        <w:t xml:space="preserve">. </w:t>
      </w:r>
      <w:r w:rsidR="00C57893">
        <w:t>T</w:t>
      </w:r>
      <w:r>
        <w:t xml:space="preserve">he TSRs for </w:t>
      </w:r>
      <w:r w:rsidR="0056049E">
        <w:t>Haddock and Yellowtail F</w:t>
      </w:r>
      <w:r w:rsidR="00C57893">
        <w:t>lounder will</w:t>
      </w:r>
      <w:r>
        <w:t xml:space="preserve"> be fin</w:t>
      </w:r>
      <w:r w:rsidR="00C57893">
        <w:t>alized by mid- to late-July 2019</w:t>
      </w:r>
      <w:r>
        <w:t>, based on discussio</w:t>
      </w:r>
      <w:r w:rsidR="00C57893">
        <w:t>n at the meeting, and they will</w:t>
      </w:r>
      <w:r>
        <w:t xml:space="preserve"> be made avail</w:t>
      </w:r>
      <w:r w:rsidR="00C57893">
        <w:t xml:space="preserve">able to participants </w:t>
      </w:r>
      <w:r>
        <w:t xml:space="preserve">on the </w:t>
      </w:r>
      <w:hyperlink r:id="rId26" w:history="1">
        <w:r w:rsidRPr="00DD1055">
          <w:rPr>
            <w:rStyle w:val="Hyperlink"/>
          </w:rPr>
          <w:t>NEFSC website</w:t>
        </w:r>
      </w:hyperlink>
      <w:r>
        <w:t xml:space="preserve"> </w:t>
      </w:r>
      <w:r w:rsidR="00C57893">
        <w:t xml:space="preserve">and after translation into French, on the </w:t>
      </w:r>
      <w:hyperlink r:id="rId27" w:history="1">
        <w:r w:rsidR="00C57893" w:rsidRPr="00DD1055">
          <w:rPr>
            <w:rStyle w:val="Hyperlink"/>
          </w:rPr>
          <w:t>DFO TRAC website</w:t>
        </w:r>
      </w:hyperlink>
      <w:r>
        <w:t>.</w:t>
      </w:r>
      <w:r w:rsidR="0056049E">
        <w:t xml:space="preserve"> </w:t>
      </w:r>
      <w:r>
        <w:t>The TSRs</w:t>
      </w:r>
      <w:r w:rsidR="00C57893">
        <w:t xml:space="preserve"> and TRAC advice for cod will</w:t>
      </w:r>
      <w:r>
        <w:t xml:space="preserve"> be</w:t>
      </w:r>
      <w:r w:rsidR="00C57893">
        <w:t xml:space="preserve"> presented at the September 2019</w:t>
      </w:r>
      <w:r>
        <w:t xml:space="preserve"> TMGC meeting. Working papers are to be revised, as recommended at the meetin</w:t>
      </w:r>
      <w:r w:rsidR="00C57893">
        <w:t xml:space="preserve">g, and published </w:t>
      </w:r>
      <w:r>
        <w:t>as TRAC Reference Documents in the coming months.</w:t>
      </w:r>
      <w:bookmarkEnd w:id="4"/>
    </w:p>
    <w:p w14:paraId="38346404" w14:textId="351D4140" w:rsidR="00534ABE" w:rsidRDefault="00797F23" w:rsidP="00885119">
      <w:pPr>
        <w:pStyle w:val="Heading1"/>
      </w:pPr>
      <w:bookmarkStart w:id="21" w:name="_Toc44061522"/>
      <w:r>
        <w:rPr>
          <w:caps w:val="0"/>
        </w:rPr>
        <w:t>REFERENCES CITED</w:t>
      </w:r>
      <w:bookmarkEnd w:id="21"/>
    </w:p>
    <w:p w14:paraId="6BF3B893" w14:textId="77777777" w:rsidR="00534ABE" w:rsidRDefault="00534ABE" w:rsidP="00534ABE">
      <w:pPr>
        <w:pStyle w:val="citation"/>
        <w:rPr>
          <w:rFonts w:ascii="Times New Roman" w:hAnsi="Times New Roman"/>
          <w:sz w:val="24"/>
        </w:rPr>
      </w:pPr>
      <w:r>
        <w:t xml:space="preserve">Clark, S.H., W.J. </w:t>
      </w:r>
      <w:proofErr w:type="spellStart"/>
      <w:r>
        <w:t>Overholtz</w:t>
      </w:r>
      <w:proofErr w:type="spellEnd"/>
      <w:r>
        <w:t xml:space="preserve"> and R.C. </w:t>
      </w:r>
      <w:proofErr w:type="spellStart"/>
      <w:r>
        <w:t>Hennemuth</w:t>
      </w:r>
      <w:proofErr w:type="spellEnd"/>
      <w:r>
        <w:t>. 1982. Review and assessment of the Georges Bank and Gulf of Maine haddock fishery. J. Northwest. Atl. Fish. Sci. 3: 1-27.</w:t>
      </w:r>
    </w:p>
    <w:p w14:paraId="56A39D2B" w14:textId="241ECB8B" w:rsidR="00534ABE" w:rsidRDefault="00A10C88">
      <w:pPr>
        <w:spacing w:before="0" w:after="0"/>
        <w:rPr>
          <w:szCs w:val="22"/>
          <w:lang w:val="en-CA"/>
        </w:rPr>
      </w:pPr>
      <w:r>
        <w:rPr>
          <w:szCs w:val="22"/>
          <w:lang w:val="en-CA"/>
        </w:rPr>
        <w:br w:type="page"/>
      </w:r>
    </w:p>
    <w:p w14:paraId="7DF2C1A9" w14:textId="77777777" w:rsidR="00A10C88" w:rsidRPr="00A10C88" w:rsidRDefault="00A10C88" w:rsidP="00A10C88">
      <w:pPr>
        <w:pStyle w:val="Heading1"/>
      </w:pPr>
      <w:bookmarkStart w:id="22" w:name="_Toc458763157"/>
      <w:bookmarkStart w:id="23" w:name="_Toc44061523"/>
      <w:r w:rsidRPr="00A10C88">
        <w:lastRenderedPageBreak/>
        <w:t>APPENDICES</w:t>
      </w:r>
      <w:bookmarkEnd w:id="22"/>
      <w:bookmarkEnd w:id="23"/>
    </w:p>
    <w:p w14:paraId="64FC68E1" w14:textId="72A04BE5" w:rsidR="00CB7289" w:rsidRDefault="00797F23" w:rsidP="00A10C88">
      <w:pPr>
        <w:pStyle w:val="Heading2"/>
      </w:pPr>
      <w:bookmarkStart w:id="24" w:name="_Appendix_1._"/>
      <w:bookmarkStart w:id="25" w:name="Appendix_1"/>
      <w:bookmarkStart w:id="26" w:name="_Toc114289693"/>
      <w:bookmarkStart w:id="27" w:name="_Toc114289905"/>
      <w:bookmarkStart w:id="28" w:name="_Toc169502077"/>
      <w:bookmarkStart w:id="29" w:name="_Toc169502228"/>
      <w:bookmarkStart w:id="30" w:name="_Toc170278124"/>
      <w:bookmarkStart w:id="31" w:name="_Toc170278189"/>
      <w:bookmarkStart w:id="32" w:name="_Toc176669277"/>
      <w:bookmarkStart w:id="33" w:name="_Toc458763158"/>
      <w:bookmarkStart w:id="34" w:name="_Toc44061524"/>
      <w:bookmarkEnd w:id="24"/>
      <w:r w:rsidRPr="00887BC9">
        <w:rPr>
          <w:caps w:val="0"/>
        </w:rPr>
        <w:t xml:space="preserve">APPENDIX </w:t>
      </w:r>
      <w:bookmarkEnd w:id="25"/>
      <w:r>
        <w:rPr>
          <w:caps w:val="0"/>
        </w:rPr>
        <w:t>I</w:t>
      </w:r>
      <w:r w:rsidRPr="00887BC9">
        <w:rPr>
          <w:caps w:val="0"/>
        </w:rPr>
        <w:t xml:space="preserve">. LIST OF </w:t>
      </w:r>
      <w:r>
        <w:rPr>
          <w:caps w:val="0"/>
        </w:rPr>
        <w:t xml:space="preserve">MEETING </w:t>
      </w:r>
      <w:r w:rsidRPr="00887BC9">
        <w:rPr>
          <w:caps w:val="0"/>
        </w:rPr>
        <w:t>PARTICIPANTS</w:t>
      </w:r>
      <w:bookmarkEnd w:id="26"/>
      <w:bookmarkEnd w:id="27"/>
      <w:bookmarkEnd w:id="28"/>
      <w:bookmarkEnd w:id="29"/>
      <w:bookmarkEnd w:id="30"/>
      <w:bookmarkEnd w:id="31"/>
      <w:bookmarkEnd w:id="32"/>
      <w:bookmarkEnd w:id="33"/>
      <w:bookmarkEnd w:id="34"/>
    </w:p>
    <w:tbl>
      <w:tblPr>
        <w:tblW w:w="8914" w:type="dxa"/>
        <w:tblInd w:w="-38" w:type="dxa"/>
        <w:tblLayout w:type="fixed"/>
        <w:tblLook w:val="0000" w:firstRow="0" w:lastRow="0" w:firstColumn="0" w:lastColumn="0" w:noHBand="0" w:noVBand="0"/>
      </w:tblPr>
      <w:tblGrid>
        <w:gridCol w:w="1008"/>
        <w:gridCol w:w="2448"/>
        <w:gridCol w:w="2448"/>
        <w:gridCol w:w="1003"/>
        <w:gridCol w:w="1004"/>
        <w:gridCol w:w="1003"/>
      </w:tblGrid>
      <w:tr w:rsidR="00E45C0B" w14:paraId="23960E07" w14:textId="77777777" w:rsidTr="00A87719">
        <w:trPr>
          <w:trHeight w:val="593"/>
          <w:tblHeader/>
        </w:trPr>
        <w:tc>
          <w:tcPr>
            <w:tcW w:w="1008" w:type="dxa"/>
            <w:tcBorders>
              <w:top w:val="single" w:sz="6" w:space="0" w:color="auto"/>
              <w:left w:val="single" w:sz="6" w:space="0" w:color="auto"/>
              <w:bottom w:val="double" w:sz="4" w:space="0" w:color="auto"/>
              <w:right w:val="single" w:sz="6" w:space="0" w:color="auto"/>
            </w:tcBorders>
            <w:vAlign w:val="bottom"/>
          </w:tcPr>
          <w:p w14:paraId="42505C93" w14:textId="77777777" w:rsidR="00A10C88" w:rsidRDefault="00A10C88" w:rsidP="00E45C0B">
            <w:pPr>
              <w:autoSpaceDE w:val="0"/>
              <w:autoSpaceDN w:val="0"/>
              <w:adjustRightInd w:val="0"/>
              <w:spacing w:before="0" w:after="0"/>
              <w:jc w:val="center"/>
              <w:rPr>
                <w:rFonts w:ascii="Calibri" w:hAnsi="Calibri" w:cs="Calibri"/>
                <w:b/>
                <w:bCs/>
                <w:color w:val="000000"/>
                <w:szCs w:val="22"/>
                <w:lang w:val="en-CA" w:eastAsia="en-CA"/>
              </w:rPr>
            </w:pPr>
            <w:r>
              <w:rPr>
                <w:rFonts w:ascii="Calibri" w:hAnsi="Calibri" w:cs="Calibri"/>
                <w:b/>
                <w:bCs/>
                <w:color w:val="000000"/>
                <w:szCs w:val="22"/>
                <w:lang w:val="en-CA" w:eastAsia="en-CA"/>
              </w:rPr>
              <w:t>Country</w:t>
            </w:r>
          </w:p>
        </w:tc>
        <w:tc>
          <w:tcPr>
            <w:tcW w:w="2448" w:type="dxa"/>
            <w:tcBorders>
              <w:top w:val="single" w:sz="6" w:space="0" w:color="auto"/>
              <w:left w:val="single" w:sz="6" w:space="0" w:color="auto"/>
              <w:bottom w:val="double" w:sz="4" w:space="0" w:color="auto"/>
              <w:right w:val="single" w:sz="6" w:space="0" w:color="auto"/>
            </w:tcBorders>
            <w:vAlign w:val="bottom"/>
          </w:tcPr>
          <w:p w14:paraId="1FFC4F44" w14:textId="77777777" w:rsidR="00A10C88" w:rsidRDefault="00A10C88" w:rsidP="00E45C0B">
            <w:pPr>
              <w:autoSpaceDE w:val="0"/>
              <w:autoSpaceDN w:val="0"/>
              <w:adjustRightInd w:val="0"/>
              <w:spacing w:before="0" w:after="0"/>
              <w:jc w:val="center"/>
              <w:rPr>
                <w:rFonts w:ascii="Calibri" w:hAnsi="Calibri" w:cs="Calibri"/>
                <w:b/>
                <w:bCs/>
                <w:color w:val="000000"/>
                <w:szCs w:val="22"/>
                <w:lang w:val="en-CA" w:eastAsia="en-CA"/>
              </w:rPr>
            </w:pPr>
            <w:r>
              <w:rPr>
                <w:rFonts w:ascii="Calibri" w:hAnsi="Calibri" w:cs="Calibri"/>
                <w:b/>
                <w:bCs/>
                <w:color w:val="000000"/>
                <w:szCs w:val="22"/>
                <w:lang w:val="en-CA" w:eastAsia="en-CA"/>
              </w:rPr>
              <w:t>Name</w:t>
            </w:r>
          </w:p>
        </w:tc>
        <w:tc>
          <w:tcPr>
            <w:tcW w:w="2448" w:type="dxa"/>
            <w:tcBorders>
              <w:top w:val="single" w:sz="6" w:space="0" w:color="auto"/>
              <w:left w:val="single" w:sz="6" w:space="0" w:color="auto"/>
              <w:bottom w:val="double" w:sz="4" w:space="0" w:color="auto"/>
              <w:right w:val="single" w:sz="6" w:space="0" w:color="auto"/>
            </w:tcBorders>
            <w:vAlign w:val="bottom"/>
          </w:tcPr>
          <w:p w14:paraId="2D79B1B4" w14:textId="77777777" w:rsidR="00A10C88" w:rsidRDefault="00A10C88" w:rsidP="00E45C0B">
            <w:pPr>
              <w:autoSpaceDE w:val="0"/>
              <w:autoSpaceDN w:val="0"/>
              <w:adjustRightInd w:val="0"/>
              <w:spacing w:before="0" w:after="0"/>
              <w:jc w:val="center"/>
              <w:rPr>
                <w:rFonts w:ascii="Calibri" w:hAnsi="Calibri" w:cs="Calibri"/>
                <w:b/>
                <w:bCs/>
                <w:color w:val="000000"/>
                <w:szCs w:val="22"/>
                <w:lang w:val="en-CA" w:eastAsia="en-CA"/>
              </w:rPr>
            </w:pPr>
            <w:r>
              <w:rPr>
                <w:rFonts w:ascii="Calibri" w:hAnsi="Calibri" w:cs="Calibri"/>
                <w:b/>
                <w:bCs/>
                <w:color w:val="000000"/>
                <w:szCs w:val="22"/>
                <w:lang w:val="en-CA" w:eastAsia="en-CA"/>
              </w:rPr>
              <w:t>Affiliation</w:t>
            </w:r>
          </w:p>
        </w:tc>
        <w:tc>
          <w:tcPr>
            <w:tcW w:w="1003" w:type="dxa"/>
            <w:tcBorders>
              <w:top w:val="single" w:sz="6" w:space="0" w:color="auto"/>
              <w:left w:val="single" w:sz="6" w:space="0" w:color="auto"/>
              <w:bottom w:val="double" w:sz="4" w:space="0" w:color="auto"/>
              <w:right w:val="single" w:sz="6" w:space="0" w:color="auto"/>
            </w:tcBorders>
            <w:vAlign w:val="bottom"/>
          </w:tcPr>
          <w:p w14:paraId="30A3239A" w14:textId="77777777" w:rsidR="00A10C88" w:rsidRDefault="00A10C88" w:rsidP="00E45C0B">
            <w:pPr>
              <w:autoSpaceDE w:val="0"/>
              <w:autoSpaceDN w:val="0"/>
              <w:adjustRightInd w:val="0"/>
              <w:spacing w:before="0" w:after="0"/>
              <w:jc w:val="center"/>
              <w:rPr>
                <w:rFonts w:ascii="Calibri" w:hAnsi="Calibri" w:cs="Calibri"/>
                <w:b/>
                <w:bCs/>
                <w:color w:val="000000"/>
                <w:szCs w:val="22"/>
                <w:lang w:val="en-CA" w:eastAsia="en-CA"/>
              </w:rPr>
            </w:pPr>
            <w:r>
              <w:rPr>
                <w:rFonts w:ascii="Calibri" w:hAnsi="Calibri" w:cs="Calibri"/>
                <w:b/>
                <w:bCs/>
                <w:color w:val="000000"/>
                <w:szCs w:val="22"/>
                <w:lang w:val="en-CA" w:eastAsia="en-CA"/>
              </w:rPr>
              <w:t>Day 1 (Tues)</w:t>
            </w:r>
          </w:p>
        </w:tc>
        <w:tc>
          <w:tcPr>
            <w:tcW w:w="1004" w:type="dxa"/>
            <w:tcBorders>
              <w:top w:val="single" w:sz="6" w:space="0" w:color="auto"/>
              <w:left w:val="single" w:sz="6" w:space="0" w:color="auto"/>
              <w:bottom w:val="double" w:sz="4" w:space="0" w:color="auto"/>
              <w:right w:val="single" w:sz="6" w:space="0" w:color="auto"/>
            </w:tcBorders>
            <w:vAlign w:val="bottom"/>
          </w:tcPr>
          <w:p w14:paraId="7D99A348" w14:textId="77777777" w:rsidR="00A10C88" w:rsidRDefault="00A10C88" w:rsidP="00E45C0B">
            <w:pPr>
              <w:autoSpaceDE w:val="0"/>
              <w:autoSpaceDN w:val="0"/>
              <w:adjustRightInd w:val="0"/>
              <w:spacing w:before="0" w:after="0"/>
              <w:jc w:val="center"/>
              <w:rPr>
                <w:rFonts w:ascii="Calibri" w:hAnsi="Calibri" w:cs="Calibri"/>
                <w:b/>
                <w:bCs/>
                <w:color w:val="000000"/>
                <w:szCs w:val="22"/>
                <w:lang w:val="en-CA" w:eastAsia="en-CA"/>
              </w:rPr>
            </w:pPr>
            <w:r>
              <w:rPr>
                <w:rFonts w:ascii="Calibri" w:hAnsi="Calibri" w:cs="Calibri"/>
                <w:b/>
                <w:bCs/>
                <w:color w:val="000000"/>
                <w:szCs w:val="22"/>
                <w:lang w:val="en-CA" w:eastAsia="en-CA"/>
              </w:rPr>
              <w:t>Day 2 (Wed)</w:t>
            </w:r>
          </w:p>
        </w:tc>
        <w:tc>
          <w:tcPr>
            <w:tcW w:w="1003" w:type="dxa"/>
            <w:tcBorders>
              <w:top w:val="single" w:sz="6" w:space="0" w:color="auto"/>
              <w:left w:val="single" w:sz="6" w:space="0" w:color="auto"/>
              <w:bottom w:val="double" w:sz="4" w:space="0" w:color="auto"/>
              <w:right w:val="single" w:sz="6" w:space="0" w:color="auto"/>
            </w:tcBorders>
            <w:vAlign w:val="bottom"/>
          </w:tcPr>
          <w:p w14:paraId="0A1A0748" w14:textId="77777777" w:rsidR="00A10C88" w:rsidRDefault="00A10C88" w:rsidP="00E45C0B">
            <w:pPr>
              <w:autoSpaceDE w:val="0"/>
              <w:autoSpaceDN w:val="0"/>
              <w:adjustRightInd w:val="0"/>
              <w:spacing w:before="0" w:after="0"/>
              <w:jc w:val="center"/>
              <w:rPr>
                <w:rFonts w:ascii="Calibri" w:hAnsi="Calibri" w:cs="Calibri"/>
                <w:b/>
                <w:bCs/>
                <w:color w:val="000000"/>
                <w:szCs w:val="22"/>
                <w:lang w:val="en-CA" w:eastAsia="en-CA"/>
              </w:rPr>
            </w:pPr>
            <w:r>
              <w:rPr>
                <w:rFonts w:ascii="Calibri" w:hAnsi="Calibri" w:cs="Calibri"/>
                <w:b/>
                <w:bCs/>
                <w:color w:val="000000"/>
                <w:szCs w:val="22"/>
                <w:lang w:val="en-CA" w:eastAsia="en-CA"/>
              </w:rPr>
              <w:t>Day 3 (Thurs)</w:t>
            </w:r>
          </w:p>
        </w:tc>
      </w:tr>
      <w:tr w:rsidR="00E45C0B" w14:paraId="715742E6" w14:textId="77777777" w:rsidTr="00A87719">
        <w:trPr>
          <w:trHeight w:val="302"/>
        </w:trPr>
        <w:tc>
          <w:tcPr>
            <w:tcW w:w="1008" w:type="dxa"/>
            <w:tcBorders>
              <w:top w:val="double" w:sz="4" w:space="0" w:color="auto"/>
              <w:left w:val="single" w:sz="6" w:space="0" w:color="auto"/>
              <w:bottom w:val="single" w:sz="6" w:space="0" w:color="auto"/>
              <w:right w:val="single" w:sz="6" w:space="0" w:color="auto"/>
            </w:tcBorders>
          </w:tcPr>
          <w:p w14:paraId="4EA4F736"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US</w:t>
            </w:r>
          </w:p>
        </w:tc>
        <w:tc>
          <w:tcPr>
            <w:tcW w:w="2448" w:type="dxa"/>
            <w:tcBorders>
              <w:top w:val="double" w:sz="4" w:space="0" w:color="auto"/>
              <w:left w:val="single" w:sz="6" w:space="0" w:color="auto"/>
              <w:bottom w:val="single" w:sz="6" w:space="0" w:color="auto"/>
              <w:right w:val="single" w:sz="6" w:space="0" w:color="auto"/>
            </w:tcBorders>
          </w:tcPr>
          <w:p w14:paraId="29ACB633"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Alexander, Terry</w:t>
            </w:r>
          </w:p>
        </w:tc>
        <w:tc>
          <w:tcPr>
            <w:tcW w:w="2448" w:type="dxa"/>
            <w:tcBorders>
              <w:top w:val="double" w:sz="4" w:space="0" w:color="auto"/>
              <w:left w:val="single" w:sz="6" w:space="0" w:color="auto"/>
              <w:bottom w:val="single" w:sz="6" w:space="0" w:color="auto"/>
              <w:right w:val="single" w:sz="6" w:space="0" w:color="auto"/>
            </w:tcBorders>
          </w:tcPr>
          <w:p w14:paraId="61D6855D" w14:textId="77777777" w:rsidR="00A10C88" w:rsidRDefault="00E45C0B">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NEFMC</w:t>
            </w:r>
          </w:p>
        </w:tc>
        <w:tc>
          <w:tcPr>
            <w:tcW w:w="1003" w:type="dxa"/>
            <w:tcBorders>
              <w:top w:val="double" w:sz="4" w:space="0" w:color="auto"/>
              <w:left w:val="single" w:sz="6" w:space="0" w:color="auto"/>
              <w:bottom w:val="single" w:sz="6" w:space="0" w:color="auto"/>
              <w:right w:val="single" w:sz="6" w:space="0" w:color="auto"/>
            </w:tcBorders>
          </w:tcPr>
          <w:p w14:paraId="7DC71B85"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4" w:type="dxa"/>
            <w:tcBorders>
              <w:top w:val="double" w:sz="4" w:space="0" w:color="auto"/>
              <w:left w:val="single" w:sz="6" w:space="0" w:color="auto"/>
              <w:bottom w:val="single" w:sz="6" w:space="0" w:color="auto"/>
              <w:right w:val="single" w:sz="6" w:space="0" w:color="auto"/>
            </w:tcBorders>
          </w:tcPr>
          <w:p w14:paraId="5A77BC3E" w14:textId="77777777" w:rsidR="00A10C88" w:rsidRDefault="00A10C88">
            <w:pPr>
              <w:autoSpaceDE w:val="0"/>
              <w:autoSpaceDN w:val="0"/>
              <w:adjustRightInd w:val="0"/>
              <w:spacing w:before="0" w:after="0"/>
              <w:jc w:val="center"/>
              <w:rPr>
                <w:rFonts w:cs="Arial"/>
                <w:color w:val="000000"/>
                <w:sz w:val="20"/>
                <w:lang w:val="en-CA" w:eastAsia="en-CA"/>
              </w:rPr>
            </w:pPr>
            <w:r>
              <w:rPr>
                <w:rFonts w:cs="Arial"/>
                <w:color w:val="000000"/>
                <w:sz w:val="20"/>
                <w:lang w:val="en-CA" w:eastAsia="en-CA"/>
              </w:rPr>
              <w:t>x</w:t>
            </w:r>
          </w:p>
        </w:tc>
        <w:tc>
          <w:tcPr>
            <w:tcW w:w="1003" w:type="dxa"/>
            <w:tcBorders>
              <w:top w:val="double" w:sz="4" w:space="0" w:color="auto"/>
              <w:left w:val="single" w:sz="6" w:space="0" w:color="auto"/>
              <w:bottom w:val="single" w:sz="6" w:space="0" w:color="auto"/>
              <w:right w:val="single" w:sz="6" w:space="0" w:color="auto"/>
            </w:tcBorders>
          </w:tcPr>
          <w:p w14:paraId="3E7D8B56" w14:textId="020EEDF3" w:rsidR="00A10C88" w:rsidRDefault="0089006E">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w:t>
            </w:r>
          </w:p>
        </w:tc>
      </w:tr>
      <w:tr w:rsidR="00E45C0B" w14:paraId="701B5109" w14:textId="77777777" w:rsidTr="00E45C0B">
        <w:trPr>
          <w:trHeight w:val="290"/>
        </w:trPr>
        <w:tc>
          <w:tcPr>
            <w:tcW w:w="1008" w:type="dxa"/>
            <w:tcBorders>
              <w:top w:val="single" w:sz="6" w:space="0" w:color="auto"/>
              <w:left w:val="single" w:sz="6" w:space="0" w:color="auto"/>
              <w:bottom w:val="single" w:sz="6" w:space="0" w:color="auto"/>
              <w:right w:val="single" w:sz="6" w:space="0" w:color="auto"/>
            </w:tcBorders>
          </w:tcPr>
          <w:p w14:paraId="3BAE5788"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Canada</w:t>
            </w:r>
          </w:p>
        </w:tc>
        <w:tc>
          <w:tcPr>
            <w:tcW w:w="2448" w:type="dxa"/>
            <w:tcBorders>
              <w:top w:val="single" w:sz="6" w:space="0" w:color="auto"/>
              <w:left w:val="single" w:sz="6" w:space="0" w:color="auto"/>
              <w:bottom w:val="single" w:sz="6" w:space="0" w:color="auto"/>
              <w:right w:val="single" w:sz="6" w:space="0" w:color="auto"/>
            </w:tcBorders>
          </w:tcPr>
          <w:p w14:paraId="2A60DE7D" w14:textId="77777777" w:rsidR="00A10C88" w:rsidRDefault="00A10C88">
            <w:pPr>
              <w:autoSpaceDE w:val="0"/>
              <w:autoSpaceDN w:val="0"/>
              <w:adjustRightInd w:val="0"/>
              <w:spacing w:before="0" w:after="0"/>
              <w:rPr>
                <w:rFonts w:ascii="Calibri" w:hAnsi="Calibri" w:cs="Calibri"/>
                <w:color w:val="000000"/>
                <w:szCs w:val="22"/>
                <w:lang w:val="en-CA" w:eastAsia="en-CA"/>
              </w:rPr>
            </w:pPr>
            <w:proofErr w:type="spellStart"/>
            <w:r>
              <w:rPr>
                <w:rFonts w:ascii="Calibri" w:hAnsi="Calibri" w:cs="Calibri"/>
                <w:color w:val="000000"/>
                <w:szCs w:val="22"/>
                <w:lang w:val="en-CA" w:eastAsia="en-CA"/>
              </w:rPr>
              <w:t>Andrushchenko</w:t>
            </w:r>
            <w:proofErr w:type="spellEnd"/>
            <w:r>
              <w:rPr>
                <w:rFonts w:ascii="Calibri" w:hAnsi="Calibri" w:cs="Calibri"/>
                <w:color w:val="000000"/>
                <w:szCs w:val="22"/>
                <w:lang w:val="en-CA" w:eastAsia="en-CA"/>
              </w:rPr>
              <w:t>, Irene</w:t>
            </w:r>
          </w:p>
        </w:tc>
        <w:tc>
          <w:tcPr>
            <w:tcW w:w="2448" w:type="dxa"/>
            <w:tcBorders>
              <w:top w:val="single" w:sz="6" w:space="0" w:color="auto"/>
              <w:left w:val="single" w:sz="6" w:space="0" w:color="auto"/>
              <w:bottom w:val="single" w:sz="6" w:space="0" w:color="auto"/>
              <w:right w:val="single" w:sz="6" w:space="0" w:color="auto"/>
            </w:tcBorders>
          </w:tcPr>
          <w:p w14:paraId="61443255"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 xml:space="preserve">DFO Maritimes </w:t>
            </w:r>
          </w:p>
        </w:tc>
        <w:tc>
          <w:tcPr>
            <w:tcW w:w="1003" w:type="dxa"/>
            <w:tcBorders>
              <w:top w:val="single" w:sz="6" w:space="0" w:color="auto"/>
              <w:left w:val="single" w:sz="6" w:space="0" w:color="auto"/>
              <w:bottom w:val="single" w:sz="6" w:space="0" w:color="auto"/>
              <w:right w:val="single" w:sz="6" w:space="0" w:color="auto"/>
            </w:tcBorders>
          </w:tcPr>
          <w:p w14:paraId="104BC751"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4" w:type="dxa"/>
            <w:tcBorders>
              <w:top w:val="single" w:sz="6" w:space="0" w:color="auto"/>
              <w:left w:val="single" w:sz="6" w:space="0" w:color="auto"/>
              <w:bottom w:val="single" w:sz="6" w:space="0" w:color="auto"/>
              <w:right w:val="single" w:sz="6" w:space="0" w:color="auto"/>
            </w:tcBorders>
          </w:tcPr>
          <w:p w14:paraId="462A1923"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3" w:type="dxa"/>
            <w:tcBorders>
              <w:top w:val="single" w:sz="6" w:space="0" w:color="auto"/>
              <w:left w:val="single" w:sz="6" w:space="0" w:color="auto"/>
              <w:bottom w:val="single" w:sz="6" w:space="0" w:color="auto"/>
              <w:right w:val="single" w:sz="6" w:space="0" w:color="auto"/>
            </w:tcBorders>
          </w:tcPr>
          <w:p w14:paraId="58131BB8" w14:textId="11CB4418" w:rsidR="00A10C88" w:rsidRDefault="0089006E">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w:t>
            </w:r>
          </w:p>
        </w:tc>
      </w:tr>
      <w:tr w:rsidR="00E45C0B" w14:paraId="2AF0D9C1" w14:textId="77777777" w:rsidTr="00E45C0B">
        <w:trPr>
          <w:trHeight w:val="290"/>
        </w:trPr>
        <w:tc>
          <w:tcPr>
            <w:tcW w:w="1008" w:type="dxa"/>
            <w:tcBorders>
              <w:top w:val="single" w:sz="6" w:space="0" w:color="auto"/>
              <w:left w:val="single" w:sz="6" w:space="0" w:color="auto"/>
              <w:bottom w:val="single" w:sz="6" w:space="0" w:color="auto"/>
              <w:right w:val="single" w:sz="6" w:space="0" w:color="auto"/>
            </w:tcBorders>
          </w:tcPr>
          <w:p w14:paraId="6300B563"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Canada</w:t>
            </w:r>
          </w:p>
        </w:tc>
        <w:tc>
          <w:tcPr>
            <w:tcW w:w="2448" w:type="dxa"/>
            <w:tcBorders>
              <w:top w:val="single" w:sz="6" w:space="0" w:color="auto"/>
              <w:left w:val="single" w:sz="6" w:space="0" w:color="auto"/>
              <w:bottom w:val="single" w:sz="6" w:space="0" w:color="auto"/>
              <w:right w:val="single" w:sz="6" w:space="0" w:color="auto"/>
            </w:tcBorders>
          </w:tcPr>
          <w:p w14:paraId="2D3B7F31"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Archibald, Devan</w:t>
            </w:r>
          </w:p>
        </w:tc>
        <w:tc>
          <w:tcPr>
            <w:tcW w:w="2448" w:type="dxa"/>
            <w:tcBorders>
              <w:top w:val="single" w:sz="6" w:space="0" w:color="auto"/>
              <w:left w:val="single" w:sz="6" w:space="0" w:color="auto"/>
              <w:bottom w:val="single" w:sz="6" w:space="0" w:color="auto"/>
              <w:right w:val="single" w:sz="6" w:space="0" w:color="auto"/>
            </w:tcBorders>
          </w:tcPr>
          <w:p w14:paraId="5E8B47AD"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NGO</w:t>
            </w:r>
          </w:p>
        </w:tc>
        <w:tc>
          <w:tcPr>
            <w:tcW w:w="1003" w:type="dxa"/>
            <w:tcBorders>
              <w:top w:val="single" w:sz="6" w:space="0" w:color="auto"/>
              <w:left w:val="single" w:sz="6" w:space="0" w:color="auto"/>
              <w:bottom w:val="single" w:sz="6" w:space="0" w:color="auto"/>
              <w:right w:val="single" w:sz="6" w:space="0" w:color="auto"/>
            </w:tcBorders>
          </w:tcPr>
          <w:p w14:paraId="20499FA0" w14:textId="3E0004C5" w:rsidR="00A10C88" w:rsidRDefault="0089006E">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w:t>
            </w:r>
          </w:p>
        </w:tc>
        <w:tc>
          <w:tcPr>
            <w:tcW w:w="1004" w:type="dxa"/>
            <w:tcBorders>
              <w:top w:val="single" w:sz="6" w:space="0" w:color="auto"/>
              <w:left w:val="single" w:sz="6" w:space="0" w:color="auto"/>
              <w:bottom w:val="single" w:sz="6" w:space="0" w:color="auto"/>
              <w:right w:val="single" w:sz="6" w:space="0" w:color="auto"/>
            </w:tcBorders>
          </w:tcPr>
          <w:p w14:paraId="437D868E" w14:textId="21C3BEF4" w:rsidR="00A10C88" w:rsidRDefault="0089006E">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w:t>
            </w:r>
          </w:p>
        </w:tc>
        <w:tc>
          <w:tcPr>
            <w:tcW w:w="1003" w:type="dxa"/>
            <w:tcBorders>
              <w:top w:val="single" w:sz="6" w:space="0" w:color="auto"/>
              <w:left w:val="single" w:sz="6" w:space="0" w:color="auto"/>
              <w:bottom w:val="single" w:sz="6" w:space="0" w:color="auto"/>
              <w:right w:val="single" w:sz="6" w:space="0" w:color="auto"/>
            </w:tcBorders>
          </w:tcPr>
          <w:p w14:paraId="419FCFBA"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r>
      <w:tr w:rsidR="00E45C0B" w14:paraId="18759B1A" w14:textId="77777777" w:rsidTr="00E45C0B">
        <w:trPr>
          <w:trHeight w:val="290"/>
        </w:trPr>
        <w:tc>
          <w:tcPr>
            <w:tcW w:w="1008" w:type="dxa"/>
            <w:tcBorders>
              <w:top w:val="single" w:sz="6" w:space="0" w:color="auto"/>
              <w:left w:val="single" w:sz="6" w:space="0" w:color="auto"/>
              <w:bottom w:val="single" w:sz="6" w:space="0" w:color="auto"/>
              <w:right w:val="single" w:sz="6" w:space="0" w:color="auto"/>
            </w:tcBorders>
          </w:tcPr>
          <w:p w14:paraId="74DE8A04"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Canada</w:t>
            </w:r>
          </w:p>
        </w:tc>
        <w:tc>
          <w:tcPr>
            <w:tcW w:w="2448" w:type="dxa"/>
            <w:tcBorders>
              <w:top w:val="single" w:sz="6" w:space="0" w:color="auto"/>
              <w:left w:val="single" w:sz="6" w:space="0" w:color="auto"/>
              <w:bottom w:val="single" w:sz="6" w:space="0" w:color="auto"/>
              <w:right w:val="single" w:sz="6" w:space="0" w:color="auto"/>
            </w:tcBorders>
          </w:tcPr>
          <w:p w14:paraId="1861B18B"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Barrett, Melanie</w:t>
            </w:r>
          </w:p>
        </w:tc>
        <w:tc>
          <w:tcPr>
            <w:tcW w:w="2448" w:type="dxa"/>
            <w:tcBorders>
              <w:top w:val="single" w:sz="6" w:space="0" w:color="auto"/>
              <w:left w:val="single" w:sz="6" w:space="0" w:color="auto"/>
              <w:bottom w:val="single" w:sz="6" w:space="0" w:color="auto"/>
              <w:right w:val="single" w:sz="6" w:space="0" w:color="auto"/>
            </w:tcBorders>
          </w:tcPr>
          <w:p w14:paraId="76E4DF29"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 xml:space="preserve">DFO Maritimes </w:t>
            </w:r>
          </w:p>
        </w:tc>
        <w:tc>
          <w:tcPr>
            <w:tcW w:w="1003" w:type="dxa"/>
            <w:tcBorders>
              <w:top w:val="single" w:sz="6" w:space="0" w:color="auto"/>
              <w:left w:val="single" w:sz="6" w:space="0" w:color="auto"/>
              <w:bottom w:val="single" w:sz="6" w:space="0" w:color="auto"/>
              <w:right w:val="single" w:sz="6" w:space="0" w:color="auto"/>
            </w:tcBorders>
          </w:tcPr>
          <w:p w14:paraId="4552148A"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4" w:type="dxa"/>
            <w:tcBorders>
              <w:top w:val="single" w:sz="6" w:space="0" w:color="auto"/>
              <w:left w:val="single" w:sz="6" w:space="0" w:color="auto"/>
              <w:bottom w:val="single" w:sz="6" w:space="0" w:color="auto"/>
              <w:right w:val="single" w:sz="6" w:space="0" w:color="auto"/>
            </w:tcBorders>
          </w:tcPr>
          <w:p w14:paraId="78EADAA8"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3" w:type="dxa"/>
            <w:tcBorders>
              <w:top w:val="single" w:sz="6" w:space="0" w:color="auto"/>
              <w:left w:val="single" w:sz="6" w:space="0" w:color="auto"/>
              <w:bottom w:val="single" w:sz="6" w:space="0" w:color="auto"/>
              <w:right w:val="single" w:sz="6" w:space="0" w:color="auto"/>
            </w:tcBorders>
          </w:tcPr>
          <w:p w14:paraId="64D347C7"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r>
      <w:tr w:rsidR="00E45C0B" w14:paraId="625E6386" w14:textId="77777777" w:rsidTr="00E45C0B">
        <w:trPr>
          <w:trHeight w:val="290"/>
        </w:trPr>
        <w:tc>
          <w:tcPr>
            <w:tcW w:w="1008" w:type="dxa"/>
            <w:tcBorders>
              <w:top w:val="single" w:sz="6" w:space="0" w:color="auto"/>
              <w:left w:val="single" w:sz="6" w:space="0" w:color="auto"/>
              <w:bottom w:val="single" w:sz="6" w:space="0" w:color="auto"/>
              <w:right w:val="single" w:sz="6" w:space="0" w:color="auto"/>
            </w:tcBorders>
          </w:tcPr>
          <w:p w14:paraId="72CBE6F2"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Canada</w:t>
            </w:r>
          </w:p>
        </w:tc>
        <w:tc>
          <w:tcPr>
            <w:tcW w:w="2448" w:type="dxa"/>
            <w:tcBorders>
              <w:top w:val="single" w:sz="6" w:space="0" w:color="auto"/>
              <w:left w:val="single" w:sz="6" w:space="0" w:color="auto"/>
              <w:bottom w:val="single" w:sz="6" w:space="0" w:color="auto"/>
              <w:right w:val="single" w:sz="6" w:space="0" w:color="auto"/>
            </w:tcBorders>
          </w:tcPr>
          <w:p w14:paraId="1367BC17" w14:textId="77777777" w:rsidR="00A10C88" w:rsidRDefault="00A10C88">
            <w:pPr>
              <w:autoSpaceDE w:val="0"/>
              <w:autoSpaceDN w:val="0"/>
              <w:adjustRightInd w:val="0"/>
              <w:spacing w:before="0" w:after="0"/>
              <w:rPr>
                <w:rFonts w:ascii="Calibri" w:hAnsi="Calibri" w:cs="Calibri"/>
                <w:color w:val="000000"/>
                <w:szCs w:val="22"/>
                <w:lang w:val="en-CA" w:eastAsia="en-CA"/>
              </w:rPr>
            </w:pPr>
            <w:proofErr w:type="spellStart"/>
            <w:r>
              <w:rPr>
                <w:rFonts w:ascii="Calibri" w:hAnsi="Calibri" w:cs="Calibri"/>
                <w:color w:val="000000"/>
                <w:szCs w:val="22"/>
                <w:lang w:val="en-CA" w:eastAsia="en-CA"/>
              </w:rPr>
              <w:t>Belliveau</w:t>
            </w:r>
            <w:proofErr w:type="spellEnd"/>
            <w:r>
              <w:rPr>
                <w:rFonts w:ascii="Calibri" w:hAnsi="Calibri" w:cs="Calibri"/>
                <w:color w:val="000000"/>
                <w:szCs w:val="22"/>
                <w:lang w:val="en-CA" w:eastAsia="en-CA"/>
              </w:rPr>
              <w:t>, Ray</w:t>
            </w:r>
          </w:p>
        </w:tc>
        <w:tc>
          <w:tcPr>
            <w:tcW w:w="2448" w:type="dxa"/>
            <w:tcBorders>
              <w:top w:val="single" w:sz="6" w:space="0" w:color="auto"/>
              <w:left w:val="single" w:sz="6" w:space="0" w:color="auto"/>
              <w:bottom w:val="single" w:sz="6" w:space="0" w:color="auto"/>
              <w:right w:val="single" w:sz="6" w:space="0" w:color="auto"/>
            </w:tcBorders>
          </w:tcPr>
          <w:p w14:paraId="0DA780AC"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Industry</w:t>
            </w:r>
          </w:p>
        </w:tc>
        <w:tc>
          <w:tcPr>
            <w:tcW w:w="1003" w:type="dxa"/>
            <w:tcBorders>
              <w:top w:val="single" w:sz="6" w:space="0" w:color="auto"/>
              <w:left w:val="single" w:sz="6" w:space="0" w:color="auto"/>
              <w:bottom w:val="single" w:sz="6" w:space="0" w:color="auto"/>
              <w:right w:val="single" w:sz="6" w:space="0" w:color="auto"/>
            </w:tcBorders>
          </w:tcPr>
          <w:p w14:paraId="6DFFF071"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4" w:type="dxa"/>
            <w:tcBorders>
              <w:top w:val="single" w:sz="6" w:space="0" w:color="auto"/>
              <w:left w:val="single" w:sz="6" w:space="0" w:color="auto"/>
              <w:bottom w:val="single" w:sz="6" w:space="0" w:color="auto"/>
              <w:right w:val="single" w:sz="6" w:space="0" w:color="auto"/>
            </w:tcBorders>
          </w:tcPr>
          <w:p w14:paraId="0EB81477"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3" w:type="dxa"/>
            <w:tcBorders>
              <w:top w:val="single" w:sz="6" w:space="0" w:color="auto"/>
              <w:left w:val="single" w:sz="6" w:space="0" w:color="auto"/>
              <w:bottom w:val="single" w:sz="6" w:space="0" w:color="auto"/>
              <w:right w:val="single" w:sz="6" w:space="0" w:color="auto"/>
            </w:tcBorders>
          </w:tcPr>
          <w:p w14:paraId="46F5E4FC"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r>
      <w:tr w:rsidR="00E45C0B" w14:paraId="5ED910C0" w14:textId="77777777" w:rsidTr="00E45C0B">
        <w:trPr>
          <w:trHeight w:val="290"/>
        </w:trPr>
        <w:tc>
          <w:tcPr>
            <w:tcW w:w="1008" w:type="dxa"/>
            <w:tcBorders>
              <w:top w:val="single" w:sz="6" w:space="0" w:color="auto"/>
              <w:left w:val="single" w:sz="6" w:space="0" w:color="auto"/>
              <w:bottom w:val="single" w:sz="6" w:space="0" w:color="auto"/>
              <w:right w:val="single" w:sz="6" w:space="0" w:color="auto"/>
            </w:tcBorders>
          </w:tcPr>
          <w:p w14:paraId="5A1CEC90"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US</w:t>
            </w:r>
          </w:p>
        </w:tc>
        <w:tc>
          <w:tcPr>
            <w:tcW w:w="2448" w:type="dxa"/>
            <w:tcBorders>
              <w:top w:val="single" w:sz="6" w:space="0" w:color="auto"/>
              <w:left w:val="single" w:sz="6" w:space="0" w:color="auto"/>
              <w:bottom w:val="single" w:sz="6" w:space="0" w:color="auto"/>
              <w:right w:val="single" w:sz="6" w:space="0" w:color="auto"/>
            </w:tcBorders>
          </w:tcPr>
          <w:p w14:paraId="22AC24D5"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Brooks, Liz</w:t>
            </w:r>
          </w:p>
        </w:tc>
        <w:tc>
          <w:tcPr>
            <w:tcW w:w="2448" w:type="dxa"/>
            <w:tcBorders>
              <w:top w:val="single" w:sz="6" w:space="0" w:color="auto"/>
              <w:left w:val="single" w:sz="6" w:space="0" w:color="auto"/>
              <w:bottom w:val="single" w:sz="6" w:space="0" w:color="auto"/>
              <w:right w:val="single" w:sz="6" w:space="0" w:color="auto"/>
            </w:tcBorders>
          </w:tcPr>
          <w:p w14:paraId="410DD506"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NOAA / NFMS / NEFSC</w:t>
            </w:r>
          </w:p>
        </w:tc>
        <w:tc>
          <w:tcPr>
            <w:tcW w:w="1003" w:type="dxa"/>
            <w:tcBorders>
              <w:top w:val="single" w:sz="6" w:space="0" w:color="auto"/>
              <w:left w:val="single" w:sz="6" w:space="0" w:color="auto"/>
              <w:bottom w:val="single" w:sz="6" w:space="0" w:color="auto"/>
              <w:right w:val="single" w:sz="6" w:space="0" w:color="auto"/>
            </w:tcBorders>
          </w:tcPr>
          <w:p w14:paraId="4AB21242"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4" w:type="dxa"/>
            <w:tcBorders>
              <w:top w:val="single" w:sz="6" w:space="0" w:color="auto"/>
              <w:left w:val="single" w:sz="6" w:space="0" w:color="auto"/>
              <w:bottom w:val="single" w:sz="6" w:space="0" w:color="auto"/>
              <w:right w:val="single" w:sz="6" w:space="0" w:color="auto"/>
            </w:tcBorders>
          </w:tcPr>
          <w:p w14:paraId="2C7347F8"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3" w:type="dxa"/>
            <w:tcBorders>
              <w:top w:val="single" w:sz="6" w:space="0" w:color="auto"/>
              <w:left w:val="single" w:sz="6" w:space="0" w:color="auto"/>
              <w:bottom w:val="single" w:sz="6" w:space="0" w:color="auto"/>
              <w:right w:val="single" w:sz="6" w:space="0" w:color="auto"/>
            </w:tcBorders>
          </w:tcPr>
          <w:p w14:paraId="5D9CAE56"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r>
      <w:tr w:rsidR="00E45C0B" w14:paraId="1884D66C" w14:textId="77777777" w:rsidTr="00E45C0B">
        <w:trPr>
          <w:trHeight w:val="290"/>
        </w:trPr>
        <w:tc>
          <w:tcPr>
            <w:tcW w:w="1008" w:type="dxa"/>
            <w:tcBorders>
              <w:top w:val="single" w:sz="6" w:space="0" w:color="auto"/>
              <w:left w:val="single" w:sz="6" w:space="0" w:color="auto"/>
              <w:bottom w:val="single" w:sz="6" w:space="0" w:color="auto"/>
              <w:right w:val="single" w:sz="6" w:space="0" w:color="auto"/>
            </w:tcBorders>
          </w:tcPr>
          <w:p w14:paraId="48648B16"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US</w:t>
            </w:r>
          </w:p>
        </w:tc>
        <w:tc>
          <w:tcPr>
            <w:tcW w:w="2448" w:type="dxa"/>
            <w:tcBorders>
              <w:top w:val="single" w:sz="6" w:space="0" w:color="auto"/>
              <w:left w:val="single" w:sz="6" w:space="0" w:color="auto"/>
              <w:bottom w:val="single" w:sz="6" w:space="0" w:color="auto"/>
              <w:right w:val="single" w:sz="6" w:space="0" w:color="auto"/>
            </w:tcBorders>
          </w:tcPr>
          <w:p w14:paraId="5438B610"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Christopher, Pete</w:t>
            </w:r>
          </w:p>
        </w:tc>
        <w:tc>
          <w:tcPr>
            <w:tcW w:w="2448" w:type="dxa"/>
            <w:tcBorders>
              <w:top w:val="single" w:sz="6" w:space="0" w:color="auto"/>
              <w:left w:val="single" w:sz="6" w:space="0" w:color="auto"/>
              <w:bottom w:val="single" w:sz="6" w:space="0" w:color="auto"/>
              <w:right w:val="single" w:sz="6" w:space="0" w:color="auto"/>
            </w:tcBorders>
          </w:tcPr>
          <w:p w14:paraId="1EAD734F" w14:textId="7F4210C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NOAA (web)</w:t>
            </w:r>
          </w:p>
        </w:tc>
        <w:tc>
          <w:tcPr>
            <w:tcW w:w="1003" w:type="dxa"/>
            <w:tcBorders>
              <w:top w:val="single" w:sz="6" w:space="0" w:color="auto"/>
              <w:left w:val="single" w:sz="6" w:space="0" w:color="auto"/>
              <w:bottom w:val="single" w:sz="6" w:space="0" w:color="auto"/>
              <w:right w:val="single" w:sz="6" w:space="0" w:color="auto"/>
            </w:tcBorders>
          </w:tcPr>
          <w:p w14:paraId="7F2D5BF6"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4" w:type="dxa"/>
            <w:tcBorders>
              <w:top w:val="single" w:sz="6" w:space="0" w:color="auto"/>
              <w:left w:val="single" w:sz="6" w:space="0" w:color="auto"/>
              <w:bottom w:val="single" w:sz="6" w:space="0" w:color="auto"/>
              <w:right w:val="single" w:sz="6" w:space="0" w:color="auto"/>
            </w:tcBorders>
          </w:tcPr>
          <w:p w14:paraId="0A2DEA66" w14:textId="6D8151C2" w:rsidR="00A10C88" w:rsidRDefault="0089006E">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w:t>
            </w:r>
          </w:p>
        </w:tc>
        <w:tc>
          <w:tcPr>
            <w:tcW w:w="1003" w:type="dxa"/>
            <w:tcBorders>
              <w:top w:val="single" w:sz="6" w:space="0" w:color="auto"/>
              <w:left w:val="single" w:sz="6" w:space="0" w:color="auto"/>
              <w:bottom w:val="single" w:sz="6" w:space="0" w:color="auto"/>
              <w:right w:val="single" w:sz="6" w:space="0" w:color="auto"/>
            </w:tcBorders>
          </w:tcPr>
          <w:p w14:paraId="1E86129D" w14:textId="152A6562" w:rsidR="00A10C88" w:rsidRDefault="0089006E">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w:t>
            </w:r>
          </w:p>
        </w:tc>
      </w:tr>
      <w:tr w:rsidR="00E45C0B" w14:paraId="259B29C7" w14:textId="77777777" w:rsidTr="00E45C0B">
        <w:trPr>
          <w:trHeight w:val="290"/>
        </w:trPr>
        <w:tc>
          <w:tcPr>
            <w:tcW w:w="1008" w:type="dxa"/>
            <w:tcBorders>
              <w:top w:val="single" w:sz="6" w:space="0" w:color="auto"/>
              <w:left w:val="single" w:sz="6" w:space="0" w:color="auto"/>
              <w:bottom w:val="single" w:sz="6" w:space="0" w:color="auto"/>
              <w:right w:val="single" w:sz="6" w:space="0" w:color="auto"/>
            </w:tcBorders>
          </w:tcPr>
          <w:p w14:paraId="3B22A85A"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Canada</w:t>
            </w:r>
          </w:p>
        </w:tc>
        <w:tc>
          <w:tcPr>
            <w:tcW w:w="2448" w:type="dxa"/>
            <w:tcBorders>
              <w:top w:val="single" w:sz="6" w:space="0" w:color="auto"/>
              <w:left w:val="single" w:sz="6" w:space="0" w:color="auto"/>
              <w:bottom w:val="single" w:sz="6" w:space="0" w:color="auto"/>
              <w:right w:val="single" w:sz="6" w:space="0" w:color="auto"/>
            </w:tcBorders>
          </w:tcPr>
          <w:p w14:paraId="3BA16A99"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Clark, Kirsten</w:t>
            </w:r>
          </w:p>
        </w:tc>
        <w:tc>
          <w:tcPr>
            <w:tcW w:w="2448" w:type="dxa"/>
            <w:tcBorders>
              <w:top w:val="single" w:sz="6" w:space="0" w:color="auto"/>
              <w:left w:val="single" w:sz="6" w:space="0" w:color="auto"/>
              <w:bottom w:val="single" w:sz="6" w:space="0" w:color="auto"/>
              <w:right w:val="single" w:sz="6" w:space="0" w:color="auto"/>
            </w:tcBorders>
          </w:tcPr>
          <w:p w14:paraId="3A834A9F"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DFO Maritimes</w:t>
            </w:r>
          </w:p>
        </w:tc>
        <w:tc>
          <w:tcPr>
            <w:tcW w:w="1003" w:type="dxa"/>
            <w:tcBorders>
              <w:top w:val="single" w:sz="6" w:space="0" w:color="auto"/>
              <w:left w:val="single" w:sz="6" w:space="0" w:color="auto"/>
              <w:bottom w:val="single" w:sz="6" w:space="0" w:color="auto"/>
              <w:right w:val="single" w:sz="6" w:space="0" w:color="auto"/>
            </w:tcBorders>
          </w:tcPr>
          <w:p w14:paraId="59D283D6"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4" w:type="dxa"/>
            <w:tcBorders>
              <w:top w:val="single" w:sz="6" w:space="0" w:color="auto"/>
              <w:left w:val="single" w:sz="6" w:space="0" w:color="auto"/>
              <w:bottom w:val="single" w:sz="6" w:space="0" w:color="auto"/>
              <w:right w:val="single" w:sz="6" w:space="0" w:color="auto"/>
            </w:tcBorders>
          </w:tcPr>
          <w:p w14:paraId="7C188CEB"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3" w:type="dxa"/>
            <w:tcBorders>
              <w:top w:val="single" w:sz="6" w:space="0" w:color="auto"/>
              <w:left w:val="single" w:sz="6" w:space="0" w:color="auto"/>
              <w:bottom w:val="single" w:sz="6" w:space="0" w:color="auto"/>
              <w:right w:val="single" w:sz="6" w:space="0" w:color="auto"/>
            </w:tcBorders>
          </w:tcPr>
          <w:p w14:paraId="54E30DF4"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r>
      <w:tr w:rsidR="00E45C0B" w14:paraId="6141C909" w14:textId="77777777" w:rsidTr="00E45C0B">
        <w:trPr>
          <w:trHeight w:val="290"/>
        </w:trPr>
        <w:tc>
          <w:tcPr>
            <w:tcW w:w="1008" w:type="dxa"/>
            <w:tcBorders>
              <w:top w:val="single" w:sz="6" w:space="0" w:color="auto"/>
              <w:left w:val="single" w:sz="6" w:space="0" w:color="auto"/>
              <w:bottom w:val="single" w:sz="6" w:space="0" w:color="auto"/>
              <w:right w:val="single" w:sz="6" w:space="0" w:color="auto"/>
            </w:tcBorders>
          </w:tcPr>
          <w:p w14:paraId="4C9E6C7E"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Canada</w:t>
            </w:r>
          </w:p>
        </w:tc>
        <w:tc>
          <w:tcPr>
            <w:tcW w:w="2448" w:type="dxa"/>
            <w:tcBorders>
              <w:top w:val="single" w:sz="6" w:space="0" w:color="auto"/>
              <w:left w:val="single" w:sz="6" w:space="0" w:color="auto"/>
              <w:bottom w:val="single" w:sz="6" w:space="0" w:color="auto"/>
              <w:right w:val="single" w:sz="6" w:space="0" w:color="auto"/>
            </w:tcBorders>
          </w:tcPr>
          <w:p w14:paraId="74B4F643"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Cooper-MacDonald, Kathy</w:t>
            </w:r>
          </w:p>
        </w:tc>
        <w:tc>
          <w:tcPr>
            <w:tcW w:w="2448" w:type="dxa"/>
            <w:tcBorders>
              <w:top w:val="single" w:sz="6" w:space="0" w:color="auto"/>
              <w:left w:val="single" w:sz="6" w:space="0" w:color="auto"/>
              <w:bottom w:val="single" w:sz="6" w:space="0" w:color="auto"/>
              <w:right w:val="single" w:sz="6" w:space="0" w:color="auto"/>
            </w:tcBorders>
          </w:tcPr>
          <w:p w14:paraId="5D585609"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DFO Maritimes</w:t>
            </w:r>
          </w:p>
        </w:tc>
        <w:tc>
          <w:tcPr>
            <w:tcW w:w="1003" w:type="dxa"/>
            <w:tcBorders>
              <w:top w:val="single" w:sz="6" w:space="0" w:color="auto"/>
              <w:left w:val="single" w:sz="6" w:space="0" w:color="auto"/>
              <w:bottom w:val="single" w:sz="6" w:space="0" w:color="auto"/>
              <w:right w:val="single" w:sz="6" w:space="0" w:color="auto"/>
            </w:tcBorders>
          </w:tcPr>
          <w:p w14:paraId="20E96E1D"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4" w:type="dxa"/>
            <w:tcBorders>
              <w:top w:val="single" w:sz="6" w:space="0" w:color="auto"/>
              <w:left w:val="single" w:sz="6" w:space="0" w:color="auto"/>
              <w:bottom w:val="single" w:sz="6" w:space="0" w:color="auto"/>
              <w:right w:val="single" w:sz="6" w:space="0" w:color="auto"/>
            </w:tcBorders>
          </w:tcPr>
          <w:p w14:paraId="36321605"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3" w:type="dxa"/>
            <w:tcBorders>
              <w:top w:val="single" w:sz="6" w:space="0" w:color="auto"/>
              <w:left w:val="single" w:sz="6" w:space="0" w:color="auto"/>
              <w:bottom w:val="single" w:sz="6" w:space="0" w:color="auto"/>
              <w:right w:val="single" w:sz="6" w:space="0" w:color="auto"/>
            </w:tcBorders>
          </w:tcPr>
          <w:p w14:paraId="3A837C3B"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r>
      <w:tr w:rsidR="00E45C0B" w14:paraId="02A6AB49" w14:textId="77777777" w:rsidTr="00E45C0B">
        <w:trPr>
          <w:trHeight w:val="290"/>
        </w:trPr>
        <w:tc>
          <w:tcPr>
            <w:tcW w:w="1008" w:type="dxa"/>
            <w:tcBorders>
              <w:top w:val="single" w:sz="6" w:space="0" w:color="auto"/>
              <w:left w:val="single" w:sz="6" w:space="0" w:color="auto"/>
              <w:bottom w:val="single" w:sz="6" w:space="0" w:color="auto"/>
              <w:right w:val="single" w:sz="6" w:space="0" w:color="auto"/>
            </w:tcBorders>
          </w:tcPr>
          <w:p w14:paraId="33CA43CC"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US</w:t>
            </w:r>
          </w:p>
        </w:tc>
        <w:tc>
          <w:tcPr>
            <w:tcW w:w="2448" w:type="dxa"/>
            <w:tcBorders>
              <w:top w:val="single" w:sz="6" w:space="0" w:color="auto"/>
              <w:left w:val="single" w:sz="6" w:space="0" w:color="auto"/>
              <w:bottom w:val="single" w:sz="6" w:space="0" w:color="auto"/>
              <w:right w:val="single" w:sz="6" w:space="0" w:color="auto"/>
            </w:tcBorders>
          </w:tcPr>
          <w:p w14:paraId="7197C7AB" w14:textId="77777777" w:rsidR="00A10C88" w:rsidRDefault="00A10C88">
            <w:pPr>
              <w:autoSpaceDE w:val="0"/>
              <w:autoSpaceDN w:val="0"/>
              <w:adjustRightInd w:val="0"/>
              <w:spacing w:before="0" w:after="0"/>
              <w:rPr>
                <w:rFonts w:ascii="Calibri" w:hAnsi="Calibri" w:cs="Calibri"/>
                <w:color w:val="000000"/>
                <w:szCs w:val="22"/>
                <w:lang w:val="en-CA" w:eastAsia="en-CA"/>
              </w:rPr>
            </w:pPr>
            <w:proofErr w:type="spellStart"/>
            <w:r>
              <w:rPr>
                <w:rFonts w:ascii="Calibri" w:hAnsi="Calibri" w:cs="Calibri"/>
                <w:color w:val="000000"/>
                <w:szCs w:val="22"/>
                <w:lang w:val="en-CA" w:eastAsia="en-CA"/>
              </w:rPr>
              <w:t>Cournane</w:t>
            </w:r>
            <w:proofErr w:type="spellEnd"/>
            <w:r>
              <w:rPr>
                <w:rFonts w:ascii="Calibri" w:hAnsi="Calibri" w:cs="Calibri"/>
                <w:color w:val="000000"/>
                <w:szCs w:val="22"/>
                <w:lang w:val="en-CA" w:eastAsia="en-CA"/>
              </w:rPr>
              <w:t>, Jamie</w:t>
            </w:r>
          </w:p>
        </w:tc>
        <w:tc>
          <w:tcPr>
            <w:tcW w:w="2448" w:type="dxa"/>
            <w:tcBorders>
              <w:top w:val="single" w:sz="6" w:space="0" w:color="auto"/>
              <w:left w:val="single" w:sz="6" w:space="0" w:color="auto"/>
              <w:bottom w:val="single" w:sz="6" w:space="0" w:color="auto"/>
              <w:right w:val="single" w:sz="6" w:space="0" w:color="auto"/>
            </w:tcBorders>
          </w:tcPr>
          <w:p w14:paraId="66D3CDCD" w14:textId="77777777" w:rsidR="00A10C88" w:rsidRDefault="00E45C0B">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NEFMC</w:t>
            </w:r>
          </w:p>
        </w:tc>
        <w:tc>
          <w:tcPr>
            <w:tcW w:w="1003" w:type="dxa"/>
            <w:tcBorders>
              <w:top w:val="single" w:sz="6" w:space="0" w:color="auto"/>
              <w:left w:val="single" w:sz="6" w:space="0" w:color="auto"/>
              <w:bottom w:val="single" w:sz="6" w:space="0" w:color="auto"/>
              <w:right w:val="single" w:sz="6" w:space="0" w:color="auto"/>
            </w:tcBorders>
          </w:tcPr>
          <w:p w14:paraId="668B13DA"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4" w:type="dxa"/>
            <w:tcBorders>
              <w:top w:val="single" w:sz="6" w:space="0" w:color="auto"/>
              <w:left w:val="single" w:sz="6" w:space="0" w:color="auto"/>
              <w:bottom w:val="single" w:sz="6" w:space="0" w:color="auto"/>
              <w:right w:val="single" w:sz="6" w:space="0" w:color="auto"/>
            </w:tcBorders>
          </w:tcPr>
          <w:p w14:paraId="00857EFF"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3" w:type="dxa"/>
            <w:tcBorders>
              <w:top w:val="single" w:sz="6" w:space="0" w:color="auto"/>
              <w:left w:val="single" w:sz="6" w:space="0" w:color="auto"/>
              <w:bottom w:val="single" w:sz="6" w:space="0" w:color="auto"/>
              <w:right w:val="single" w:sz="6" w:space="0" w:color="auto"/>
            </w:tcBorders>
          </w:tcPr>
          <w:p w14:paraId="1C65A639"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r>
      <w:tr w:rsidR="00E45C0B" w14:paraId="004893A9" w14:textId="77777777" w:rsidTr="00E45C0B">
        <w:trPr>
          <w:trHeight w:val="290"/>
        </w:trPr>
        <w:tc>
          <w:tcPr>
            <w:tcW w:w="1008" w:type="dxa"/>
            <w:tcBorders>
              <w:top w:val="single" w:sz="6" w:space="0" w:color="auto"/>
              <w:left w:val="single" w:sz="6" w:space="0" w:color="auto"/>
              <w:bottom w:val="single" w:sz="6" w:space="0" w:color="auto"/>
              <w:right w:val="single" w:sz="6" w:space="0" w:color="auto"/>
            </w:tcBorders>
          </w:tcPr>
          <w:p w14:paraId="4F05AE94"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Canada</w:t>
            </w:r>
          </w:p>
        </w:tc>
        <w:tc>
          <w:tcPr>
            <w:tcW w:w="2448" w:type="dxa"/>
            <w:tcBorders>
              <w:top w:val="single" w:sz="6" w:space="0" w:color="auto"/>
              <w:left w:val="single" w:sz="6" w:space="0" w:color="auto"/>
              <w:bottom w:val="single" w:sz="6" w:space="0" w:color="auto"/>
              <w:right w:val="single" w:sz="6" w:space="0" w:color="auto"/>
            </w:tcBorders>
          </w:tcPr>
          <w:p w14:paraId="2807358E"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Couture, John</w:t>
            </w:r>
          </w:p>
        </w:tc>
        <w:tc>
          <w:tcPr>
            <w:tcW w:w="2448" w:type="dxa"/>
            <w:tcBorders>
              <w:top w:val="single" w:sz="6" w:space="0" w:color="auto"/>
              <w:left w:val="single" w:sz="6" w:space="0" w:color="auto"/>
              <w:bottom w:val="single" w:sz="6" w:space="0" w:color="auto"/>
              <w:right w:val="single" w:sz="6" w:space="0" w:color="auto"/>
            </w:tcBorders>
          </w:tcPr>
          <w:p w14:paraId="379E49D9"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 xml:space="preserve">TMGC </w:t>
            </w:r>
          </w:p>
        </w:tc>
        <w:tc>
          <w:tcPr>
            <w:tcW w:w="1003" w:type="dxa"/>
            <w:tcBorders>
              <w:top w:val="single" w:sz="6" w:space="0" w:color="auto"/>
              <w:left w:val="single" w:sz="6" w:space="0" w:color="auto"/>
              <w:bottom w:val="single" w:sz="6" w:space="0" w:color="auto"/>
              <w:right w:val="single" w:sz="6" w:space="0" w:color="auto"/>
            </w:tcBorders>
          </w:tcPr>
          <w:p w14:paraId="4E83EBB0"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4" w:type="dxa"/>
            <w:tcBorders>
              <w:top w:val="single" w:sz="6" w:space="0" w:color="auto"/>
              <w:left w:val="single" w:sz="6" w:space="0" w:color="auto"/>
              <w:bottom w:val="single" w:sz="6" w:space="0" w:color="auto"/>
              <w:right w:val="single" w:sz="6" w:space="0" w:color="auto"/>
            </w:tcBorders>
          </w:tcPr>
          <w:p w14:paraId="35F5A152"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3" w:type="dxa"/>
            <w:tcBorders>
              <w:top w:val="single" w:sz="6" w:space="0" w:color="auto"/>
              <w:left w:val="single" w:sz="6" w:space="0" w:color="auto"/>
              <w:bottom w:val="single" w:sz="6" w:space="0" w:color="auto"/>
              <w:right w:val="single" w:sz="6" w:space="0" w:color="auto"/>
            </w:tcBorders>
          </w:tcPr>
          <w:p w14:paraId="2B3A8D39" w14:textId="5D8634EE" w:rsidR="00A10C88" w:rsidRDefault="0089006E">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w:t>
            </w:r>
          </w:p>
        </w:tc>
      </w:tr>
      <w:tr w:rsidR="00E45C0B" w14:paraId="45B08242" w14:textId="77777777" w:rsidTr="00E45C0B">
        <w:trPr>
          <w:trHeight w:val="290"/>
        </w:trPr>
        <w:tc>
          <w:tcPr>
            <w:tcW w:w="1008" w:type="dxa"/>
            <w:tcBorders>
              <w:top w:val="single" w:sz="6" w:space="0" w:color="auto"/>
              <w:left w:val="single" w:sz="6" w:space="0" w:color="auto"/>
              <w:bottom w:val="single" w:sz="6" w:space="0" w:color="auto"/>
              <w:right w:val="single" w:sz="6" w:space="0" w:color="auto"/>
            </w:tcBorders>
          </w:tcPr>
          <w:p w14:paraId="7B556699"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Canada</w:t>
            </w:r>
          </w:p>
        </w:tc>
        <w:tc>
          <w:tcPr>
            <w:tcW w:w="2448" w:type="dxa"/>
            <w:tcBorders>
              <w:top w:val="single" w:sz="6" w:space="0" w:color="auto"/>
              <w:left w:val="single" w:sz="6" w:space="0" w:color="auto"/>
              <w:bottom w:val="single" w:sz="6" w:space="0" w:color="auto"/>
              <w:right w:val="single" w:sz="6" w:space="0" w:color="auto"/>
            </w:tcBorders>
          </w:tcPr>
          <w:p w14:paraId="164E023C" w14:textId="77777777" w:rsidR="00A10C88" w:rsidRDefault="00A10C88">
            <w:pPr>
              <w:autoSpaceDE w:val="0"/>
              <w:autoSpaceDN w:val="0"/>
              <w:adjustRightInd w:val="0"/>
              <w:spacing w:before="0" w:after="0"/>
              <w:rPr>
                <w:rFonts w:ascii="Calibri" w:hAnsi="Calibri" w:cs="Calibri"/>
                <w:color w:val="000000"/>
                <w:szCs w:val="22"/>
                <w:lang w:val="en-CA" w:eastAsia="en-CA"/>
              </w:rPr>
            </w:pPr>
            <w:proofErr w:type="spellStart"/>
            <w:r>
              <w:rPr>
                <w:rFonts w:ascii="Calibri" w:hAnsi="Calibri" w:cs="Calibri"/>
                <w:color w:val="000000"/>
                <w:szCs w:val="22"/>
                <w:lang w:val="en-CA" w:eastAsia="en-CA"/>
              </w:rPr>
              <w:t>d'Entremont</w:t>
            </w:r>
            <w:proofErr w:type="spellEnd"/>
            <w:r>
              <w:rPr>
                <w:rFonts w:ascii="Calibri" w:hAnsi="Calibri" w:cs="Calibri"/>
                <w:color w:val="000000"/>
                <w:szCs w:val="22"/>
                <w:lang w:val="en-CA" w:eastAsia="en-CA"/>
              </w:rPr>
              <w:t>, Alain</w:t>
            </w:r>
          </w:p>
        </w:tc>
        <w:tc>
          <w:tcPr>
            <w:tcW w:w="2448" w:type="dxa"/>
            <w:tcBorders>
              <w:top w:val="single" w:sz="6" w:space="0" w:color="auto"/>
              <w:left w:val="single" w:sz="6" w:space="0" w:color="auto"/>
              <w:bottom w:val="single" w:sz="6" w:space="0" w:color="auto"/>
              <w:right w:val="single" w:sz="6" w:space="0" w:color="auto"/>
            </w:tcBorders>
          </w:tcPr>
          <w:p w14:paraId="49B86308"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TMGC Co-chair</w:t>
            </w:r>
          </w:p>
        </w:tc>
        <w:tc>
          <w:tcPr>
            <w:tcW w:w="1003" w:type="dxa"/>
            <w:tcBorders>
              <w:top w:val="single" w:sz="6" w:space="0" w:color="auto"/>
              <w:left w:val="single" w:sz="6" w:space="0" w:color="auto"/>
              <w:bottom w:val="single" w:sz="6" w:space="0" w:color="auto"/>
              <w:right w:val="single" w:sz="6" w:space="0" w:color="auto"/>
            </w:tcBorders>
          </w:tcPr>
          <w:p w14:paraId="41BBFC54"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4" w:type="dxa"/>
            <w:tcBorders>
              <w:top w:val="single" w:sz="6" w:space="0" w:color="auto"/>
              <w:left w:val="single" w:sz="6" w:space="0" w:color="auto"/>
              <w:bottom w:val="single" w:sz="6" w:space="0" w:color="auto"/>
              <w:right w:val="single" w:sz="6" w:space="0" w:color="auto"/>
            </w:tcBorders>
          </w:tcPr>
          <w:p w14:paraId="63CBF4DC"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3" w:type="dxa"/>
            <w:tcBorders>
              <w:top w:val="single" w:sz="6" w:space="0" w:color="auto"/>
              <w:left w:val="single" w:sz="6" w:space="0" w:color="auto"/>
              <w:bottom w:val="single" w:sz="6" w:space="0" w:color="auto"/>
              <w:right w:val="single" w:sz="6" w:space="0" w:color="auto"/>
            </w:tcBorders>
          </w:tcPr>
          <w:p w14:paraId="227D8DAA"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r>
      <w:tr w:rsidR="00E45C0B" w14:paraId="63DBB5A4" w14:textId="77777777" w:rsidTr="00E45C0B">
        <w:trPr>
          <w:trHeight w:val="290"/>
        </w:trPr>
        <w:tc>
          <w:tcPr>
            <w:tcW w:w="1008" w:type="dxa"/>
            <w:tcBorders>
              <w:top w:val="single" w:sz="6" w:space="0" w:color="auto"/>
              <w:left w:val="single" w:sz="6" w:space="0" w:color="auto"/>
              <w:bottom w:val="single" w:sz="6" w:space="0" w:color="auto"/>
              <w:right w:val="single" w:sz="6" w:space="0" w:color="auto"/>
            </w:tcBorders>
          </w:tcPr>
          <w:p w14:paraId="1F81ED1A"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US</w:t>
            </w:r>
          </w:p>
        </w:tc>
        <w:tc>
          <w:tcPr>
            <w:tcW w:w="2448" w:type="dxa"/>
            <w:tcBorders>
              <w:top w:val="single" w:sz="6" w:space="0" w:color="auto"/>
              <w:left w:val="single" w:sz="6" w:space="0" w:color="auto"/>
              <w:bottom w:val="single" w:sz="6" w:space="0" w:color="auto"/>
              <w:right w:val="single" w:sz="6" w:space="0" w:color="auto"/>
            </w:tcBorders>
          </w:tcPr>
          <w:p w14:paraId="5671D117" w14:textId="77777777" w:rsidR="00A10C88" w:rsidRDefault="00A10C88">
            <w:pPr>
              <w:autoSpaceDE w:val="0"/>
              <w:autoSpaceDN w:val="0"/>
              <w:adjustRightInd w:val="0"/>
              <w:spacing w:before="0" w:after="0"/>
              <w:rPr>
                <w:rFonts w:ascii="Calibri" w:hAnsi="Calibri" w:cs="Calibri"/>
                <w:color w:val="000000"/>
                <w:szCs w:val="22"/>
                <w:lang w:val="en-CA" w:eastAsia="en-CA"/>
              </w:rPr>
            </w:pPr>
            <w:proofErr w:type="spellStart"/>
            <w:r>
              <w:rPr>
                <w:rFonts w:ascii="Calibri" w:hAnsi="Calibri" w:cs="Calibri"/>
                <w:color w:val="000000"/>
                <w:szCs w:val="22"/>
                <w:lang w:val="en-CA" w:eastAsia="en-CA"/>
              </w:rPr>
              <w:t>Etrie</w:t>
            </w:r>
            <w:proofErr w:type="spellEnd"/>
            <w:r>
              <w:rPr>
                <w:rFonts w:ascii="Calibri" w:hAnsi="Calibri" w:cs="Calibri"/>
                <w:color w:val="000000"/>
                <w:szCs w:val="22"/>
                <w:lang w:val="en-CA" w:eastAsia="en-CA"/>
              </w:rPr>
              <w:t>, Libby</w:t>
            </w:r>
          </w:p>
        </w:tc>
        <w:tc>
          <w:tcPr>
            <w:tcW w:w="2448" w:type="dxa"/>
            <w:tcBorders>
              <w:top w:val="single" w:sz="6" w:space="0" w:color="auto"/>
              <w:left w:val="single" w:sz="6" w:space="0" w:color="auto"/>
              <w:bottom w:val="single" w:sz="6" w:space="0" w:color="auto"/>
              <w:right w:val="single" w:sz="6" w:space="0" w:color="auto"/>
            </w:tcBorders>
          </w:tcPr>
          <w:p w14:paraId="676F469B"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Industry</w:t>
            </w:r>
          </w:p>
        </w:tc>
        <w:tc>
          <w:tcPr>
            <w:tcW w:w="1003" w:type="dxa"/>
            <w:tcBorders>
              <w:top w:val="single" w:sz="6" w:space="0" w:color="auto"/>
              <w:left w:val="single" w:sz="6" w:space="0" w:color="auto"/>
              <w:bottom w:val="single" w:sz="6" w:space="0" w:color="auto"/>
              <w:right w:val="single" w:sz="6" w:space="0" w:color="auto"/>
            </w:tcBorders>
          </w:tcPr>
          <w:p w14:paraId="32F48DB0"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4" w:type="dxa"/>
            <w:tcBorders>
              <w:top w:val="single" w:sz="6" w:space="0" w:color="auto"/>
              <w:left w:val="single" w:sz="6" w:space="0" w:color="auto"/>
              <w:bottom w:val="single" w:sz="6" w:space="0" w:color="auto"/>
              <w:right w:val="single" w:sz="6" w:space="0" w:color="auto"/>
            </w:tcBorders>
          </w:tcPr>
          <w:p w14:paraId="6AEC698F" w14:textId="77777777" w:rsidR="00A10C88" w:rsidRDefault="00A10C88">
            <w:pPr>
              <w:autoSpaceDE w:val="0"/>
              <w:autoSpaceDN w:val="0"/>
              <w:adjustRightInd w:val="0"/>
              <w:spacing w:before="0" w:after="0"/>
              <w:jc w:val="center"/>
              <w:rPr>
                <w:rFonts w:cs="Arial"/>
                <w:color w:val="000000"/>
                <w:sz w:val="20"/>
                <w:lang w:val="en-CA" w:eastAsia="en-CA"/>
              </w:rPr>
            </w:pPr>
            <w:r>
              <w:rPr>
                <w:rFonts w:cs="Arial"/>
                <w:color w:val="000000"/>
                <w:sz w:val="20"/>
                <w:lang w:val="en-CA" w:eastAsia="en-CA"/>
              </w:rPr>
              <w:t>x</w:t>
            </w:r>
          </w:p>
        </w:tc>
        <w:tc>
          <w:tcPr>
            <w:tcW w:w="1003" w:type="dxa"/>
            <w:tcBorders>
              <w:top w:val="single" w:sz="6" w:space="0" w:color="auto"/>
              <w:left w:val="single" w:sz="6" w:space="0" w:color="auto"/>
              <w:bottom w:val="single" w:sz="6" w:space="0" w:color="auto"/>
              <w:right w:val="single" w:sz="6" w:space="0" w:color="auto"/>
            </w:tcBorders>
          </w:tcPr>
          <w:p w14:paraId="0A9A7DE0"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r>
      <w:tr w:rsidR="00E45C0B" w14:paraId="319ACDD0" w14:textId="77777777" w:rsidTr="00E45C0B">
        <w:trPr>
          <w:trHeight w:val="290"/>
        </w:trPr>
        <w:tc>
          <w:tcPr>
            <w:tcW w:w="1008" w:type="dxa"/>
            <w:tcBorders>
              <w:top w:val="single" w:sz="6" w:space="0" w:color="auto"/>
              <w:left w:val="single" w:sz="6" w:space="0" w:color="auto"/>
              <w:bottom w:val="single" w:sz="6" w:space="0" w:color="auto"/>
              <w:right w:val="single" w:sz="6" w:space="0" w:color="auto"/>
            </w:tcBorders>
          </w:tcPr>
          <w:p w14:paraId="7ED4486A"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Canada</w:t>
            </w:r>
          </w:p>
        </w:tc>
        <w:tc>
          <w:tcPr>
            <w:tcW w:w="2448" w:type="dxa"/>
            <w:tcBorders>
              <w:top w:val="single" w:sz="6" w:space="0" w:color="auto"/>
              <w:left w:val="single" w:sz="6" w:space="0" w:color="auto"/>
              <w:bottom w:val="single" w:sz="6" w:space="0" w:color="auto"/>
              <w:right w:val="single" w:sz="6" w:space="0" w:color="auto"/>
            </w:tcBorders>
          </w:tcPr>
          <w:p w14:paraId="30EB03AB"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Faure, Anne</w:t>
            </w:r>
          </w:p>
        </w:tc>
        <w:tc>
          <w:tcPr>
            <w:tcW w:w="2448" w:type="dxa"/>
            <w:tcBorders>
              <w:top w:val="single" w:sz="6" w:space="0" w:color="auto"/>
              <w:left w:val="single" w:sz="6" w:space="0" w:color="auto"/>
              <w:bottom w:val="single" w:sz="6" w:space="0" w:color="auto"/>
              <w:right w:val="single" w:sz="6" w:space="0" w:color="auto"/>
            </w:tcBorders>
          </w:tcPr>
          <w:p w14:paraId="42F88605"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NGO</w:t>
            </w:r>
          </w:p>
        </w:tc>
        <w:tc>
          <w:tcPr>
            <w:tcW w:w="1003" w:type="dxa"/>
            <w:tcBorders>
              <w:top w:val="single" w:sz="6" w:space="0" w:color="auto"/>
              <w:left w:val="single" w:sz="6" w:space="0" w:color="auto"/>
              <w:bottom w:val="single" w:sz="6" w:space="0" w:color="auto"/>
              <w:right w:val="single" w:sz="6" w:space="0" w:color="auto"/>
            </w:tcBorders>
          </w:tcPr>
          <w:p w14:paraId="533A51EB"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4" w:type="dxa"/>
            <w:tcBorders>
              <w:top w:val="single" w:sz="6" w:space="0" w:color="auto"/>
              <w:left w:val="single" w:sz="6" w:space="0" w:color="auto"/>
              <w:bottom w:val="single" w:sz="6" w:space="0" w:color="auto"/>
              <w:right w:val="single" w:sz="6" w:space="0" w:color="auto"/>
            </w:tcBorders>
          </w:tcPr>
          <w:p w14:paraId="7F6597FB"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3" w:type="dxa"/>
            <w:tcBorders>
              <w:top w:val="single" w:sz="6" w:space="0" w:color="auto"/>
              <w:left w:val="single" w:sz="6" w:space="0" w:color="auto"/>
              <w:bottom w:val="single" w:sz="6" w:space="0" w:color="auto"/>
              <w:right w:val="single" w:sz="6" w:space="0" w:color="auto"/>
            </w:tcBorders>
          </w:tcPr>
          <w:p w14:paraId="778482CC"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r>
      <w:tr w:rsidR="00E45C0B" w14:paraId="00FDE297" w14:textId="77777777" w:rsidTr="00E45C0B">
        <w:trPr>
          <w:trHeight w:val="290"/>
        </w:trPr>
        <w:tc>
          <w:tcPr>
            <w:tcW w:w="1008" w:type="dxa"/>
            <w:tcBorders>
              <w:top w:val="single" w:sz="6" w:space="0" w:color="auto"/>
              <w:left w:val="single" w:sz="6" w:space="0" w:color="auto"/>
              <w:bottom w:val="single" w:sz="6" w:space="0" w:color="auto"/>
              <w:right w:val="single" w:sz="6" w:space="0" w:color="auto"/>
            </w:tcBorders>
          </w:tcPr>
          <w:p w14:paraId="1AD6683A"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Canada</w:t>
            </w:r>
          </w:p>
        </w:tc>
        <w:tc>
          <w:tcPr>
            <w:tcW w:w="2448" w:type="dxa"/>
            <w:tcBorders>
              <w:top w:val="single" w:sz="6" w:space="0" w:color="auto"/>
              <w:left w:val="single" w:sz="6" w:space="0" w:color="auto"/>
              <w:bottom w:val="single" w:sz="6" w:space="0" w:color="auto"/>
              <w:right w:val="single" w:sz="6" w:space="0" w:color="auto"/>
            </w:tcBorders>
          </w:tcPr>
          <w:p w14:paraId="2E692D5F"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Finley, Monica</w:t>
            </w:r>
          </w:p>
        </w:tc>
        <w:tc>
          <w:tcPr>
            <w:tcW w:w="2448" w:type="dxa"/>
            <w:tcBorders>
              <w:top w:val="single" w:sz="6" w:space="0" w:color="auto"/>
              <w:left w:val="single" w:sz="6" w:space="0" w:color="auto"/>
              <w:bottom w:val="single" w:sz="6" w:space="0" w:color="auto"/>
              <w:right w:val="single" w:sz="6" w:space="0" w:color="auto"/>
            </w:tcBorders>
          </w:tcPr>
          <w:p w14:paraId="13FE671D"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DFO Maritimes</w:t>
            </w:r>
          </w:p>
        </w:tc>
        <w:tc>
          <w:tcPr>
            <w:tcW w:w="1003" w:type="dxa"/>
            <w:tcBorders>
              <w:top w:val="single" w:sz="6" w:space="0" w:color="auto"/>
              <w:left w:val="single" w:sz="6" w:space="0" w:color="auto"/>
              <w:bottom w:val="single" w:sz="6" w:space="0" w:color="auto"/>
              <w:right w:val="single" w:sz="6" w:space="0" w:color="auto"/>
            </w:tcBorders>
          </w:tcPr>
          <w:p w14:paraId="21C66F98"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4" w:type="dxa"/>
            <w:tcBorders>
              <w:top w:val="single" w:sz="6" w:space="0" w:color="auto"/>
              <w:left w:val="single" w:sz="6" w:space="0" w:color="auto"/>
              <w:bottom w:val="single" w:sz="6" w:space="0" w:color="auto"/>
              <w:right w:val="single" w:sz="6" w:space="0" w:color="auto"/>
            </w:tcBorders>
          </w:tcPr>
          <w:p w14:paraId="54B3EC90"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3" w:type="dxa"/>
            <w:tcBorders>
              <w:top w:val="single" w:sz="6" w:space="0" w:color="auto"/>
              <w:left w:val="single" w:sz="6" w:space="0" w:color="auto"/>
              <w:bottom w:val="single" w:sz="6" w:space="0" w:color="auto"/>
              <w:right w:val="single" w:sz="6" w:space="0" w:color="auto"/>
            </w:tcBorders>
          </w:tcPr>
          <w:p w14:paraId="1587420E"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r>
      <w:tr w:rsidR="00E45C0B" w14:paraId="7082E08B" w14:textId="77777777" w:rsidTr="00E45C0B">
        <w:trPr>
          <w:trHeight w:val="290"/>
        </w:trPr>
        <w:tc>
          <w:tcPr>
            <w:tcW w:w="1008" w:type="dxa"/>
            <w:tcBorders>
              <w:top w:val="single" w:sz="6" w:space="0" w:color="auto"/>
              <w:left w:val="single" w:sz="6" w:space="0" w:color="auto"/>
              <w:bottom w:val="single" w:sz="6" w:space="0" w:color="auto"/>
              <w:right w:val="single" w:sz="6" w:space="0" w:color="auto"/>
            </w:tcBorders>
          </w:tcPr>
          <w:p w14:paraId="26EA639E"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Canada</w:t>
            </w:r>
          </w:p>
        </w:tc>
        <w:tc>
          <w:tcPr>
            <w:tcW w:w="2448" w:type="dxa"/>
            <w:tcBorders>
              <w:top w:val="single" w:sz="6" w:space="0" w:color="auto"/>
              <w:left w:val="single" w:sz="6" w:space="0" w:color="auto"/>
              <w:bottom w:val="single" w:sz="6" w:space="0" w:color="auto"/>
              <w:right w:val="single" w:sz="6" w:space="0" w:color="auto"/>
            </w:tcBorders>
          </w:tcPr>
          <w:p w14:paraId="08FC770D"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Ford, Jennifer</w:t>
            </w:r>
          </w:p>
        </w:tc>
        <w:tc>
          <w:tcPr>
            <w:tcW w:w="2448" w:type="dxa"/>
            <w:tcBorders>
              <w:top w:val="single" w:sz="6" w:space="0" w:color="auto"/>
              <w:left w:val="single" w:sz="6" w:space="0" w:color="auto"/>
              <w:bottom w:val="single" w:sz="6" w:space="0" w:color="auto"/>
              <w:right w:val="single" w:sz="6" w:space="0" w:color="auto"/>
            </w:tcBorders>
          </w:tcPr>
          <w:p w14:paraId="586FD3BF"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DFO Maritimes</w:t>
            </w:r>
          </w:p>
        </w:tc>
        <w:tc>
          <w:tcPr>
            <w:tcW w:w="1003" w:type="dxa"/>
            <w:tcBorders>
              <w:top w:val="single" w:sz="6" w:space="0" w:color="auto"/>
              <w:left w:val="single" w:sz="6" w:space="0" w:color="auto"/>
              <w:bottom w:val="single" w:sz="6" w:space="0" w:color="auto"/>
              <w:right w:val="single" w:sz="6" w:space="0" w:color="auto"/>
            </w:tcBorders>
          </w:tcPr>
          <w:p w14:paraId="551B3A6A"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4" w:type="dxa"/>
            <w:tcBorders>
              <w:top w:val="single" w:sz="6" w:space="0" w:color="auto"/>
              <w:left w:val="single" w:sz="6" w:space="0" w:color="auto"/>
              <w:bottom w:val="single" w:sz="6" w:space="0" w:color="auto"/>
              <w:right w:val="single" w:sz="6" w:space="0" w:color="auto"/>
            </w:tcBorders>
          </w:tcPr>
          <w:p w14:paraId="109CC595"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3" w:type="dxa"/>
            <w:tcBorders>
              <w:top w:val="single" w:sz="6" w:space="0" w:color="auto"/>
              <w:left w:val="single" w:sz="6" w:space="0" w:color="auto"/>
              <w:bottom w:val="single" w:sz="6" w:space="0" w:color="auto"/>
              <w:right w:val="single" w:sz="6" w:space="0" w:color="auto"/>
            </w:tcBorders>
          </w:tcPr>
          <w:p w14:paraId="6954AD22"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r>
      <w:tr w:rsidR="00E45C0B" w14:paraId="3BB8C8E2" w14:textId="77777777" w:rsidTr="00E45C0B">
        <w:trPr>
          <w:trHeight w:val="290"/>
        </w:trPr>
        <w:tc>
          <w:tcPr>
            <w:tcW w:w="1008" w:type="dxa"/>
            <w:tcBorders>
              <w:top w:val="single" w:sz="6" w:space="0" w:color="auto"/>
              <w:left w:val="single" w:sz="6" w:space="0" w:color="auto"/>
              <w:bottom w:val="single" w:sz="6" w:space="0" w:color="auto"/>
              <w:right w:val="single" w:sz="6" w:space="0" w:color="auto"/>
            </w:tcBorders>
          </w:tcPr>
          <w:p w14:paraId="67ED239D"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Canada</w:t>
            </w:r>
          </w:p>
        </w:tc>
        <w:tc>
          <w:tcPr>
            <w:tcW w:w="2448" w:type="dxa"/>
            <w:tcBorders>
              <w:top w:val="single" w:sz="6" w:space="0" w:color="auto"/>
              <w:left w:val="single" w:sz="6" w:space="0" w:color="auto"/>
              <w:bottom w:val="single" w:sz="6" w:space="0" w:color="auto"/>
              <w:right w:val="single" w:sz="6" w:space="0" w:color="auto"/>
            </w:tcBorders>
          </w:tcPr>
          <w:p w14:paraId="0F7C2644" w14:textId="77777777" w:rsidR="00A10C88" w:rsidRDefault="00A10C88">
            <w:pPr>
              <w:autoSpaceDE w:val="0"/>
              <w:autoSpaceDN w:val="0"/>
              <w:adjustRightInd w:val="0"/>
              <w:spacing w:before="0" w:after="0"/>
              <w:rPr>
                <w:rFonts w:ascii="Calibri" w:hAnsi="Calibri" w:cs="Calibri"/>
                <w:color w:val="000000"/>
                <w:szCs w:val="22"/>
                <w:lang w:val="en-CA" w:eastAsia="en-CA"/>
              </w:rPr>
            </w:pPr>
            <w:proofErr w:type="spellStart"/>
            <w:r>
              <w:rPr>
                <w:rFonts w:ascii="Calibri" w:hAnsi="Calibri" w:cs="Calibri"/>
                <w:color w:val="000000"/>
                <w:szCs w:val="22"/>
                <w:lang w:val="en-CA" w:eastAsia="en-CA"/>
              </w:rPr>
              <w:t>Greenlaw</w:t>
            </w:r>
            <w:proofErr w:type="spellEnd"/>
            <w:r>
              <w:rPr>
                <w:rFonts w:ascii="Calibri" w:hAnsi="Calibri" w:cs="Calibri"/>
                <w:color w:val="000000"/>
                <w:szCs w:val="22"/>
                <w:lang w:val="en-CA" w:eastAsia="en-CA"/>
              </w:rPr>
              <w:t>, Michelle</w:t>
            </w:r>
          </w:p>
        </w:tc>
        <w:tc>
          <w:tcPr>
            <w:tcW w:w="2448" w:type="dxa"/>
            <w:tcBorders>
              <w:top w:val="single" w:sz="6" w:space="0" w:color="auto"/>
              <w:left w:val="single" w:sz="6" w:space="0" w:color="auto"/>
              <w:bottom w:val="single" w:sz="6" w:space="0" w:color="auto"/>
              <w:right w:val="single" w:sz="6" w:space="0" w:color="auto"/>
            </w:tcBorders>
          </w:tcPr>
          <w:p w14:paraId="28D4A538"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DFO Maritimes</w:t>
            </w:r>
          </w:p>
        </w:tc>
        <w:tc>
          <w:tcPr>
            <w:tcW w:w="1003" w:type="dxa"/>
            <w:tcBorders>
              <w:top w:val="single" w:sz="6" w:space="0" w:color="auto"/>
              <w:left w:val="single" w:sz="6" w:space="0" w:color="auto"/>
              <w:bottom w:val="single" w:sz="6" w:space="0" w:color="auto"/>
              <w:right w:val="single" w:sz="6" w:space="0" w:color="auto"/>
            </w:tcBorders>
          </w:tcPr>
          <w:p w14:paraId="00D316C3"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4" w:type="dxa"/>
            <w:tcBorders>
              <w:top w:val="single" w:sz="6" w:space="0" w:color="auto"/>
              <w:left w:val="single" w:sz="6" w:space="0" w:color="auto"/>
              <w:bottom w:val="single" w:sz="6" w:space="0" w:color="auto"/>
              <w:right w:val="single" w:sz="6" w:space="0" w:color="auto"/>
            </w:tcBorders>
          </w:tcPr>
          <w:p w14:paraId="3D1CD9E8"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3" w:type="dxa"/>
            <w:tcBorders>
              <w:top w:val="single" w:sz="6" w:space="0" w:color="auto"/>
              <w:left w:val="single" w:sz="6" w:space="0" w:color="auto"/>
              <w:bottom w:val="single" w:sz="6" w:space="0" w:color="auto"/>
              <w:right w:val="single" w:sz="6" w:space="0" w:color="auto"/>
            </w:tcBorders>
          </w:tcPr>
          <w:p w14:paraId="16E0736D"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r>
      <w:tr w:rsidR="00E45C0B" w14:paraId="36EE436C" w14:textId="77777777" w:rsidTr="00E45C0B">
        <w:trPr>
          <w:trHeight w:val="290"/>
        </w:trPr>
        <w:tc>
          <w:tcPr>
            <w:tcW w:w="1008" w:type="dxa"/>
            <w:tcBorders>
              <w:top w:val="single" w:sz="6" w:space="0" w:color="auto"/>
              <w:left w:val="single" w:sz="6" w:space="0" w:color="auto"/>
              <w:bottom w:val="single" w:sz="6" w:space="0" w:color="auto"/>
              <w:right w:val="single" w:sz="6" w:space="0" w:color="auto"/>
            </w:tcBorders>
          </w:tcPr>
          <w:p w14:paraId="3AFF46FD"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Canada</w:t>
            </w:r>
          </w:p>
        </w:tc>
        <w:tc>
          <w:tcPr>
            <w:tcW w:w="2448" w:type="dxa"/>
            <w:tcBorders>
              <w:top w:val="single" w:sz="6" w:space="0" w:color="auto"/>
              <w:left w:val="single" w:sz="6" w:space="0" w:color="auto"/>
              <w:bottom w:val="single" w:sz="6" w:space="0" w:color="auto"/>
              <w:right w:val="single" w:sz="6" w:space="0" w:color="auto"/>
            </w:tcBorders>
          </w:tcPr>
          <w:p w14:paraId="6E533D49"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 xml:space="preserve">Irvine, </w:t>
            </w:r>
            <w:proofErr w:type="spellStart"/>
            <w:r>
              <w:rPr>
                <w:rFonts w:ascii="Calibri" w:hAnsi="Calibri" w:cs="Calibri"/>
                <w:color w:val="000000"/>
                <w:szCs w:val="22"/>
                <w:lang w:val="en-CA" w:eastAsia="en-CA"/>
              </w:rPr>
              <w:t>Fonya</w:t>
            </w:r>
            <w:proofErr w:type="spellEnd"/>
          </w:p>
        </w:tc>
        <w:tc>
          <w:tcPr>
            <w:tcW w:w="2448" w:type="dxa"/>
            <w:tcBorders>
              <w:top w:val="single" w:sz="6" w:space="0" w:color="auto"/>
              <w:left w:val="single" w:sz="6" w:space="0" w:color="auto"/>
              <w:bottom w:val="single" w:sz="6" w:space="0" w:color="auto"/>
              <w:right w:val="single" w:sz="6" w:space="0" w:color="auto"/>
            </w:tcBorders>
          </w:tcPr>
          <w:p w14:paraId="0A631082"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DFO Maritimes</w:t>
            </w:r>
          </w:p>
        </w:tc>
        <w:tc>
          <w:tcPr>
            <w:tcW w:w="1003" w:type="dxa"/>
            <w:tcBorders>
              <w:top w:val="single" w:sz="6" w:space="0" w:color="auto"/>
              <w:left w:val="single" w:sz="6" w:space="0" w:color="auto"/>
              <w:bottom w:val="single" w:sz="6" w:space="0" w:color="auto"/>
              <w:right w:val="single" w:sz="6" w:space="0" w:color="auto"/>
            </w:tcBorders>
          </w:tcPr>
          <w:p w14:paraId="157D0FCA"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4" w:type="dxa"/>
            <w:tcBorders>
              <w:top w:val="single" w:sz="6" w:space="0" w:color="auto"/>
              <w:left w:val="single" w:sz="6" w:space="0" w:color="auto"/>
              <w:bottom w:val="single" w:sz="6" w:space="0" w:color="auto"/>
              <w:right w:val="single" w:sz="6" w:space="0" w:color="auto"/>
            </w:tcBorders>
          </w:tcPr>
          <w:p w14:paraId="79D37393"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3" w:type="dxa"/>
            <w:tcBorders>
              <w:top w:val="single" w:sz="6" w:space="0" w:color="auto"/>
              <w:left w:val="single" w:sz="6" w:space="0" w:color="auto"/>
              <w:bottom w:val="single" w:sz="6" w:space="0" w:color="auto"/>
              <w:right w:val="single" w:sz="6" w:space="0" w:color="auto"/>
            </w:tcBorders>
          </w:tcPr>
          <w:p w14:paraId="4005BB46"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r>
      <w:tr w:rsidR="00E45C0B" w14:paraId="74F8685B" w14:textId="77777777" w:rsidTr="00E45C0B">
        <w:trPr>
          <w:trHeight w:val="290"/>
        </w:trPr>
        <w:tc>
          <w:tcPr>
            <w:tcW w:w="1008" w:type="dxa"/>
            <w:tcBorders>
              <w:top w:val="single" w:sz="6" w:space="0" w:color="auto"/>
              <w:left w:val="single" w:sz="6" w:space="0" w:color="auto"/>
              <w:bottom w:val="single" w:sz="6" w:space="0" w:color="auto"/>
              <w:right w:val="single" w:sz="6" w:space="0" w:color="auto"/>
            </w:tcBorders>
          </w:tcPr>
          <w:p w14:paraId="6D9D5BA6"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Canada</w:t>
            </w:r>
          </w:p>
        </w:tc>
        <w:tc>
          <w:tcPr>
            <w:tcW w:w="2448" w:type="dxa"/>
            <w:tcBorders>
              <w:top w:val="single" w:sz="6" w:space="0" w:color="auto"/>
              <w:left w:val="single" w:sz="6" w:space="0" w:color="auto"/>
              <w:bottom w:val="single" w:sz="6" w:space="0" w:color="auto"/>
              <w:right w:val="single" w:sz="6" w:space="0" w:color="auto"/>
            </w:tcBorders>
          </w:tcPr>
          <w:p w14:paraId="48D1F234" w14:textId="77777777" w:rsidR="00A10C88" w:rsidRDefault="00A10C88">
            <w:pPr>
              <w:autoSpaceDE w:val="0"/>
              <w:autoSpaceDN w:val="0"/>
              <w:adjustRightInd w:val="0"/>
              <w:spacing w:before="0" w:after="0"/>
              <w:rPr>
                <w:rFonts w:ascii="Calibri" w:hAnsi="Calibri" w:cs="Calibri"/>
                <w:color w:val="000000"/>
                <w:szCs w:val="22"/>
                <w:lang w:val="en-CA" w:eastAsia="en-CA"/>
              </w:rPr>
            </w:pPr>
            <w:proofErr w:type="spellStart"/>
            <w:r>
              <w:rPr>
                <w:rFonts w:ascii="Calibri" w:hAnsi="Calibri" w:cs="Calibri"/>
                <w:color w:val="000000"/>
                <w:szCs w:val="22"/>
                <w:lang w:val="en-CA" w:eastAsia="en-CA"/>
              </w:rPr>
              <w:t>Karbowski</w:t>
            </w:r>
            <w:proofErr w:type="spellEnd"/>
            <w:r>
              <w:rPr>
                <w:rFonts w:ascii="Calibri" w:hAnsi="Calibri" w:cs="Calibri"/>
                <w:color w:val="000000"/>
                <w:szCs w:val="22"/>
                <w:lang w:val="en-CA" w:eastAsia="en-CA"/>
              </w:rPr>
              <w:t>, Chelsey</w:t>
            </w:r>
          </w:p>
        </w:tc>
        <w:tc>
          <w:tcPr>
            <w:tcW w:w="2448" w:type="dxa"/>
            <w:tcBorders>
              <w:top w:val="single" w:sz="6" w:space="0" w:color="auto"/>
              <w:left w:val="single" w:sz="6" w:space="0" w:color="auto"/>
              <w:bottom w:val="single" w:sz="6" w:space="0" w:color="auto"/>
              <w:right w:val="single" w:sz="6" w:space="0" w:color="auto"/>
            </w:tcBorders>
          </w:tcPr>
          <w:p w14:paraId="39459B51"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NGO</w:t>
            </w:r>
          </w:p>
        </w:tc>
        <w:tc>
          <w:tcPr>
            <w:tcW w:w="1003" w:type="dxa"/>
            <w:tcBorders>
              <w:top w:val="single" w:sz="6" w:space="0" w:color="auto"/>
              <w:left w:val="single" w:sz="6" w:space="0" w:color="auto"/>
              <w:bottom w:val="single" w:sz="6" w:space="0" w:color="auto"/>
              <w:right w:val="single" w:sz="6" w:space="0" w:color="auto"/>
            </w:tcBorders>
          </w:tcPr>
          <w:p w14:paraId="3E6457E1"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4" w:type="dxa"/>
            <w:tcBorders>
              <w:top w:val="single" w:sz="6" w:space="0" w:color="auto"/>
              <w:left w:val="single" w:sz="6" w:space="0" w:color="auto"/>
              <w:bottom w:val="single" w:sz="6" w:space="0" w:color="auto"/>
              <w:right w:val="single" w:sz="6" w:space="0" w:color="auto"/>
            </w:tcBorders>
          </w:tcPr>
          <w:p w14:paraId="2A8C2A55"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3" w:type="dxa"/>
            <w:tcBorders>
              <w:top w:val="single" w:sz="6" w:space="0" w:color="auto"/>
              <w:left w:val="single" w:sz="6" w:space="0" w:color="auto"/>
              <w:bottom w:val="single" w:sz="6" w:space="0" w:color="auto"/>
              <w:right w:val="single" w:sz="6" w:space="0" w:color="auto"/>
            </w:tcBorders>
          </w:tcPr>
          <w:p w14:paraId="5E40BF51"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r>
      <w:tr w:rsidR="00E45C0B" w14:paraId="600F5FDC" w14:textId="77777777" w:rsidTr="00E45C0B">
        <w:trPr>
          <w:trHeight w:val="290"/>
        </w:trPr>
        <w:tc>
          <w:tcPr>
            <w:tcW w:w="1008" w:type="dxa"/>
            <w:tcBorders>
              <w:top w:val="single" w:sz="6" w:space="0" w:color="auto"/>
              <w:left w:val="single" w:sz="6" w:space="0" w:color="auto"/>
              <w:bottom w:val="single" w:sz="6" w:space="0" w:color="auto"/>
              <w:right w:val="single" w:sz="6" w:space="0" w:color="auto"/>
            </w:tcBorders>
          </w:tcPr>
          <w:p w14:paraId="78C85468"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Canada</w:t>
            </w:r>
          </w:p>
        </w:tc>
        <w:tc>
          <w:tcPr>
            <w:tcW w:w="2448" w:type="dxa"/>
            <w:tcBorders>
              <w:top w:val="single" w:sz="6" w:space="0" w:color="auto"/>
              <w:left w:val="single" w:sz="6" w:space="0" w:color="auto"/>
              <w:bottom w:val="single" w:sz="6" w:space="0" w:color="auto"/>
              <w:right w:val="single" w:sz="6" w:space="0" w:color="auto"/>
            </w:tcBorders>
          </w:tcPr>
          <w:p w14:paraId="385B029B"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Keith, David</w:t>
            </w:r>
          </w:p>
        </w:tc>
        <w:tc>
          <w:tcPr>
            <w:tcW w:w="2448" w:type="dxa"/>
            <w:tcBorders>
              <w:top w:val="single" w:sz="6" w:space="0" w:color="auto"/>
              <w:left w:val="single" w:sz="6" w:space="0" w:color="auto"/>
              <w:bottom w:val="single" w:sz="6" w:space="0" w:color="auto"/>
              <w:right w:val="single" w:sz="6" w:space="0" w:color="auto"/>
            </w:tcBorders>
          </w:tcPr>
          <w:p w14:paraId="167FD2A5"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DFO Maritimes (Reviewer)</w:t>
            </w:r>
          </w:p>
        </w:tc>
        <w:tc>
          <w:tcPr>
            <w:tcW w:w="1003" w:type="dxa"/>
            <w:tcBorders>
              <w:top w:val="single" w:sz="6" w:space="0" w:color="auto"/>
              <w:left w:val="single" w:sz="6" w:space="0" w:color="auto"/>
              <w:bottom w:val="single" w:sz="6" w:space="0" w:color="auto"/>
              <w:right w:val="single" w:sz="6" w:space="0" w:color="auto"/>
            </w:tcBorders>
          </w:tcPr>
          <w:p w14:paraId="40C0D1B8"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4" w:type="dxa"/>
            <w:tcBorders>
              <w:top w:val="single" w:sz="6" w:space="0" w:color="auto"/>
              <w:left w:val="single" w:sz="6" w:space="0" w:color="auto"/>
              <w:bottom w:val="single" w:sz="6" w:space="0" w:color="auto"/>
              <w:right w:val="single" w:sz="6" w:space="0" w:color="auto"/>
            </w:tcBorders>
          </w:tcPr>
          <w:p w14:paraId="403A4826"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3" w:type="dxa"/>
            <w:tcBorders>
              <w:top w:val="single" w:sz="6" w:space="0" w:color="auto"/>
              <w:left w:val="single" w:sz="6" w:space="0" w:color="auto"/>
              <w:bottom w:val="single" w:sz="6" w:space="0" w:color="auto"/>
              <w:right w:val="single" w:sz="6" w:space="0" w:color="auto"/>
            </w:tcBorders>
          </w:tcPr>
          <w:p w14:paraId="16EEBE83"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r>
      <w:tr w:rsidR="00E45C0B" w14:paraId="7DB81FE0" w14:textId="77777777" w:rsidTr="00E45C0B">
        <w:trPr>
          <w:trHeight w:val="290"/>
        </w:trPr>
        <w:tc>
          <w:tcPr>
            <w:tcW w:w="1008" w:type="dxa"/>
            <w:tcBorders>
              <w:top w:val="single" w:sz="6" w:space="0" w:color="auto"/>
              <w:left w:val="single" w:sz="6" w:space="0" w:color="auto"/>
              <w:bottom w:val="single" w:sz="6" w:space="0" w:color="auto"/>
              <w:right w:val="single" w:sz="6" w:space="0" w:color="auto"/>
            </w:tcBorders>
          </w:tcPr>
          <w:p w14:paraId="48DD6492"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US</w:t>
            </w:r>
          </w:p>
        </w:tc>
        <w:tc>
          <w:tcPr>
            <w:tcW w:w="2448" w:type="dxa"/>
            <w:tcBorders>
              <w:top w:val="single" w:sz="6" w:space="0" w:color="auto"/>
              <w:left w:val="single" w:sz="6" w:space="0" w:color="auto"/>
              <w:bottom w:val="single" w:sz="6" w:space="0" w:color="auto"/>
              <w:right w:val="single" w:sz="6" w:space="0" w:color="auto"/>
            </w:tcBorders>
          </w:tcPr>
          <w:p w14:paraId="70681339" w14:textId="77777777" w:rsidR="00A10C88" w:rsidRDefault="00A10C88">
            <w:pPr>
              <w:autoSpaceDE w:val="0"/>
              <w:autoSpaceDN w:val="0"/>
              <w:adjustRightInd w:val="0"/>
              <w:spacing w:before="0" w:after="0"/>
              <w:rPr>
                <w:rFonts w:ascii="Calibri" w:hAnsi="Calibri" w:cs="Calibri"/>
                <w:color w:val="000000"/>
                <w:szCs w:val="22"/>
                <w:lang w:val="en-CA" w:eastAsia="en-CA"/>
              </w:rPr>
            </w:pPr>
            <w:proofErr w:type="spellStart"/>
            <w:r>
              <w:rPr>
                <w:rFonts w:ascii="Calibri" w:hAnsi="Calibri" w:cs="Calibri"/>
                <w:color w:val="000000"/>
                <w:szCs w:val="22"/>
                <w:lang w:val="en-CA" w:eastAsia="en-CA"/>
              </w:rPr>
              <w:t>Trinko</w:t>
            </w:r>
            <w:proofErr w:type="spellEnd"/>
            <w:r>
              <w:rPr>
                <w:rFonts w:ascii="Calibri" w:hAnsi="Calibri" w:cs="Calibri"/>
                <w:color w:val="000000"/>
                <w:szCs w:val="22"/>
                <w:lang w:val="en-CA" w:eastAsia="en-CA"/>
              </w:rPr>
              <w:t xml:space="preserve"> Lake, Tara</w:t>
            </w:r>
          </w:p>
        </w:tc>
        <w:tc>
          <w:tcPr>
            <w:tcW w:w="2448" w:type="dxa"/>
            <w:tcBorders>
              <w:top w:val="single" w:sz="6" w:space="0" w:color="auto"/>
              <w:left w:val="single" w:sz="6" w:space="0" w:color="auto"/>
              <w:bottom w:val="single" w:sz="6" w:space="0" w:color="auto"/>
              <w:right w:val="single" w:sz="6" w:space="0" w:color="auto"/>
            </w:tcBorders>
          </w:tcPr>
          <w:p w14:paraId="63B657E8"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NOAA / NFMS / NEFSC</w:t>
            </w:r>
          </w:p>
        </w:tc>
        <w:tc>
          <w:tcPr>
            <w:tcW w:w="1003" w:type="dxa"/>
            <w:tcBorders>
              <w:top w:val="single" w:sz="6" w:space="0" w:color="auto"/>
              <w:left w:val="single" w:sz="6" w:space="0" w:color="auto"/>
              <w:bottom w:val="single" w:sz="6" w:space="0" w:color="auto"/>
              <w:right w:val="single" w:sz="6" w:space="0" w:color="auto"/>
            </w:tcBorders>
          </w:tcPr>
          <w:p w14:paraId="65575631"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4" w:type="dxa"/>
            <w:tcBorders>
              <w:top w:val="single" w:sz="6" w:space="0" w:color="auto"/>
              <w:left w:val="single" w:sz="6" w:space="0" w:color="auto"/>
              <w:bottom w:val="single" w:sz="6" w:space="0" w:color="auto"/>
              <w:right w:val="single" w:sz="6" w:space="0" w:color="auto"/>
            </w:tcBorders>
          </w:tcPr>
          <w:p w14:paraId="629279C1"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3" w:type="dxa"/>
            <w:tcBorders>
              <w:top w:val="single" w:sz="6" w:space="0" w:color="auto"/>
              <w:left w:val="single" w:sz="6" w:space="0" w:color="auto"/>
              <w:bottom w:val="single" w:sz="6" w:space="0" w:color="auto"/>
              <w:right w:val="single" w:sz="6" w:space="0" w:color="auto"/>
            </w:tcBorders>
          </w:tcPr>
          <w:p w14:paraId="2855C6CB"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r>
      <w:tr w:rsidR="00E45C0B" w14:paraId="7E434ED6" w14:textId="77777777" w:rsidTr="00E45C0B">
        <w:trPr>
          <w:trHeight w:val="290"/>
        </w:trPr>
        <w:tc>
          <w:tcPr>
            <w:tcW w:w="1008" w:type="dxa"/>
            <w:tcBorders>
              <w:top w:val="single" w:sz="6" w:space="0" w:color="auto"/>
              <w:left w:val="single" w:sz="6" w:space="0" w:color="auto"/>
              <w:bottom w:val="single" w:sz="6" w:space="0" w:color="auto"/>
              <w:right w:val="single" w:sz="6" w:space="0" w:color="auto"/>
            </w:tcBorders>
          </w:tcPr>
          <w:p w14:paraId="1BABD52E"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US</w:t>
            </w:r>
          </w:p>
        </w:tc>
        <w:tc>
          <w:tcPr>
            <w:tcW w:w="2448" w:type="dxa"/>
            <w:tcBorders>
              <w:top w:val="single" w:sz="6" w:space="0" w:color="auto"/>
              <w:left w:val="single" w:sz="6" w:space="0" w:color="auto"/>
              <w:bottom w:val="single" w:sz="6" w:space="0" w:color="auto"/>
              <w:right w:val="single" w:sz="6" w:space="0" w:color="auto"/>
            </w:tcBorders>
          </w:tcPr>
          <w:p w14:paraId="2A1E027B" w14:textId="77777777" w:rsidR="00A10C88" w:rsidRDefault="00A10C88">
            <w:pPr>
              <w:autoSpaceDE w:val="0"/>
              <w:autoSpaceDN w:val="0"/>
              <w:adjustRightInd w:val="0"/>
              <w:spacing w:before="0" w:after="0"/>
              <w:rPr>
                <w:rFonts w:ascii="Calibri" w:hAnsi="Calibri" w:cs="Calibri"/>
                <w:color w:val="000000"/>
                <w:szCs w:val="22"/>
                <w:lang w:val="en-CA" w:eastAsia="en-CA"/>
              </w:rPr>
            </w:pPr>
            <w:proofErr w:type="spellStart"/>
            <w:r>
              <w:rPr>
                <w:rFonts w:ascii="Calibri" w:hAnsi="Calibri" w:cs="Calibri"/>
                <w:color w:val="000000"/>
                <w:szCs w:val="22"/>
                <w:lang w:val="en-CA" w:eastAsia="en-CA"/>
              </w:rPr>
              <w:t>Legault</w:t>
            </w:r>
            <w:proofErr w:type="spellEnd"/>
            <w:r>
              <w:rPr>
                <w:rFonts w:ascii="Calibri" w:hAnsi="Calibri" w:cs="Calibri"/>
                <w:color w:val="000000"/>
                <w:szCs w:val="22"/>
                <w:lang w:val="en-CA" w:eastAsia="en-CA"/>
              </w:rPr>
              <w:t>, Chris</w:t>
            </w:r>
          </w:p>
        </w:tc>
        <w:tc>
          <w:tcPr>
            <w:tcW w:w="2448" w:type="dxa"/>
            <w:tcBorders>
              <w:top w:val="single" w:sz="6" w:space="0" w:color="auto"/>
              <w:left w:val="single" w:sz="6" w:space="0" w:color="auto"/>
              <w:bottom w:val="single" w:sz="6" w:space="0" w:color="auto"/>
              <w:right w:val="single" w:sz="6" w:space="0" w:color="auto"/>
            </w:tcBorders>
          </w:tcPr>
          <w:p w14:paraId="5C51E812"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NOAA / NFMS / NEFSC</w:t>
            </w:r>
          </w:p>
        </w:tc>
        <w:tc>
          <w:tcPr>
            <w:tcW w:w="1003" w:type="dxa"/>
            <w:tcBorders>
              <w:top w:val="single" w:sz="6" w:space="0" w:color="auto"/>
              <w:left w:val="single" w:sz="6" w:space="0" w:color="auto"/>
              <w:bottom w:val="single" w:sz="6" w:space="0" w:color="auto"/>
              <w:right w:val="single" w:sz="6" w:space="0" w:color="auto"/>
            </w:tcBorders>
          </w:tcPr>
          <w:p w14:paraId="4D40EE01"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4" w:type="dxa"/>
            <w:tcBorders>
              <w:top w:val="single" w:sz="6" w:space="0" w:color="auto"/>
              <w:left w:val="single" w:sz="6" w:space="0" w:color="auto"/>
              <w:bottom w:val="single" w:sz="6" w:space="0" w:color="auto"/>
              <w:right w:val="single" w:sz="6" w:space="0" w:color="auto"/>
            </w:tcBorders>
          </w:tcPr>
          <w:p w14:paraId="4EF772AE"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3" w:type="dxa"/>
            <w:tcBorders>
              <w:top w:val="single" w:sz="6" w:space="0" w:color="auto"/>
              <w:left w:val="single" w:sz="6" w:space="0" w:color="auto"/>
              <w:bottom w:val="single" w:sz="6" w:space="0" w:color="auto"/>
              <w:right w:val="single" w:sz="6" w:space="0" w:color="auto"/>
            </w:tcBorders>
          </w:tcPr>
          <w:p w14:paraId="05F760A5"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r>
      <w:tr w:rsidR="00E45C0B" w14:paraId="340A7C00" w14:textId="77777777" w:rsidTr="00E45C0B">
        <w:trPr>
          <w:trHeight w:val="290"/>
        </w:trPr>
        <w:tc>
          <w:tcPr>
            <w:tcW w:w="1008" w:type="dxa"/>
            <w:tcBorders>
              <w:top w:val="single" w:sz="6" w:space="0" w:color="auto"/>
              <w:left w:val="single" w:sz="6" w:space="0" w:color="auto"/>
              <w:bottom w:val="single" w:sz="6" w:space="0" w:color="auto"/>
              <w:right w:val="single" w:sz="6" w:space="0" w:color="auto"/>
            </w:tcBorders>
          </w:tcPr>
          <w:p w14:paraId="77347115"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Canada</w:t>
            </w:r>
          </w:p>
        </w:tc>
        <w:tc>
          <w:tcPr>
            <w:tcW w:w="2448" w:type="dxa"/>
            <w:tcBorders>
              <w:top w:val="single" w:sz="6" w:space="0" w:color="auto"/>
              <w:left w:val="single" w:sz="6" w:space="0" w:color="auto"/>
              <w:bottom w:val="single" w:sz="6" w:space="0" w:color="auto"/>
              <w:right w:val="single" w:sz="6" w:space="0" w:color="auto"/>
            </w:tcBorders>
          </w:tcPr>
          <w:p w14:paraId="31E330E2"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Martin, Ryan</w:t>
            </w:r>
          </w:p>
        </w:tc>
        <w:tc>
          <w:tcPr>
            <w:tcW w:w="2448" w:type="dxa"/>
            <w:tcBorders>
              <w:top w:val="single" w:sz="6" w:space="0" w:color="auto"/>
              <w:left w:val="single" w:sz="6" w:space="0" w:color="auto"/>
              <w:bottom w:val="single" w:sz="6" w:space="0" w:color="auto"/>
              <w:right w:val="single" w:sz="6" w:space="0" w:color="auto"/>
            </w:tcBorders>
          </w:tcPr>
          <w:p w14:paraId="73D72A7C"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DFO Maritimes</w:t>
            </w:r>
          </w:p>
        </w:tc>
        <w:tc>
          <w:tcPr>
            <w:tcW w:w="1003" w:type="dxa"/>
            <w:tcBorders>
              <w:top w:val="single" w:sz="6" w:space="0" w:color="auto"/>
              <w:left w:val="single" w:sz="6" w:space="0" w:color="auto"/>
              <w:bottom w:val="single" w:sz="6" w:space="0" w:color="auto"/>
              <w:right w:val="single" w:sz="6" w:space="0" w:color="auto"/>
            </w:tcBorders>
          </w:tcPr>
          <w:p w14:paraId="2085D5D4"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4" w:type="dxa"/>
            <w:tcBorders>
              <w:top w:val="single" w:sz="6" w:space="0" w:color="auto"/>
              <w:left w:val="single" w:sz="6" w:space="0" w:color="auto"/>
              <w:bottom w:val="single" w:sz="6" w:space="0" w:color="auto"/>
              <w:right w:val="single" w:sz="6" w:space="0" w:color="auto"/>
            </w:tcBorders>
          </w:tcPr>
          <w:p w14:paraId="4968E661"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3" w:type="dxa"/>
            <w:tcBorders>
              <w:top w:val="single" w:sz="6" w:space="0" w:color="auto"/>
              <w:left w:val="single" w:sz="6" w:space="0" w:color="auto"/>
              <w:bottom w:val="single" w:sz="6" w:space="0" w:color="auto"/>
              <w:right w:val="single" w:sz="6" w:space="0" w:color="auto"/>
            </w:tcBorders>
          </w:tcPr>
          <w:p w14:paraId="585AF233" w14:textId="00A96A07" w:rsidR="00A10C88" w:rsidRDefault="0089006E">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w:t>
            </w:r>
          </w:p>
        </w:tc>
      </w:tr>
      <w:tr w:rsidR="00E45C0B" w14:paraId="6AA35960" w14:textId="77777777" w:rsidTr="00E45C0B">
        <w:trPr>
          <w:trHeight w:val="290"/>
        </w:trPr>
        <w:tc>
          <w:tcPr>
            <w:tcW w:w="1008" w:type="dxa"/>
            <w:tcBorders>
              <w:top w:val="single" w:sz="6" w:space="0" w:color="auto"/>
              <w:left w:val="single" w:sz="6" w:space="0" w:color="auto"/>
              <w:bottom w:val="single" w:sz="6" w:space="0" w:color="auto"/>
              <w:right w:val="single" w:sz="6" w:space="0" w:color="auto"/>
            </w:tcBorders>
          </w:tcPr>
          <w:p w14:paraId="1143CDF1"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US</w:t>
            </w:r>
          </w:p>
        </w:tc>
        <w:tc>
          <w:tcPr>
            <w:tcW w:w="2448" w:type="dxa"/>
            <w:tcBorders>
              <w:top w:val="single" w:sz="6" w:space="0" w:color="auto"/>
              <w:left w:val="single" w:sz="6" w:space="0" w:color="auto"/>
              <w:bottom w:val="single" w:sz="6" w:space="0" w:color="auto"/>
              <w:right w:val="single" w:sz="6" w:space="0" w:color="auto"/>
            </w:tcBorders>
          </w:tcPr>
          <w:p w14:paraId="71404408"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McBride, Richard</w:t>
            </w:r>
          </w:p>
        </w:tc>
        <w:tc>
          <w:tcPr>
            <w:tcW w:w="2448" w:type="dxa"/>
            <w:tcBorders>
              <w:top w:val="single" w:sz="6" w:space="0" w:color="auto"/>
              <w:left w:val="single" w:sz="6" w:space="0" w:color="auto"/>
              <w:bottom w:val="single" w:sz="6" w:space="0" w:color="auto"/>
              <w:right w:val="single" w:sz="6" w:space="0" w:color="auto"/>
            </w:tcBorders>
          </w:tcPr>
          <w:p w14:paraId="497ECA90" w14:textId="5246C00A"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NOAA (web)</w:t>
            </w:r>
          </w:p>
        </w:tc>
        <w:tc>
          <w:tcPr>
            <w:tcW w:w="1003" w:type="dxa"/>
            <w:tcBorders>
              <w:top w:val="single" w:sz="6" w:space="0" w:color="auto"/>
              <w:left w:val="single" w:sz="6" w:space="0" w:color="auto"/>
              <w:bottom w:val="single" w:sz="6" w:space="0" w:color="auto"/>
              <w:right w:val="single" w:sz="6" w:space="0" w:color="auto"/>
            </w:tcBorders>
          </w:tcPr>
          <w:p w14:paraId="202DC045" w14:textId="16801547" w:rsidR="00A10C88" w:rsidRDefault="0089006E">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w:t>
            </w:r>
          </w:p>
        </w:tc>
        <w:tc>
          <w:tcPr>
            <w:tcW w:w="1004" w:type="dxa"/>
            <w:tcBorders>
              <w:top w:val="single" w:sz="6" w:space="0" w:color="auto"/>
              <w:left w:val="single" w:sz="6" w:space="0" w:color="auto"/>
              <w:bottom w:val="single" w:sz="6" w:space="0" w:color="auto"/>
              <w:right w:val="single" w:sz="6" w:space="0" w:color="auto"/>
            </w:tcBorders>
          </w:tcPr>
          <w:p w14:paraId="1635D543"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3" w:type="dxa"/>
            <w:tcBorders>
              <w:top w:val="single" w:sz="6" w:space="0" w:color="auto"/>
              <w:left w:val="single" w:sz="6" w:space="0" w:color="auto"/>
              <w:bottom w:val="single" w:sz="6" w:space="0" w:color="auto"/>
              <w:right w:val="single" w:sz="6" w:space="0" w:color="auto"/>
            </w:tcBorders>
          </w:tcPr>
          <w:p w14:paraId="2A4315AD" w14:textId="7E5540AB" w:rsidR="00A10C88" w:rsidRDefault="0089006E">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w:t>
            </w:r>
          </w:p>
        </w:tc>
      </w:tr>
      <w:tr w:rsidR="00E45C0B" w14:paraId="0DA4FA89" w14:textId="77777777" w:rsidTr="00E45C0B">
        <w:trPr>
          <w:trHeight w:val="290"/>
        </w:trPr>
        <w:tc>
          <w:tcPr>
            <w:tcW w:w="1008" w:type="dxa"/>
            <w:tcBorders>
              <w:top w:val="single" w:sz="6" w:space="0" w:color="auto"/>
              <w:left w:val="single" w:sz="6" w:space="0" w:color="auto"/>
              <w:bottom w:val="single" w:sz="6" w:space="0" w:color="auto"/>
              <w:right w:val="single" w:sz="6" w:space="0" w:color="auto"/>
            </w:tcBorders>
          </w:tcPr>
          <w:p w14:paraId="17A89550"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Canada</w:t>
            </w:r>
          </w:p>
        </w:tc>
        <w:tc>
          <w:tcPr>
            <w:tcW w:w="2448" w:type="dxa"/>
            <w:tcBorders>
              <w:top w:val="single" w:sz="6" w:space="0" w:color="auto"/>
              <w:left w:val="single" w:sz="6" w:space="0" w:color="auto"/>
              <w:bottom w:val="single" w:sz="6" w:space="0" w:color="auto"/>
              <w:right w:val="single" w:sz="6" w:space="0" w:color="auto"/>
            </w:tcBorders>
          </w:tcPr>
          <w:p w14:paraId="3974E4F2"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McCurdy, Quinn</w:t>
            </w:r>
          </w:p>
        </w:tc>
        <w:tc>
          <w:tcPr>
            <w:tcW w:w="2448" w:type="dxa"/>
            <w:tcBorders>
              <w:top w:val="single" w:sz="6" w:space="0" w:color="auto"/>
              <w:left w:val="single" w:sz="6" w:space="0" w:color="auto"/>
              <w:bottom w:val="single" w:sz="6" w:space="0" w:color="auto"/>
              <w:right w:val="single" w:sz="6" w:space="0" w:color="auto"/>
            </w:tcBorders>
          </w:tcPr>
          <w:p w14:paraId="547FEB4F"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DFO Maritimes</w:t>
            </w:r>
          </w:p>
        </w:tc>
        <w:tc>
          <w:tcPr>
            <w:tcW w:w="1003" w:type="dxa"/>
            <w:tcBorders>
              <w:top w:val="single" w:sz="6" w:space="0" w:color="auto"/>
              <w:left w:val="single" w:sz="6" w:space="0" w:color="auto"/>
              <w:bottom w:val="single" w:sz="6" w:space="0" w:color="auto"/>
              <w:right w:val="single" w:sz="6" w:space="0" w:color="auto"/>
            </w:tcBorders>
          </w:tcPr>
          <w:p w14:paraId="4A7315E8"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4" w:type="dxa"/>
            <w:tcBorders>
              <w:top w:val="single" w:sz="6" w:space="0" w:color="auto"/>
              <w:left w:val="single" w:sz="6" w:space="0" w:color="auto"/>
              <w:bottom w:val="single" w:sz="6" w:space="0" w:color="auto"/>
              <w:right w:val="single" w:sz="6" w:space="0" w:color="auto"/>
            </w:tcBorders>
          </w:tcPr>
          <w:p w14:paraId="3C1C47D0"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3" w:type="dxa"/>
            <w:tcBorders>
              <w:top w:val="single" w:sz="6" w:space="0" w:color="auto"/>
              <w:left w:val="single" w:sz="6" w:space="0" w:color="auto"/>
              <w:bottom w:val="single" w:sz="6" w:space="0" w:color="auto"/>
              <w:right w:val="single" w:sz="6" w:space="0" w:color="auto"/>
            </w:tcBorders>
          </w:tcPr>
          <w:p w14:paraId="23FBCAEF"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r>
      <w:tr w:rsidR="00E45C0B" w14:paraId="0829D65F" w14:textId="77777777" w:rsidTr="00E45C0B">
        <w:trPr>
          <w:trHeight w:val="290"/>
        </w:trPr>
        <w:tc>
          <w:tcPr>
            <w:tcW w:w="1008" w:type="dxa"/>
            <w:tcBorders>
              <w:top w:val="single" w:sz="6" w:space="0" w:color="auto"/>
              <w:left w:val="single" w:sz="6" w:space="0" w:color="auto"/>
              <w:bottom w:val="single" w:sz="6" w:space="0" w:color="auto"/>
              <w:right w:val="single" w:sz="6" w:space="0" w:color="auto"/>
            </w:tcBorders>
          </w:tcPr>
          <w:p w14:paraId="0D2C06BB"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US</w:t>
            </w:r>
          </w:p>
        </w:tc>
        <w:tc>
          <w:tcPr>
            <w:tcW w:w="2448" w:type="dxa"/>
            <w:tcBorders>
              <w:top w:val="single" w:sz="6" w:space="0" w:color="auto"/>
              <w:left w:val="single" w:sz="6" w:space="0" w:color="auto"/>
              <w:bottom w:val="single" w:sz="6" w:space="0" w:color="auto"/>
              <w:right w:val="single" w:sz="6" w:space="0" w:color="auto"/>
            </w:tcBorders>
          </w:tcPr>
          <w:p w14:paraId="6D0AE6CF"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McNamee, Jason</w:t>
            </w:r>
          </w:p>
        </w:tc>
        <w:tc>
          <w:tcPr>
            <w:tcW w:w="2448" w:type="dxa"/>
            <w:tcBorders>
              <w:top w:val="single" w:sz="6" w:space="0" w:color="auto"/>
              <w:left w:val="single" w:sz="6" w:space="0" w:color="auto"/>
              <w:bottom w:val="single" w:sz="6" w:space="0" w:color="auto"/>
              <w:right w:val="single" w:sz="6" w:space="0" w:color="auto"/>
            </w:tcBorders>
          </w:tcPr>
          <w:p w14:paraId="564579DA"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NOAA / SSC (Reviewer)</w:t>
            </w:r>
          </w:p>
        </w:tc>
        <w:tc>
          <w:tcPr>
            <w:tcW w:w="1003" w:type="dxa"/>
            <w:tcBorders>
              <w:top w:val="single" w:sz="6" w:space="0" w:color="auto"/>
              <w:left w:val="single" w:sz="6" w:space="0" w:color="auto"/>
              <w:bottom w:val="single" w:sz="6" w:space="0" w:color="auto"/>
              <w:right w:val="single" w:sz="6" w:space="0" w:color="auto"/>
            </w:tcBorders>
          </w:tcPr>
          <w:p w14:paraId="42607457"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4" w:type="dxa"/>
            <w:tcBorders>
              <w:top w:val="single" w:sz="6" w:space="0" w:color="auto"/>
              <w:left w:val="single" w:sz="6" w:space="0" w:color="auto"/>
              <w:bottom w:val="single" w:sz="6" w:space="0" w:color="auto"/>
              <w:right w:val="single" w:sz="6" w:space="0" w:color="auto"/>
            </w:tcBorders>
          </w:tcPr>
          <w:p w14:paraId="095C06C6"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3" w:type="dxa"/>
            <w:tcBorders>
              <w:top w:val="single" w:sz="6" w:space="0" w:color="auto"/>
              <w:left w:val="single" w:sz="6" w:space="0" w:color="auto"/>
              <w:bottom w:val="single" w:sz="6" w:space="0" w:color="auto"/>
              <w:right w:val="single" w:sz="6" w:space="0" w:color="auto"/>
            </w:tcBorders>
          </w:tcPr>
          <w:p w14:paraId="2A7C9340"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r>
      <w:tr w:rsidR="00E45C0B" w14:paraId="6B25770F" w14:textId="77777777" w:rsidTr="00E45C0B">
        <w:trPr>
          <w:trHeight w:val="290"/>
        </w:trPr>
        <w:tc>
          <w:tcPr>
            <w:tcW w:w="1008" w:type="dxa"/>
            <w:tcBorders>
              <w:top w:val="single" w:sz="6" w:space="0" w:color="auto"/>
              <w:left w:val="single" w:sz="6" w:space="0" w:color="auto"/>
              <w:bottom w:val="single" w:sz="6" w:space="0" w:color="auto"/>
              <w:right w:val="single" w:sz="6" w:space="0" w:color="auto"/>
            </w:tcBorders>
          </w:tcPr>
          <w:p w14:paraId="48119F00"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US</w:t>
            </w:r>
          </w:p>
        </w:tc>
        <w:tc>
          <w:tcPr>
            <w:tcW w:w="2448" w:type="dxa"/>
            <w:tcBorders>
              <w:top w:val="single" w:sz="6" w:space="0" w:color="auto"/>
              <w:left w:val="single" w:sz="6" w:space="0" w:color="auto"/>
              <w:bottom w:val="single" w:sz="6" w:space="0" w:color="auto"/>
              <w:right w:val="single" w:sz="6" w:space="0" w:color="auto"/>
            </w:tcBorders>
          </w:tcPr>
          <w:p w14:paraId="670DAE72" w14:textId="77777777" w:rsidR="00A10C88" w:rsidRDefault="00A10C88">
            <w:pPr>
              <w:autoSpaceDE w:val="0"/>
              <w:autoSpaceDN w:val="0"/>
              <w:adjustRightInd w:val="0"/>
              <w:spacing w:before="0" w:after="0"/>
              <w:rPr>
                <w:rFonts w:ascii="Calibri" w:hAnsi="Calibri" w:cs="Calibri"/>
                <w:color w:val="000000"/>
                <w:szCs w:val="22"/>
                <w:lang w:val="en-CA" w:eastAsia="en-CA"/>
              </w:rPr>
            </w:pPr>
            <w:proofErr w:type="spellStart"/>
            <w:r>
              <w:rPr>
                <w:rFonts w:ascii="Calibri" w:hAnsi="Calibri" w:cs="Calibri"/>
                <w:color w:val="000000"/>
                <w:szCs w:val="22"/>
                <w:lang w:val="en-CA" w:eastAsia="en-CA"/>
              </w:rPr>
              <w:t>Minkiewicz</w:t>
            </w:r>
            <w:proofErr w:type="spellEnd"/>
            <w:r>
              <w:rPr>
                <w:rFonts w:ascii="Calibri" w:hAnsi="Calibri" w:cs="Calibri"/>
                <w:color w:val="000000"/>
                <w:szCs w:val="22"/>
                <w:lang w:val="en-CA" w:eastAsia="en-CA"/>
              </w:rPr>
              <w:t>, Drew</w:t>
            </w:r>
          </w:p>
        </w:tc>
        <w:tc>
          <w:tcPr>
            <w:tcW w:w="2448" w:type="dxa"/>
            <w:tcBorders>
              <w:top w:val="single" w:sz="6" w:space="0" w:color="auto"/>
              <w:left w:val="single" w:sz="6" w:space="0" w:color="auto"/>
              <w:bottom w:val="single" w:sz="6" w:space="0" w:color="auto"/>
              <w:right w:val="single" w:sz="6" w:space="0" w:color="auto"/>
            </w:tcBorders>
          </w:tcPr>
          <w:p w14:paraId="12EA3764"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Industry</w:t>
            </w:r>
          </w:p>
        </w:tc>
        <w:tc>
          <w:tcPr>
            <w:tcW w:w="1003" w:type="dxa"/>
            <w:tcBorders>
              <w:top w:val="single" w:sz="6" w:space="0" w:color="auto"/>
              <w:left w:val="single" w:sz="6" w:space="0" w:color="auto"/>
              <w:bottom w:val="single" w:sz="6" w:space="0" w:color="auto"/>
              <w:right w:val="single" w:sz="6" w:space="0" w:color="auto"/>
            </w:tcBorders>
          </w:tcPr>
          <w:p w14:paraId="3E5BA0FD"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4" w:type="dxa"/>
            <w:tcBorders>
              <w:top w:val="single" w:sz="6" w:space="0" w:color="auto"/>
              <w:left w:val="single" w:sz="6" w:space="0" w:color="auto"/>
              <w:bottom w:val="single" w:sz="6" w:space="0" w:color="auto"/>
              <w:right w:val="single" w:sz="6" w:space="0" w:color="auto"/>
            </w:tcBorders>
          </w:tcPr>
          <w:p w14:paraId="5C3BE373" w14:textId="77777777" w:rsidR="00A10C88" w:rsidRDefault="00A10C88">
            <w:pPr>
              <w:autoSpaceDE w:val="0"/>
              <w:autoSpaceDN w:val="0"/>
              <w:adjustRightInd w:val="0"/>
              <w:spacing w:before="0" w:after="0"/>
              <w:jc w:val="center"/>
              <w:rPr>
                <w:rFonts w:cs="Arial"/>
                <w:color w:val="000000"/>
                <w:sz w:val="20"/>
                <w:lang w:val="en-CA" w:eastAsia="en-CA"/>
              </w:rPr>
            </w:pPr>
            <w:r>
              <w:rPr>
                <w:rFonts w:cs="Arial"/>
                <w:color w:val="000000"/>
                <w:sz w:val="20"/>
                <w:lang w:val="en-CA" w:eastAsia="en-CA"/>
              </w:rPr>
              <w:t>x</w:t>
            </w:r>
          </w:p>
        </w:tc>
        <w:tc>
          <w:tcPr>
            <w:tcW w:w="1003" w:type="dxa"/>
            <w:tcBorders>
              <w:top w:val="single" w:sz="6" w:space="0" w:color="auto"/>
              <w:left w:val="single" w:sz="6" w:space="0" w:color="auto"/>
              <w:bottom w:val="single" w:sz="6" w:space="0" w:color="auto"/>
              <w:right w:val="single" w:sz="6" w:space="0" w:color="auto"/>
            </w:tcBorders>
          </w:tcPr>
          <w:p w14:paraId="00918EF1"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r>
      <w:tr w:rsidR="00E45C0B" w14:paraId="1DEB971E" w14:textId="77777777" w:rsidTr="00E45C0B">
        <w:trPr>
          <w:trHeight w:val="290"/>
        </w:trPr>
        <w:tc>
          <w:tcPr>
            <w:tcW w:w="1008" w:type="dxa"/>
            <w:tcBorders>
              <w:top w:val="single" w:sz="6" w:space="0" w:color="auto"/>
              <w:left w:val="single" w:sz="6" w:space="0" w:color="auto"/>
              <w:bottom w:val="single" w:sz="6" w:space="0" w:color="auto"/>
              <w:right w:val="single" w:sz="6" w:space="0" w:color="auto"/>
            </w:tcBorders>
          </w:tcPr>
          <w:p w14:paraId="17556D8B"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Canada</w:t>
            </w:r>
          </w:p>
        </w:tc>
        <w:tc>
          <w:tcPr>
            <w:tcW w:w="2448" w:type="dxa"/>
            <w:tcBorders>
              <w:top w:val="single" w:sz="6" w:space="0" w:color="auto"/>
              <w:left w:val="single" w:sz="6" w:space="0" w:color="auto"/>
              <w:bottom w:val="single" w:sz="6" w:space="0" w:color="auto"/>
              <w:right w:val="single" w:sz="6" w:space="0" w:color="auto"/>
            </w:tcBorders>
          </w:tcPr>
          <w:p w14:paraId="43582C83"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Neilson, John</w:t>
            </w:r>
          </w:p>
        </w:tc>
        <w:tc>
          <w:tcPr>
            <w:tcW w:w="2448" w:type="dxa"/>
            <w:tcBorders>
              <w:top w:val="single" w:sz="6" w:space="0" w:color="auto"/>
              <w:left w:val="single" w:sz="6" w:space="0" w:color="auto"/>
              <w:bottom w:val="single" w:sz="6" w:space="0" w:color="auto"/>
              <w:right w:val="single" w:sz="6" w:space="0" w:color="auto"/>
            </w:tcBorders>
          </w:tcPr>
          <w:p w14:paraId="28B06E37"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Meeting Chair</w:t>
            </w:r>
          </w:p>
        </w:tc>
        <w:tc>
          <w:tcPr>
            <w:tcW w:w="1003" w:type="dxa"/>
            <w:tcBorders>
              <w:top w:val="single" w:sz="6" w:space="0" w:color="auto"/>
              <w:left w:val="single" w:sz="6" w:space="0" w:color="auto"/>
              <w:bottom w:val="single" w:sz="6" w:space="0" w:color="auto"/>
              <w:right w:val="single" w:sz="6" w:space="0" w:color="auto"/>
            </w:tcBorders>
          </w:tcPr>
          <w:p w14:paraId="1380F88B"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4" w:type="dxa"/>
            <w:tcBorders>
              <w:top w:val="single" w:sz="6" w:space="0" w:color="auto"/>
              <w:left w:val="single" w:sz="6" w:space="0" w:color="auto"/>
              <w:bottom w:val="single" w:sz="6" w:space="0" w:color="auto"/>
              <w:right w:val="single" w:sz="6" w:space="0" w:color="auto"/>
            </w:tcBorders>
          </w:tcPr>
          <w:p w14:paraId="55CBA7B0"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3" w:type="dxa"/>
            <w:tcBorders>
              <w:top w:val="single" w:sz="6" w:space="0" w:color="auto"/>
              <w:left w:val="single" w:sz="6" w:space="0" w:color="auto"/>
              <w:bottom w:val="single" w:sz="6" w:space="0" w:color="auto"/>
              <w:right w:val="single" w:sz="6" w:space="0" w:color="auto"/>
            </w:tcBorders>
          </w:tcPr>
          <w:p w14:paraId="00ECF7D0"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r>
      <w:tr w:rsidR="00E45C0B" w14:paraId="1F0B180D" w14:textId="77777777" w:rsidTr="00E45C0B">
        <w:trPr>
          <w:trHeight w:val="290"/>
        </w:trPr>
        <w:tc>
          <w:tcPr>
            <w:tcW w:w="1008" w:type="dxa"/>
            <w:tcBorders>
              <w:top w:val="single" w:sz="6" w:space="0" w:color="auto"/>
              <w:left w:val="single" w:sz="6" w:space="0" w:color="auto"/>
              <w:bottom w:val="single" w:sz="6" w:space="0" w:color="auto"/>
              <w:right w:val="single" w:sz="6" w:space="0" w:color="auto"/>
            </w:tcBorders>
          </w:tcPr>
          <w:p w14:paraId="72112859"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US</w:t>
            </w:r>
          </w:p>
        </w:tc>
        <w:tc>
          <w:tcPr>
            <w:tcW w:w="2448" w:type="dxa"/>
            <w:tcBorders>
              <w:top w:val="single" w:sz="6" w:space="0" w:color="auto"/>
              <w:left w:val="single" w:sz="6" w:space="0" w:color="auto"/>
              <w:bottom w:val="single" w:sz="6" w:space="0" w:color="auto"/>
              <w:right w:val="single" w:sz="6" w:space="0" w:color="auto"/>
            </w:tcBorders>
          </w:tcPr>
          <w:p w14:paraId="1745CA7E" w14:textId="77777777" w:rsidR="00A10C88" w:rsidRDefault="00A10C88">
            <w:pPr>
              <w:autoSpaceDE w:val="0"/>
              <w:autoSpaceDN w:val="0"/>
              <w:adjustRightInd w:val="0"/>
              <w:spacing w:before="0" w:after="0"/>
              <w:rPr>
                <w:rFonts w:ascii="Calibri" w:hAnsi="Calibri" w:cs="Calibri"/>
                <w:color w:val="000000"/>
                <w:szCs w:val="22"/>
                <w:lang w:val="en-CA" w:eastAsia="en-CA"/>
              </w:rPr>
            </w:pPr>
            <w:proofErr w:type="spellStart"/>
            <w:r>
              <w:rPr>
                <w:rFonts w:ascii="Calibri" w:hAnsi="Calibri" w:cs="Calibri"/>
                <w:color w:val="000000"/>
                <w:szCs w:val="22"/>
                <w:lang w:val="en-CA" w:eastAsia="en-CA"/>
              </w:rPr>
              <w:t>Nies</w:t>
            </w:r>
            <w:proofErr w:type="spellEnd"/>
            <w:r>
              <w:rPr>
                <w:rFonts w:ascii="Calibri" w:hAnsi="Calibri" w:cs="Calibri"/>
                <w:color w:val="000000"/>
                <w:szCs w:val="22"/>
                <w:lang w:val="en-CA" w:eastAsia="en-CA"/>
              </w:rPr>
              <w:t>, Tom</w:t>
            </w:r>
          </w:p>
        </w:tc>
        <w:tc>
          <w:tcPr>
            <w:tcW w:w="2448" w:type="dxa"/>
            <w:tcBorders>
              <w:top w:val="single" w:sz="6" w:space="0" w:color="auto"/>
              <w:left w:val="single" w:sz="6" w:space="0" w:color="auto"/>
              <w:bottom w:val="single" w:sz="6" w:space="0" w:color="auto"/>
              <w:right w:val="single" w:sz="6" w:space="0" w:color="auto"/>
            </w:tcBorders>
          </w:tcPr>
          <w:p w14:paraId="6B761212" w14:textId="77777777" w:rsidR="00A10C88" w:rsidRDefault="00E45C0B">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NEFMC</w:t>
            </w:r>
          </w:p>
        </w:tc>
        <w:tc>
          <w:tcPr>
            <w:tcW w:w="1003" w:type="dxa"/>
            <w:tcBorders>
              <w:top w:val="single" w:sz="6" w:space="0" w:color="auto"/>
              <w:left w:val="single" w:sz="6" w:space="0" w:color="auto"/>
              <w:bottom w:val="single" w:sz="6" w:space="0" w:color="auto"/>
              <w:right w:val="single" w:sz="6" w:space="0" w:color="auto"/>
            </w:tcBorders>
          </w:tcPr>
          <w:p w14:paraId="2BA035A0"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4" w:type="dxa"/>
            <w:tcBorders>
              <w:top w:val="single" w:sz="6" w:space="0" w:color="auto"/>
              <w:left w:val="single" w:sz="6" w:space="0" w:color="auto"/>
              <w:bottom w:val="single" w:sz="6" w:space="0" w:color="auto"/>
              <w:right w:val="single" w:sz="6" w:space="0" w:color="auto"/>
            </w:tcBorders>
          </w:tcPr>
          <w:p w14:paraId="3C3602FB" w14:textId="079E433D" w:rsidR="00A10C88" w:rsidRDefault="0089006E">
            <w:pPr>
              <w:autoSpaceDE w:val="0"/>
              <w:autoSpaceDN w:val="0"/>
              <w:adjustRightInd w:val="0"/>
              <w:spacing w:before="0" w:after="0"/>
              <w:jc w:val="center"/>
              <w:rPr>
                <w:rFonts w:cs="Arial"/>
                <w:color w:val="000000"/>
                <w:sz w:val="20"/>
                <w:lang w:val="en-CA" w:eastAsia="en-CA"/>
              </w:rPr>
            </w:pPr>
            <w:r>
              <w:rPr>
                <w:rFonts w:cs="Arial"/>
                <w:color w:val="000000"/>
                <w:sz w:val="20"/>
                <w:lang w:val="en-CA" w:eastAsia="en-CA"/>
              </w:rPr>
              <w:t>-</w:t>
            </w:r>
          </w:p>
        </w:tc>
        <w:tc>
          <w:tcPr>
            <w:tcW w:w="1003" w:type="dxa"/>
            <w:tcBorders>
              <w:top w:val="single" w:sz="6" w:space="0" w:color="auto"/>
              <w:left w:val="single" w:sz="6" w:space="0" w:color="auto"/>
              <w:bottom w:val="single" w:sz="6" w:space="0" w:color="auto"/>
              <w:right w:val="single" w:sz="6" w:space="0" w:color="auto"/>
            </w:tcBorders>
          </w:tcPr>
          <w:p w14:paraId="7F1D3870" w14:textId="279ECDD2" w:rsidR="00A10C88" w:rsidRDefault="0089006E">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w:t>
            </w:r>
          </w:p>
        </w:tc>
      </w:tr>
      <w:tr w:rsidR="00E45C0B" w14:paraId="2CDB4757" w14:textId="77777777" w:rsidTr="00E45C0B">
        <w:trPr>
          <w:trHeight w:val="290"/>
        </w:trPr>
        <w:tc>
          <w:tcPr>
            <w:tcW w:w="1008" w:type="dxa"/>
            <w:tcBorders>
              <w:top w:val="single" w:sz="6" w:space="0" w:color="auto"/>
              <w:left w:val="single" w:sz="6" w:space="0" w:color="auto"/>
              <w:bottom w:val="single" w:sz="6" w:space="0" w:color="auto"/>
              <w:right w:val="single" w:sz="6" w:space="0" w:color="auto"/>
            </w:tcBorders>
          </w:tcPr>
          <w:p w14:paraId="07A66BD7"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US</w:t>
            </w:r>
          </w:p>
        </w:tc>
        <w:tc>
          <w:tcPr>
            <w:tcW w:w="2448" w:type="dxa"/>
            <w:tcBorders>
              <w:top w:val="single" w:sz="6" w:space="0" w:color="auto"/>
              <w:left w:val="single" w:sz="6" w:space="0" w:color="auto"/>
              <w:bottom w:val="single" w:sz="6" w:space="0" w:color="auto"/>
              <w:right w:val="single" w:sz="6" w:space="0" w:color="auto"/>
            </w:tcBorders>
          </w:tcPr>
          <w:p w14:paraId="1683C4AA" w14:textId="77777777" w:rsidR="00A10C88" w:rsidRDefault="00A10C88">
            <w:pPr>
              <w:autoSpaceDE w:val="0"/>
              <w:autoSpaceDN w:val="0"/>
              <w:adjustRightInd w:val="0"/>
              <w:spacing w:before="0" w:after="0"/>
              <w:rPr>
                <w:rFonts w:ascii="Calibri" w:hAnsi="Calibri" w:cs="Calibri"/>
                <w:color w:val="000000"/>
                <w:szCs w:val="22"/>
                <w:lang w:val="en-CA" w:eastAsia="en-CA"/>
              </w:rPr>
            </w:pPr>
            <w:proofErr w:type="spellStart"/>
            <w:r>
              <w:rPr>
                <w:rFonts w:ascii="Calibri" w:hAnsi="Calibri" w:cs="Calibri"/>
                <w:color w:val="000000"/>
                <w:szCs w:val="22"/>
                <w:lang w:val="en-CA" w:eastAsia="en-CA"/>
              </w:rPr>
              <w:t>Peros</w:t>
            </w:r>
            <w:proofErr w:type="spellEnd"/>
            <w:r>
              <w:rPr>
                <w:rFonts w:ascii="Calibri" w:hAnsi="Calibri" w:cs="Calibri"/>
                <w:color w:val="000000"/>
                <w:szCs w:val="22"/>
                <w:lang w:val="en-CA" w:eastAsia="en-CA"/>
              </w:rPr>
              <w:t>, Jonathan</w:t>
            </w:r>
          </w:p>
        </w:tc>
        <w:tc>
          <w:tcPr>
            <w:tcW w:w="2448" w:type="dxa"/>
            <w:tcBorders>
              <w:top w:val="single" w:sz="6" w:space="0" w:color="auto"/>
              <w:left w:val="single" w:sz="6" w:space="0" w:color="auto"/>
              <w:bottom w:val="single" w:sz="6" w:space="0" w:color="auto"/>
              <w:right w:val="single" w:sz="6" w:space="0" w:color="auto"/>
            </w:tcBorders>
          </w:tcPr>
          <w:p w14:paraId="581C7204" w14:textId="3BD0BF46"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NOAA (web)</w:t>
            </w:r>
          </w:p>
        </w:tc>
        <w:tc>
          <w:tcPr>
            <w:tcW w:w="1003" w:type="dxa"/>
            <w:tcBorders>
              <w:top w:val="single" w:sz="6" w:space="0" w:color="auto"/>
              <w:left w:val="single" w:sz="6" w:space="0" w:color="auto"/>
              <w:bottom w:val="single" w:sz="6" w:space="0" w:color="auto"/>
              <w:right w:val="single" w:sz="6" w:space="0" w:color="auto"/>
            </w:tcBorders>
          </w:tcPr>
          <w:p w14:paraId="564EEF80"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4" w:type="dxa"/>
            <w:tcBorders>
              <w:top w:val="single" w:sz="6" w:space="0" w:color="auto"/>
              <w:left w:val="single" w:sz="6" w:space="0" w:color="auto"/>
              <w:bottom w:val="single" w:sz="6" w:space="0" w:color="auto"/>
              <w:right w:val="single" w:sz="6" w:space="0" w:color="auto"/>
            </w:tcBorders>
          </w:tcPr>
          <w:p w14:paraId="2D46D87E"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3" w:type="dxa"/>
            <w:tcBorders>
              <w:top w:val="single" w:sz="6" w:space="0" w:color="auto"/>
              <w:left w:val="single" w:sz="6" w:space="0" w:color="auto"/>
              <w:bottom w:val="single" w:sz="6" w:space="0" w:color="auto"/>
              <w:right w:val="single" w:sz="6" w:space="0" w:color="auto"/>
            </w:tcBorders>
          </w:tcPr>
          <w:p w14:paraId="11EC2F32"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r>
      <w:tr w:rsidR="00E45C0B" w14:paraId="5CF09375" w14:textId="77777777" w:rsidTr="00E45C0B">
        <w:trPr>
          <w:trHeight w:val="290"/>
        </w:trPr>
        <w:tc>
          <w:tcPr>
            <w:tcW w:w="1008" w:type="dxa"/>
            <w:tcBorders>
              <w:top w:val="single" w:sz="6" w:space="0" w:color="auto"/>
              <w:left w:val="single" w:sz="6" w:space="0" w:color="auto"/>
              <w:bottom w:val="single" w:sz="6" w:space="0" w:color="auto"/>
              <w:right w:val="single" w:sz="6" w:space="0" w:color="auto"/>
            </w:tcBorders>
          </w:tcPr>
          <w:p w14:paraId="734C9497"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US</w:t>
            </w:r>
          </w:p>
        </w:tc>
        <w:tc>
          <w:tcPr>
            <w:tcW w:w="2448" w:type="dxa"/>
            <w:tcBorders>
              <w:top w:val="single" w:sz="6" w:space="0" w:color="auto"/>
              <w:left w:val="single" w:sz="6" w:space="0" w:color="auto"/>
              <w:bottom w:val="single" w:sz="6" w:space="0" w:color="auto"/>
              <w:right w:val="single" w:sz="6" w:space="0" w:color="auto"/>
            </w:tcBorders>
          </w:tcPr>
          <w:p w14:paraId="5BED69B4"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Roman, Sally</w:t>
            </w:r>
          </w:p>
        </w:tc>
        <w:tc>
          <w:tcPr>
            <w:tcW w:w="2448" w:type="dxa"/>
            <w:tcBorders>
              <w:top w:val="single" w:sz="6" w:space="0" w:color="auto"/>
              <w:left w:val="single" w:sz="6" w:space="0" w:color="auto"/>
              <w:bottom w:val="single" w:sz="6" w:space="0" w:color="auto"/>
              <w:right w:val="single" w:sz="6" w:space="0" w:color="auto"/>
            </w:tcBorders>
          </w:tcPr>
          <w:p w14:paraId="3DFCFA2E"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Academia</w:t>
            </w:r>
          </w:p>
        </w:tc>
        <w:tc>
          <w:tcPr>
            <w:tcW w:w="1003" w:type="dxa"/>
            <w:tcBorders>
              <w:top w:val="single" w:sz="6" w:space="0" w:color="auto"/>
              <w:left w:val="single" w:sz="6" w:space="0" w:color="auto"/>
              <w:bottom w:val="single" w:sz="6" w:space="0" w:color="auto"/>
              <w:right w:val="single" w:sz="6" w:space="0" w:color="auto"/>
            </w:tcBorders>
          </w:tcPr>
          <w:p w14:paraId="2D167DBF"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4" w:type="dxa"/>
            <w:tcBorders>
              <w:top w:val="single" w:sz="6" w:space="0" w:color="auto"/>
              <w:left w:val="single" w:sz="6" w:space="0" w:color="auto"/>
              <w:bottom w:val="single" w:sz="6" w:space="0" w:color="auto"/>
              <w:right w:val="single" w:sz="6" w:space="0" w:color="auto"/>
            </w:tcBorders>
          </w:tcPr>
          <w:p w14:paraId="52E2C35B" w14:textId="5289B2D4" w:rsidR="00A10C88" w:rsidRDefault="0089006E">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w:t>
            </w:r>
          </w:p>
        </w:tc>
        <w:tc>
          <w:tcPr>
            <w:tcW w:w="1003" w:type="dxa"/>
            <w:tcBorders>
              <w:top w:val="single" w:sz="6" w:space="0" w:color="auto"/>
              <w:left w:val="single" w:sz="6" w:space="0" w:color="auto"/>
              <w:bottom w:val="single" w:sz="6" w:space="0" w:color="auto"/>
              <w:right w:val="single" w:sz="6" w:space="0" w:color="auto"/>
            </w:tcBorders>
          </w:tcPr>
          <w:p w14:paraId="606D5206" w14:textId="124AAD4F" w:rsidR="00A10C88" w:rsidRDefault="0089006E">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w:t>
            </w:r>
          </w:p>
        </w:tc>
      </w:tr>
      <w:tr w:rsidR="00E45C0B" w14:paraId="757A2720" w14:textId="77777777" w:rsidTr="00E45C0B">
        <w:trPr>
          <w:trHeight w:val="290"/>
        </w:trPr>
        <w:tc>
          <w:tcPr>
            <w:tcW w:w="1008" w:type="dxa"/>
            <w:tcBorders>
              <w:top w:val="single" w:sz="6" w:space="0" w:color="auto"/>
              <w:left w:val="single" w:sz="6" w:space="0" w:color="auto"/>
              <w:bottom w:val="single" w:sz="6" w:space="0" w:color="auto"/>
              <w:right w:val="single" w:sz="6" w:space="0" w:color="auto"/>
            </w:tcBorders>
          </w:tcPr>
          <w:p w14:paraId="1455E332"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US</w:t>
            </w:r>
          </w:p>
        </w:tc>
        <w:tc>
          <w:tcPr>
            <w:tcW w:w="2448" w:type="dxa"/>
            <w:tcBorders>
              <w:top w:val="single" w:sz="6" w:space="0" w:color="auto"/>
              <w:left w:val="single" w:sz="6" w:space="0" w:color="auto"/>
              <w:bottom w:val="single" w:sz="6" w:space="0" w:color="auto"/>
              <w:right w:val="single" w:sz="6" w:space="0" w:color="auto"/>
            </w:tcBorders>
          </w:tcPr>
          <w:p w14:paraId="3DF9BA06"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Simpkins, Mike</w:t>
            </w:r>
          </w:p>
        </w:tc>
        <w:tc>
          <w:tcPr>
            <w:tcW w:w="2448" w:type="dxa"/>
            <w:tcBorders>
              <w:top w:val="single" w:sz="6" w:space="0" w:color="auto"/>
              <w:left w:val="single" w:sz="6" w:space="0" w:color="auto"/>
              <w:bottom w:val="single" w:sz="6" w:space="0" w:color="auto"/>
              <w:right w:val="single" w:sz="6" w:space="0" w:color="auto"/>
            </w:tcBorders>
          </w:tcPr>
          <w:p w14:paraId="30624F3F"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NEFSC - NOAA</w:t>
            </w:r>
          </w:p>
        </w:tc>
        <w:tc>
          <w:tcPr>
            <w:tcW w:w="1003" w:type="dxa"/>
            <w:tcBorders>
              <w:top w:val="single" w:sz="6" w:space="0" w:color="auto"/>
              <w:left w:val="single" w:sz="6" w:space="0" w:color="auto"/>
              <w:bottom w:val="single" w:sz="6" w:space="0" w:color="auto"/>
              <w:right w:val="single" w:sz="6" w:space="0" w:color="auto"/>
            </w:tcBorders>
          </w:tcPr>
          <w:p w14:paraId="46870046"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4" w:type="dxa"/>
            <w:tcBorders>
              <w:top w:val="single" w:sz="6" w:space="0" w:color="auto"/>
              <w:left w:val="single" w:sz="6" w:space="0" w:color="auto"/>
              <w:bottom w:val="single" w:sz="6" w:space="0" w:color="auto"/>
              <w:right w:val="single" w:sz="6" w:space="0" w:color="auto"/>
            </w:tcBorders>
          </w:tcPr>
          <w:p w14:paraId="442255D8" w14:textId="77777777" w:rsidR="00A10C88" w:rsidRDefault="00A10C88">
            <w:pPr>
              <w:autoSpaceDE w:val="0"/>
              <w:autoSpaceDN w:val="0"/>
              <w:adjustRightInd w:val="0"/>
              <w:spacing w:before="0" w:after="0"/>
              <w:jc w:val="center"/>
              <w:rPr>
                <w:rFonts w:cs="Arial"/>
                <w:color w:val="000000"/>
                <w:sz w:val="20"/>
                <w:lang w:val="en-CA" w:eastAsia="en-CA"/>
              </w:rPr>
            </w:pPr>
            <w:r>
              <w:rPr>
                <w:rFonts w:cs="Arial"/>
                <w:color w:val="000000"/>
                <w:sz w:val="20"/>
                <w:lang w:val="en-CA" w:eastAsia="en-CA"/>
              </w:rPr>
              <w:t>x</w:t>
            </w:r>
          </w:p>
        </w:tc>
        <w:tc>
          <w:tcPr>
            <w:tcW w:w="1003" w:type="dxa"/>
            <w:tcBorders>
              <w:top w:val="single" w:sz="6" w:space="0" w:color="auto"/>
              <w:left w:val="single" w:sz="6" w:space="0" w:color="auto"/>
              <w:bottom w:val="single" w:sz="6" w:space="0" w:color="auto"/>
              <w:right w:val="single" w:sz="6" w:space="0" w:color="auto"/>
            </w:tcBorders>
          </w:tcPr>
          <w:p w14:paraId="74442631"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r>
      <w:tr w:rsidR="00E45C0B" w14:paraId="6AF0E970" w14:textId="77777777" w:rsidTr="00E45C0B">
        <w:trPr>
          <w:trHeight w:val="290"/>
        </w:trPr>
        <w:tc>
          <w:tcPr>
            <w:tcW w:w="1008" w:type="dxa"/>
            <w:tcBorders>
              <w:top w:val="single" w:sz="6" w:space="0" w:color="auto"/>
              <w:left w:val="single" w:sz="6" w:space="0" w:color="auto"/>
              <w:bottom w:val="single" w:sz="6" w:space="0" w:color="auto"/>
              <w:right w:val="single" w:sz="6" w:space="0" w:color="auto"/>
            </w:tcBorders>
          </w:tcPr>
          <w:p w14:paraId="6A3BE43E"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Canada</w:t>
            </w:r>
          </w:p>
        </w:tc>
        <w:tc>
          <w:tcPr>
            <w:tcW w:w="2448" w:type="dxa"/>
            <w:tcBorders>
              <w:top w:val="single" w:sz="6" w:space="0" w:color="auto"/>
              <w:left w:val="single" w:sz="6" w:space="0" w:color="auto"/>
              <w:bottom w:val="single" w:sz="6" w:space="0" w:color="auto"/>
              <w:right w:val="single" w:sz="6" w:space="0" w:color="auto"/>
            </w:tcBorders>
          </w:tcPr>
          <w:p w14:paraId="16B014D7" w14:textId="77777777" w:rsidR="00A10C88" w:rsidRDefault="00A10C88">
            <w:pPr>
              <w:autoSpaceDE w:val="0"/>
              <w:autoSpaceDN w:val="0"/>
              <w:adjustRightInd w:val="0"/>
              <w:spacing w:before="0" w:after="0"/>
              <w:rPr>
                <w:rFonts w:ascii="Calibri" w:hAnsi="Calibri" w:cs="Calibri"/>
                <w:color w:val="000000"/>
                <w:szCs w:val="22"/>
                <w:lang w:val="en-CA" w:eastAsia="en-CA"/>
              </w:rPr>
            </w:pPr>
            <w:proofErr w:type="spellStart"/>
            <w:r>
              <w:rPr>
                <w:rFonts w:ascii="Calibri" w:hAnsi="Calibri" w:cs="Calibri"/>
                <w:color w:val="000000"/>
                <w:szCs w:val="22"/>
                <w:lang w:val="en-CA" w:eastAsia="en-CA"/>
              </w:rPr>
              <w:t>Smedbol</w:t>
            </w:r>
            <w:proofErr w:type="spellEnd"/>
            <w:r>
              <w:rPr>
                <w:rFonts w:ascii="Calibri" w:hAnsi="Calibri" w:cs="Calibri"/>
                <w:color w:val="000000"/>
                <w:szCs w:val="22"/>
                <w:lang w:val="en-CA" w:eastAsia="en-CA"/>
              </w:rPr>
              <w:t>, Kent</w:t>
            </w:r>
          </w:p>
        </w:tc>
        <w:tc>
          <w:tcPr>
            <w:tcW w:w="2448" w:type="dxa"/>
            <w:tcBorders>
              <w:top w:val="single" w:sz="6" w:space="0" w:color="auto"/>
              <w:left w:val="single" w:sz="6" w:space="0" w:color="auto"/>
              <w:bottom w:val="single" w:sz="6" w:space="0" w:color="auto"/>
              <w:right w:val="single" w:sz="6" w:space="0" w:color="auto"/>
            </w:tcBorders>
          </w:tcPr>
          <w:p w14:paraId="7C1C284F"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DFO Maritimes</w:t>
            </w:r>
          </w:p>
        </w:tc>
        <w:tc>
          <w:tcPr>
            <w:tcW w:w="1003" w:type="dxa"/>
            <w:tcBorders>
              <w:top w:val="single" w:sz="6" w:space="0" w:color="auto"/>
              <w:left w:val="single" w:sz="6" w:space="0" w:color="auto"/>
              <w:bottom w:val="single" w:sz="6" w:space="0" w:color="auto"/>
              <w:right w:val="single" w:sz="6" w:space="0" w:color="auto"/>
            </w:tcBorders>
          </w:tcPr>
          <w:p w14:paraId="5F436558"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4" w:type="dxa"/>
            <w:tcBorders>
              <w:top w:val="single" w:sz="6" w:space="0" w:color="auto"/>
              <w:left w:val="single" w:sz="6" w:space="0" w:color="auto"/>
              <w:bottom w:val="single" w:sz="6" w:space="0" w:color="auto"/>
              <w:right w:val="single" w:sz="6" w:space="0" w:color="auto"/>
            </w:tcBorders>
          </w:tcPr>
          <w:p w14:paraId="3793CA8B"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3" w:type="dxa"/>
            <w:tcBorders>
              <w:top w:val="single" w:sz="6" w:space="0" w:color="auto"/>
              <w:left w:val="single" w:sz="6" w:space="0" w:color="auto"/>
              <w:bottom w:val="single" w:sz="6" w:space="0" w:color="auto"/>
              <w:right w:val="single" w:sz="6" w:space="0" w:color="auto"/>
            </w:tcBorders>
          </w:tcPr>
          <w:p w14:paraId="3BCE0DB7" w14:textId="55E77621" w:rsidR="00A10C88" w:rsidRDefault="0089006E">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w:t>
            </w:r>
          </w:p>
        </w:tc>
      </w:tr>
      <w:tr w:rsidR="00E45C0B" w14:paraId="3C6AB566" w14:textId="77777777" w:rsidTr="00E45C0B">
        <w:trPr>
          <w:trHeight w:val="290"/>
        </w:trPr>
        <w:tc>
          <w:tcPr>
            <w:tcW w:w="1008" w:type="dxa"/>
            <w:tcBorders>
              <w:top w:val="single" w:sz="6" w:space="0" w:color="auto"/>
              <w:left w:val="single" w:sz="6" w:space="0" w:color="auto"/>
              <w:bottom w:val="single" w:sz="6" w:space="0" w:color="auto"/>
              <w:right w:val="single" w:sz="6" w:space="0" w:color="auto"/>
            </w:tcBorders>
          </w:tcPr>
          <w:p w14:paraId="3738643A"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US</w:t>
            </w:r>
          </w:p>
        </w:tc>
        <w:tc>
          <w:tcPr>
            <w:tcW w:w="2448" w:type="dxa"/>
            <w:tcBorders>
              <w:top w:val="single" w:sz="6" w:space="0" w:color="auto"/>
              <w:left w:val="single" w:sz="6" w:space="0" w:color="auto"/>
              <w:bottom w:val="single" w:sz="6" w:space="0" w:color="auto"/>
              <w:right w:val="single" w:sz="6" w:space="0" w:color="auto"/>
            </w:tcBorders>
          </w:tcPr>
          <w:p w14:paraId="0969C656"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Stockwell, Terry</w:t>
            </w:r>
          </w:p>
        </w:tc>
        <w:tc>
          <w:tcPr>
            <w:tcW w:w="2448" w:type="dxa"/>
            <w:tcBorders>
              <w:top w:val="single" w:sz="6" w:space="0" w:color="auto"/>
              <w:left w:val="single" w:sz="6" w:space="0" w:color="auto"/>
              <w:bottom w:val="single" w:sz="6" w:space="0" w:color="auto"/>
              <w:right w:val="single" w:sz="6" w:space="0" w:color="auto"/>
            </w:tcBorders>
          </w:tcPr>
          <w:p w14:paraId="39EA8CBC"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TMGC co-chair (web)</w:t>
            </w:r>
          </w:p>
        </w:tc>
        <w:tc>
          <w:tcPr>
            <w:tcW w:w="1003" w:type="dxa"/>
            <w:tcBorders>
              <w:top w:val="single" w:sz="6" w:space="0" w:color="auto"/>
              <w:left w:val="single" w:sz="6" w:space="0" w:color="auto"/>
              <w:bottom w:val="single" w:sz="6" w:space="0" w:color="auto"/>
              <w:right w:val="single" w:sz="6" w:space="0" w:color="auto"/>
            </w:tcBorders>
          </w:tcPr>
          <w:p w14:paraId="7625EAAD"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4" w:type="dxa"/>
            <w:tcBorders>
              <w:top w:val="single" w:sz="6" w:space="0" w:color="auto"/>
              <w:left w:val="single" w:sz="6" w:space="0" w:color="auto"/>
              <w:bottom w:val="single" w:sz="6" w:space="0" w:color="auto"/>
              <w:right w:val="single" w:sz="6" w:space="0" w:color="auto"/>
            </w:tcBorders>
          </w:tcPr>
          <w:p w14:paraId="27A8DBA5" w14:textId="4ABD12DE" w:rsidR="00A10C88" w:rsidRDefault="0089006E">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w:t>
            </w:r>
          </w:p>
        </w:tc>
        <w:tc>
          <w:tcPr>
            <w:tcW w:w="1003" w:type="dxa"/>
            <w:tcBorders>
              <w:top w:val="single" w:sz="6" w:space="0" w:color="auto"/>
              <w:left w:val="single" w:sz="6" w:space="0" w:color="auto"/>
              <w:bottom w:val="single" w:sz="6" w:space="0" w:color="auto"/>
              <w:right w:val="single" w:sz="6" w:space="0" w:color="auto"/>
            </w:tcBorders>
          </w:tcPr>
          <w:p w14:paraId="13FF18E5" w14:textId="2BABC64D" w:rsidR="00A10C88" w:rsidRDefault="0089006E">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w:t>
            </w:r>
          </w:p>
        </w:tc>
      </w:tr>
      <w:tr w:rsidR="00E45C0B" w14:paraId="0679E6E5" w14:textId="77777777" w:rsidTr="00E45C0B">
        <w:trPr>
          <w:trHeight w:val="290"/>
        </w:trPr>
        <w:tc>
          <w:tcPr>
            <w:tcW w:w="1008" w:type="dxa"/>
            <w:tcBorders>
              <w:top w:val="single" w:sz="6" w:space="0" w:color="auto"/>
              <w:left w:val="single" w:sz="6" w:space="0" w:color="auto"/>
              <w:bottom w:val="single" w:sz="6" w:space="0" w:color="auto"/>
              <w:right w:val="single" w:sz="6" w:space="0" w:color="auto"/>
            </w:tcBorders>
          </w:tcPr>
          <w:p w14:paraId="64BDEA56"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US</w:t>
            </w:r>
          </w:p>
        </w:tc>
        <w:tc>
          <w:tcPr>
            <w:tcW w:w="2448" w:type="dxa"/>
            <w:tcBorders>
              <w:top w:val="single" w:sz="6" w:space="0" w:color="auto"/>
              <w:left w:val="single" w:sz="6" w:space="0" w:color="auto"/>
              <w:bottom w:val="single" w:sz="6" w:space="0" w:color="auto"/>
              <w:right w:val="single" w:sz="6" w:space="0" w:color="auto"/>
            </w:tcBorders>
          </w:tcPr>
          <w:p w14:paraId="64D3CEBD" w14:textId="77777777" w:rsidR="00A10C88" w:rsidRDefault="00A10C88">
            <w:pPr>
              <w:autoSpaceDE w:val="0"/>
              <w:autoSpaceDN w:val="0"/>
              <w:adjustRightInd w:val="0"/>
              <w:spacing w:before="0" w:after="0"/>
              <w:rPr>
                <w:rFonts w:ascii="Calibri" w:hAnsi="Calibri" w:cs="Calibri"/>
                <w:color w:val="000000"/>
                <w:szCs w:val="22"/>
                <w:lang w:val="en-CA" w:eastAsia="en-CA"/>
              </w:rPr>
            </w:pPr>
            <w:proofErr w:type="spellStart"/>
            <w:r>
              <w:rPr>
                <w:rFonts w:ascii="Calibri" w:hAnsi="Calibri" w:cs="Calibri"/>
                <w:color w:val="000000"/>
                <w:szCs w:val="22"/>
                <w:lang w:val="en-CA" w:eastAsia="en-CA"/>
              </w:rPr>
              <w:t>Talmage</w:t>
            </w:r>
            <w:proofErr w:type="spellEnd"/>
            <w:r>
              <w:rPr>
                <w:rFonts w:ascii="Calibri" w:hAnsi="Calibri" w:cs="Calibri"/>
                <w:color w:val="000000"/>
                <w:szCs w:val="22"/>
                <w:lang w:val="en-CA" w:eastAsia="en-CA"/>
              </w:rPr>
              <w:t>, Spencer</w:t>
            </w:r>
          </w:p>
        </w:tc>
        <w:tc>
          <w:tcPr>
            <w:tcW w:w="2448" w:type="dxa"/>
            <w:tcBorders>
              <w:top w:val="single" w:sz="6" w:space="0" w:color="auto"/>
              <w:left w:val="single" w:sz="6" w:space="0" w:color="auto"/>
              <w:bottom w:val="single" w:sz="6" w:space="0" w:color="auto"/>
              <w:right w:val="single" w:sz="6" w:space="0" w:color="auto"/>
            </w:tcBorders>
          </w:tcPr>
          <w:p w14:paraId="2CAF1F46" w14:textId="6F83D0BF"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NOAA (web)</w:t>
            </w:r>
          </w:p>
        </w:tc>
        <w:tc>
          <w:tcPr>
            <w:tcW w:w="1003" w:type="dxa"/>
            <w:tcBorders>
              <w:top w:val="single" w:sz="6" w:space="0" w:color="auto"/>
              <w:left w:val="single" w:sz="6" w:space="0" w:color="auto"/>
              <w:bottom w:val="single" w:sz="6" w:space="0" w:color="auto"/>
              <w:right w:val="single" w:sz="6" w:space="0" w:color="auto"/>
            </w:tcBorders>
          </w:tcPr>
          <w:p w14:paraId="554F8882"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4" w:type="dxa"/>
            <w:tcBorders>
              <w:top w:val="single" w:sz="6" w:space="0" w:color="auto"/>
              <w:left w:val="single" w:sz="6" w:space="0" w:color="auto"/>
              <w:bottom w:val="single" w:sz="6" w:space="0" w:color="auto"/>
              <w:right w:val="single" w:sz="6" w:space="0" w:color="auto"/>
            </w:tcBorders>
          </w:tcPr>
          <w:p w14:paraId="6734D963"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3" w:type="dxa"/>
            <w:tcBorders>
              <w:top w:val="single" w:sz="6" w:space="0" w:color="auto"/>
              <w:left w:val="single" w:sz="6" w:space="0" w:color="auto"/>
              <w:bottom w:val="single" w:sz="6" w:space="0" w:color="auto"/>
              <w:right w:val="single" w:sz="6" w:space="0" w:color="auto"/>
            </w:tcBorders>
          </w:tcPr>
          <w:p w14:paraId="718495F6"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r>
      <w:tr w:rsidR="00E45C0B" w14:paraId="063C69D7" w14:textId="77777777" w:rsidTr="00E45C0B">
        <w:trPr>
          <w:trHeight w:val="290"/>
        </w:trPr>
        <w:tc>
          <w:tcPr>
            <w:tcW w:w="1008" w:type="dxa"/>
            <w:tcBorders>
              <w:top w:val="single" w:sz="6" w:space="0" w:color="auto"/>
              <w:left w:val="single" w:sz="6" w:space="0" w:color="auto"/>
              <w:bottom w:val="single" w:sz="6" w:space="0" w:color="auto"/>
              <w:right w:val="single" w:sz="6" w:space="0" w:color="auto"/>
            </w:tcBorders>
          </w:tcPr>
          <w:p w14:paraId="0D9BA1A8"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lastRenderedPageBreak/>
              <w:t>Canada</w:t>
            </w:r>
          </w:p>
        </w:tc>
        <w:tc>
          <w:tcPr>
            <w:tcW w:w="2448" w:type="dxa"/>
            <w:tcBorders>
              <w:top w:val="single" w:sz="6" w:space="0" w:color="auto"/>
              <w:left w:val="single" w:sz="6" w:space="0" w:color="auto"/>
              <w:bottom w:val="single" w:sz="6" w:space="0" w:color="auto"/>
              <w:right w:val="single" w:sz="6" w:space="0" w:color="auto"/>
            </w:tcBorders>
          </w:tcPr>
          <w:p w14:paraId="269561EE" w14:textId="77777777" w:rsidR="00A10C88" w:rsidRDefault="00A10C88">
            <w:pPr>
              <w:autoSpaceDE w:val="0"/>
              <w:autoSpaceDN w:val="0"/>
              <w:adjustRightInd w:val="0"/>
              <w:spacing w:before="0" w:after="0"/>
              <w:rPr>
                <w:rFonts w:ascii="Calibri" w:hAnsi="Calibri" w:cs="Calibri"/>
                <w:color w:val="000000"/>
                <w:szCs w:val="22"/>
                <w:lang w:val="en-CA" w:eastAsia="en-CA"/>
              </w:rPr>
            </w:pPr>
            <w:proofErr w:type="spellStart"/>
            <w:r>
              <w:rPr>
                <w:rFonts w:ascii="Calibri" w:hAnsi="Calibri" w:cs="Calibri"/>
                <w:color w:val="000000"/>
                <w:szCs w:val="22"/>
                <w:lang w:val="en-CA" w:eastAsia="en-CA"/>
              </w:rPr>
              <w:t>Vascotto</w:t>
            </w:r>
            <w:proofErr w:type="spellEnd"/>
            <w:r>
              <w:rPr>
                <w:rFonts w:ascii="Calibri" w:hAnsi="Calibri" w:cs="Calibri"/>
                <w:color w:val="000000"/>
                <w:szCs w:val="22"/>
                <w:lang w:val="en-CA" w:eastAsia="en-CA"/>
              </w:rPr>
              <w:t>, Kris</w:t>
            </w:r>
          </w:p>
        </w:tc>
        <w:tc>
          <w:tcPr>
            <w:tcW w:w="2448" w:type="dxa"/>
            <w:tcBorders>
              <w:top w:val="single" w:sz="6" w:space="0" w:color="auto"/>
              <w:left w:val="single" w:sz="6" w:space="0" w:color="auto"/>
              <w:bottom w:val="single" w:sz="6" w:space="0" w:color="auto"/>
              <w:right w:val="single" w:sz="6" w:space="0" w:color="auto"/>
            </w:tcBorders>
          </w:tcPr>
          <w:p w14:paraId="4BDAAE45"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Industry</w:t>
            </w:r>
          </w:p>
        </w:tc>
        <w:tc>
          <w:tcPr>
            <w:tcW w:w="1003" w:type="dxa"/>
            <w:tcBorders>
              <w:top w:val="single" w:sz="6" w:space="0" w:color="auto"/>
              <w:left w:val="single" w:sz="6" w:space="0" w:color="auto"/>
              <w:bottom w:val="single" w:sz="6" w:space="0" w:color="auto"/>
              <w:right w:val="single" w:sz="6" w:space="0" w:color="auto"/>
            </w:tcBorders>
          </w:tcPr>
          <w:p w14:paraId="1F5C597F"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4" w:type="dxa"/>
            <w:tcBorders>
              <w:top w:val="single" w:sz="6" w:space="0" w:color="auto"/>
              <w:left w:val="single" w:sz="6" w:space="0" w:color="auto"/>
              <w:bottom w:val="single" w:sz="6" w:space="0" w:color="auto"/>
              <w:right w:val="single" w:sz="6" w:space="0" w:color="auto"/>
            </w:tcBorders>
          </w:tcPr>
          <w:p w14:paraId="34E21B1A"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3" w:type="dxa"/>
            <w:tcBorders>
              <w:top w:val="single" w:sz="6" w:space="0" w:color="auto"/>
              <w:left w:val="single" w:sz="6" w:space="0" w:color="auto"/>
              <w:bottom w:val="single" w:sz="6" w:space="0" w:color="auto"/>
              <w:right w:val="single" w:sz="6" w:space="0" w:color="auto"/>
            </w:tcBorders>
          </w:tcPr>
          <w:p w14:paraId="6136969A"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r>
      <w:tr w:rsidR="00E45C0B" w14:paraId="7EA91C5F" w14:textId="77777777" w:rsidTr="00E45C0B">
        <w:trPr>
          <w:trHeight w:val="290"/>
        </w:trPr>
        <w:tc>
          <w:tcPr>
            <w:tcW w:w="1008" w:type="dxa"/>
            <w:tcBorders>
              <w:top w:val="single" w:sz="6" w:space="0" w:color="auto"/>
              <w:left w:val="single" w:sz="6" w:space="0" w:color="auto"/>
              <w:bottom w:val="single" w:sz="6" w:space="0" w:color="auto"/>
              <w:right w:val="single" w:sz="6" w:space="0" w:color="auto"/>
            </w:tcBorders>
          </w:tcPr>
          <w:p w14:paraId="56B5130E"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Canada</w:t>
            </w:r>
          </w:p>
        </w:tc>
        <w:tc>
          <w:tcPr>
            <w:tcW w:w="2448" w:type="dxa"/>
            <w:tcBorders>
              <w:top w:val="single" w:sz="6" w:space="0" w:color="auto"/>
              <w:left w:val="single" w:sz="6" w:space="0" w:color="auto"/>
              <w:bottom w:val="single" w:sz="6" w:space="0" w:color="auto"/>
              <w:right w:val="single" w:sz="6" w:space="0" w:color="auto"/>
            </w:tcBorders>
          </w:tcPr>
          <w:p w14:paraId="7BA8D188"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 xml:space="preserve">Wang, </w:t>
            </w:r>
            <w:proofErr w:type="spellStart"/>
            <w:r>
              <w:rPr>
                <w:rFonts w:ascii="Calibri" w:hAnsi="Calibri" w:cs="Calibri"/>
                <w:color w:val="000000"/>
                <w:szCs w:val="22"/>
                <w:lang w:val="en-CA" w:eastAsia="en-CA"/>
              </w:rPr>
              <w:t>Yanjun</w:t>
            </w:r>
            <w:proofErr w:type="spellEnd"/>
          </w:p>
        </w:tc>
        <w:tc>
          <w:tcPr>
            <w:tcW w:w="2448" w:type="dxa"/>
            <w:tcBorders>
              <w:top w:val="single" w:sz="6" w:space="0" w:color="auto"/>
              <w:left w:val="single" w:sz="6" w:space="0" w:color="auto"/>
              <w:bottom w:val="single" w:sz="6" w:space="0" w:color="auto"/>
              <w:right w:val="single" w:sz="6" w:space="0" w:color="auto"/>
            </w:tcBorders>
          </w:tcPr>
          <w:p w14:paraId="167B3942" w14:textId="77777777" w:rsidR="00A10C88" w:rsidRDefault="00A10C88">
            <w:pPr>
              <w:autoSpaceDE w:val="0"/>
              <w:autoSpaceDN w:val="0"/>
              <w:adjustRightInd w:val="0"/>
              <w:spacing w:before="0" w:after="0"/>
              <w:rPr>
                <w:rFonts w:ascii="Calibri" w:hAnsi="Calibri" w:cs="Calibri"/>
                <w:color w:val="000000"/>
                <w:szCs w:val="22"/>
                <w:lang w:val="en-CA" w:eastAsia="en-CA"/>
              </w:rPr>
            </w:pPr>
            <w:r>
              <w:rPr>
                <w:rFonts w:ascii="Calibri" w:hAnsi="Calibri" w:cs="Calibri"/>
                <w:color w:val="000000"/>
                <w:szCs w:val="22"/>
                <w:lang w:val="en-CA" w:eastAsia="en-CA"/>
              </w:rPr>
              <w:t>DFO Maritimes</w:t>
            </w:r>
          </w:p>
        </w:tc>
        <w:tc>
          <w:tcPr>
            <w:tcW w:w="1003" w:type="dxa"/>
            <w:tcBorders>
              <w:top w:val="single" w:sz="6" w:space="0" w:color="auto"/>
              <w:left w:val="single" w:sz="6" w:space="0" w:color="auto"/>
              <w:bottom w:val="single" w:sz="6" w:space="0" w:color="auto"/>
              <w:right w:val="single" w:sz="6" w:space="0" w:color="auto"/>
            </w:tcBorders>
          </w:tcPr>
          <w:p w14:paraId="10504D5B"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4" w:type="dxa"/>
            <w:tcBorders>
              <w:top w:val="single" w:sz="6" w:space="0" w:color="auto"/>
              <w:left w:val="single" w:sz="6" w:space="0" w:color="auto"/>
              <w:bottom w:val="single" w:sz="6" w:space="0" w:color="auto"/>
              <w:right w:val="single" w:sz="6" w:space="0" w:color="auto"/>
            </w:tcBorders>
          </w:tcPr>
          <w:p w14:paraId="73B44E42"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c>
          <w:tcPr>
            <w:tcW w:w="1003" w:type="dxa"/>
            <w:tcBorders>
              <w:top w:val="single" w:sz="6" w:space="0" w:color="auto"/>
              <w:left w:val="single" w:sz="6" w:space="0" w:color="auto"/>
              <w:bottom w:val="single" w:sz="6" w:space="0" w:color="auto"/>
              <w:right w:val="single" w:sz="6" w:space="0" w:color="auto"/>
            </w:tcBorders>
          </w:tcPr>
          <w:p w14:paraId="672B2EA3" w14:textId="77777777" w:rsidR="00A10C88" w:rsidRDefault="00A10C88">
            <w:pPr>
              <w:autoSpaceDE w:val="0"/>
              <w:autoSpaceDN w:val="0"/>
              <w:adjustRightInd w:val="0"/>
              <w:spacing w:before="0" w:after="0"/>
              <w:jc w:val="center"/>
              <w:rPr>
                <w:rFonts w:ascii="Calibri" w:hAnsi="Calibri" w:cs="Calibri"/>
                <w:color w:val="000000"/>
                <w:szCs w:val="22"/>
                <w:lang w:val="en-CA" w:eastAsia="en-CA"/>
              </w:rPr>
            </w:pPr>
            <w:r>
              <w:rPr>
                <w:rFonts w:ascii="Calibri" w:hAnsi="Calibri" w:cs="Calibri"/>
                <w:color w:val="000000"/>
                <w:szCs w:val="22"/>
                <w:lang w:val="en-CA" w:eastAsia="en-CA"/>
              </w:rPr>
              <w:t>x</w:t>
            </w:r>
          </w:p>
        </w:tc>
      </w:tr>
    </w:tbl>
    <w:p w14:paraId="2DC1792A" w14:textId="77777777" w:rsidR="00E45C0B" w:rsidRDefault="00E45C0B">
      <w:pPr>
        <w:spacing w:before="0" w:after="0"/>
        <w:rPr>
          <w:b/>
          <w:caps/>
          <w:sz w:val="24"/>
          <w:szCs w:val="24"/>
          <w:lang w:val="en-CA"/>
        </w:rPr>
      </w:pPr>
      <w:r>
        <w:br w:type="page"/>
      </w:r>
    </w:p>
    <w:p w14:paraId="725211A1" w14:textId="0080C079" w:rsidR="00A10C88" w:rsidRDefault="00797F23" w:rsidP="00E45C0B">
      <w:pPr>
        <w:pStyle w:val="Heading2"/>
      </w:pPr>
      <w:bookmarkStart w:id="35" w:name="_Toc44061525"/>
      <w:r>
        <w:rPr>
          <w:caps w:val="0"/>
        </w:rPr>
        <w:lastRenderedPageBreak/>
        <w:t>APPENDIX II. 2019 TERMS OF REFERENCE</w:t>
      </w:r>
      <w:bookmarkEnd w:id="35"/>
    </w:p>
    <w:p w14:paraId="517B315E" w14:textId="77777777" w:rsidR="00E45C0B" w:rsidRPr="00704AAA" w:rsidRDefault="00E45C0B" w:rsidP="00704AAA">
      <w:pPr>
        <w:pStyle w:val="BodyText"/>
        <w:jc w:val="center"/>
        <w:rPr>
          <w:b/>
          <w:sz w:val="24"/>
          <w:szCs w:val="24"/>
        </w:rPr>
      </w:pPr>
      <w:bookmarkStart w:id="36" w:name="_Toc272843742"/>
      <w:bookmarkStart w:id="37" w:name="_Toc272843941"/>
      <w:r w:rsidRPr="00704AAA">
        <w:rPr>
          <w:b/>
          <w:sz w:val="24"/>
          <w:szCs w:val="24"/>
        </w:rPr>
        <w:t>Transboundary Resources Assessment Committee (TRAC)</w:t>
      </w:r>
      <w:r w:rsidRPr="00704AAA">
        <w:rPr>
          <w:b/>
          <w:sz w:val="24"/>
          <w:szCs w:val="24"/>
        </w:rPr>
        <w:br/>
        <w:t>Assessment of Eastern Georges Bank Cod, Eastern Georges Bank Haddock, and Georges Bank Yellowtail</w:t>
      </w:r>
      <w:bookmarkEnd w:id="36"/>
      <w:bookmarkEnd w:id="37"/>
      <w:r w:rsidRPr="00704AAA">
        <w:rPr>
          <w:b/>
          <w:sz w:val="24"/>
          <w:szCs w:val="24"/>
        </w:rPr>
        <w:t xml:space="preserve"> Flounder</w:t>
      </w:r>
    </w:p>
    <w:p w14:paraId="7E21C1EE" w14:textId="315FF056" w:rsidR="00E45C0B" w:rsidRDefault="00E45C0B" w:rsidP="00A87719">
      <w:pPr>
        <w:pStyle w:val="BodyText"/>
        <w:spacing w:before="240" w:after="0"/>
        <w:rPr>
          <w:b/>
        </w:rPr>
      </w:pPr>
      <w:r w:rsidRPr="00C66A8A">
        <w:rPr>
          <w:b/>
        </w:rPr>
        <w:t>J</w:t>
      </w:r>
      <w:r>
        <w:rPr>
          <w:b/>
        </w:rPr>
        <w:t>uly 9</w:t>
      </w:r>
      <w:r w:rsidRPr="00C66A8A">
        <w:rPr>
          <w:b/>
        </w:rPr>
        <w:t>-1</w:t>
      </w:r>
      <w:r>
        <w:rPr>
          <w:b/>
        </w:rPr>
        <w:t>1</w:t>
      </w:r>
      <w:r w:rsidRPr="00C66A8A">
        <w:rPr>
          <w:b/>
        </w:rPr>
        <w:t>, 201</w:t>
      </w:r>
      <w:r>
        <w:rPr>
          <w:b/>
        </w:rPr>
        <w:t>9</w:t>
      </w:r>
    </w:p>
    <w:p w14:paraId="7019BF0B" w14:textId="77777777" w:rsidR="00E45C0B" w:rsidRDefault="00E45C0B" w:rsidP="00E45C0B">
      <w:pPr>
        <w:pStyle w:val="BodyText"/>
        <w:spacing w:before="0" w:after="0"/>
        <w:rPr>
          <w:b/>
        </w:rPr>
      </w:pPr>
      <w:r>
        <w:rPr>
          <w:b/>
        </w:rPr>
        <w:t>St. Andrews, NB</w:t>
      </w:r>
    </w:p>
    <w:p w14:paraId="26C3054E" w14:textId="77777777" w:rsidR="00E45C0B" w:rsidRPr="000A43EA" w:rsidRDefault="00E45C0B" w:rsidP="00E45C0B">
      <w:pPr>
        <w:pStyle w:val="BodyText"/>
        <w:spacing w:before="0" w:after="0"/>
        <w:rPr>
          <w:b/>
        </w:rPr>
      </w:pPr>
      <w:r>
        <w:rPr>
          <w:b/>
        </w:rPr>
        <w:t>Canada</w:t>
      </w:r>
    </w:p>
    <w:p w14:paraId="22AF4200" w14:textId="77777777" w:rsidR="00E45C0B" w:rsidRDefault="00E45C0B" w:rsidP="00E45C0B">
      <w:pPr>
        <w:pStyle w:val="BodyText"/>
      </w:pPr>
      <w:r>
        <w:t>Meeting Chair:  Dr. John Neilson</w:t>
      </w:r>
    </w:p>
    <w:p w14:paraId="3883CA79" w14:textId="77777777" w:rsidR="00E45C0B" w:rsidRDefault="00E45C0B" w:rsidP="00E45C0B">
      <w:pPr>
        <w:pStyle w:val="BodyText"/>
      </w:pPr>
      <w:r>
        <w:t>TRAC Co-chairs</w:t>
      </w:r>
      <w:r w:rsidRPr="00EE33AE">
        <w:t>:</w:t>
      </w:r>
      <w:r>
        <w:t xml:space="preserve">  Kirsten Clark (Canada) and Tara </w:t>
      </w:r>
      <w:proofErr w:type="spellStart"/>
      <w:r>
        <w:t>Trinko</w:t>
      </w:r>
      <w:proofErr w:type="spellEnd"/>
      <w:r>
        <w:t>-Lake</w:t>
      </w:r>
      <w:r w:rsidRPr="006357A4">
        <w:t xml:space="preserve"> (United States of America) </w:t>
      </w:r>
    </w:p>
    <w:p w14:paraId="32FB60F2" w14:textId="77777777" w:rsidR="00E45C0B" w:rsidRPr="000A43EA" w:rsidRDefault="00E45C0B" w:rsidP="00A87719">
      <w:pPr>
        <w:pStyle w:val="Heading4"/>
      </w:pPr>
      <w:r w:rsidRPr="000A43EA">
        <w:t>Objectives</w:t>
      </w:r>
    </w:p>
    <w:p w14:paraId="70C2E759" w14:textId="77777777" w:rsidR="00E45C0B" w:rsidRDefault="00E45C0B" w:rsidP="00E45C0B">
      <w:pPr>
        <w:pStyle w:val="BodyText"/>
      </w:pPr>
      <w:r>
        <w:t>The Transboundary Resources Assessment Committee (TRAC) annually obtains requests for harvest advice on transboundary resources from the Transboundary Management Guidance Committee (TMGC). For the following resources: Eastern Georges Bank Cod, Eastern Georges Bank Haddock, and Georges Bank Yellowtail Flounder:</w:t>
      </w:r>
    </w:p>
    <w:p w14:paraId="00322D75" w14:textId="77777777" w:rsidR="00E45C0B" w:rsidRDefault="00E45C0B" w:rsidP="00E45C0B">
      <w:pPr>
        <w:pStyle w:val="ListBullet"/>
        <w:numPr>
          <w:ilvl w:val="0"/>
          <w:numId w:val="0"/>
        </w:numPr>
        <w:rPr>
          <w:b/>
        </w:rPr>
      </w:pPr>
      <w:r>
        <w:rPr>
          <w:b/>
          <w:u w:val="single"/>
        </w:rPr>
        <w:t>Cod</w:t>
      </w:r>
      <w:r w:rsidRPr="00047C89">
        <w:rPr>
          <w:b/>
        </w:rPr>
        <w:t>:</w:t>
      </w:r>
    </w:p>
    <w:p w14:paraId="2006992E" w14:textId="77777777" w:rsidR="00E45C0B" w:rsidRPr="00D102DB" w:rsidRDefault="00E45C0B" w:rsidP="00D853EB">
      <w:pPr>
        <w:pStyle w:val="ListBullet"/>
      </w:pPr>
      <w:r w:rsidRPr="00D102DB">
        <w:t>Update the following biological and fishery indicators of the state of cod in the eastern GB management area with 2018-2019 data: condition factor, swept area survey biomass indices, fishery and survey catch at length, relative F, total mortality (Z), and catch.</w:t>
      </w:r>
    </w:p>
    <w:p w14:paraId="382F2B9E" w14:textId="77777777" w:rsidR="00E45C0B" w:rsidRPr="00D102DB" w:rsidRDefault="00E45C0B" w:rsidP="00D853EB">
      <w:pPr>
        <w:pStyle w:val="ListBullet"/>
      </w:pPr>
      <w:r w:rsidRPr="00D102DB">
        <w:t>Identify and comment on changes in survey and fishery indicators (relative to the 2018 TRAC).</w:t>
      </w:r>
    </w:p>
    <w:p w14:paraId="04A90D37" w14:textId="385F3F20" w:rsidR="00E45C0B" w:rsidRPr="009D4468" w:rsidRDefault="00E45C0B" w:rsidP="00D853EB">
      <w:pPr>
        <w:pStyle w:val="ListBullet"/>
        <w:rPr>
          <w:szCs w:val="22"/>
        </w:rPr>
      </w:pPr>
      <w:r w:rsidRPr="009D4468">
        <w:rPr>
          <w:szCs w:val="22"/>
        </w:rPr>
        <w:t>Investigate alternative methodologies of providing catch advice, and report on the most promising approaches</w:t>
      </w:r>
      <w:r w:rsidR="003E3F0C">
        <w:rPr>
          <w:szCs w:val="22"/>
        </w:rPr>
        <w:t xml:space="preserve">. </w:t>
      </w:r>
      <w:r w:rsidRPr="009D4468">
        <w:rPr>
          <w:szCs w:val="22"/>
        </w:rPr>
        <w:t xml:space="preserve">Describe plans for further investigation of the identified approach, which will be reviewed at the 2020 TRAC and will then provide catch advice until a benchmark assessment can be completed for this resource. </w:t>
      </w:r>
    </w:p>
    <w:p w14:paraId="646CAF06" w14:textId="77777777" w:rsidR="00E45C0B" w:rsidRPr="00704AAA" w:rsidRDefault="00E45C0B" w:rsidP="00704AAA">
      <w:pPr>
        <w:pStyle w:val="BodyText"/>
        <w:rPr>
          <w:b/>
          <w:u w:val="single"/>
        </w:rPr>
      </w:pPr>
      <w:r w:rsidRPr="00704AAA">
        <w:rPr>
          <w:b/>
          <w:u w:val="single"/>
        </w:rPr>
        <w:t>Haddock:</w:t>
      </w:r>
    </w:p>
    <w:p w14:paraId="3883744A" w14:textId="77777777" w:rsidR="00E45C0B" w:rsidRPr="005C670F" w:rsidRDefault="00E45C0B" w:rsidP="00D853EB">
      <w:pPr>
        <w:pStyle w:val="ListBullet"/>
      </w:pPr>
      <w:r w:rsidRPr="005C670F">
        <w:t>Apply the benchmark assessment for haddock to report on the status of the stock,</w:t>
      </w:r>
      <w:r w:rsidRPr="005C670F">
        <w:rPr>
          <w:spacing w:val="-27"/>
        </w:rPr>
        <w:t xml:space="preserve"> </w:t>
      </w:r>
      <w:r w:rsidRPr="005C670F">
        <w:t>updating results for the latest information from fisheries, including discard estimates and research surveys, and characterize the uncertainty of</w:t>
      </w:r>
      <w:r w:rsidRPr="005C670F">
        <w:rPr>
          <w:spacing w:val="-1"/>
        </w:rPr>
        <w:t xml:space="preserve"> </w:t>
      </w:r>
      <w:r w:rsidRPr="005C670F">
        <w:t>estimates.</w:t>
      </w:r>
    </w:p>
    <w:p w14:paraId="2610FF12" w14:textId="77777777" w:rsidR="00E45C0B" w:rsidRPr="005C670F" w:rsidRDefault="00E45C0B" w:rsidP="00D853EB">
      <w:pPr>
        <w:pStyle w:val="ListBullet"/>
      </w:pPr>
      <w:r w:rsidRPr="005C670F">
        <w:t xml:space="preserve">Describe any adjustments to </w:t>
      </w:r>
      <w:r>
        <w:t xml:space="preserve">the </w:t>
      </w:r>
      <w:r w:rsidRPr="005C670F">
        <w:t>benchmark assessment model applied during the TRAC including impacts on advice given to</w:t>
      </w:r>
      <w:r w:rsidRPr="005C670F">
        <w:rPr>
          <w:spacing w:val="-5"/>
        </w:rPr>
        <w:t xml:space="preserve"> </w:t>
      </w:r>
      <w:r w:rsidRPr="005C670F">
        <w:t>TMGC.</w:t>
      </w:r>
    </w:p>
    <w:p w14:paraId="75161440" w14:textId="77777777" w:rsidR="00E45C0B" w:rsidRPr="005C670F" w:rsidRDefault="00E45C0B" w:rsidP="00D853EB">
      <w:pPr>
        <w:pStyle w:val="ListBullet"/>
      </w:pPr>
      <w:r w:rsidRPr="005C670F">
        <w:t>Evaluate and quantify, if possible, scientific uncertainty of the assessment output (stock status determination and catch projection), discussing current practices of characterization and alternative methods of evaluation.</w:t>
      </w:r>
    </w:p>
    <w:p w14:paraId="6B13DCB9" w14:textId="77777777" w:rsidR="00E45C0B" w:rsidRPr="005C670F" w:rsidRDefault="00E45C0B" w:rsidP="00D853EB">
      <w:pPr>
        <w:pStyle w:val="ListBullet"/>
      </w:pPr>
      <w:r w:rsidRPr="005C670F">
        <w:t xml:space="preserve">Provide analyses to account </w:t>
      </w:r>
      <w:r>
        <w:t>for</w:t>
      </w:r>
      <w:r w:rsidRPr="005C670F">
        <w:t xml:space="preserve"> retrospective bias on stock biomass and</w:t>
      </w:r>
      <w:r w:rsidRPr="005C670F">
        <w:rPr>
          <w:spacing w:val="-29"/>
        </w:rPr>
        <w:t xml:space="preserve"> </w:t>
      </w:r>
      <w:r w:rsidRPr="005C670F">
        <w:t>fishing mortality estimates for haddock, if</w:t>
      </w:r>
      <w:r w:rsidRPr="005C670F">
        <w:rPr>
          <w:spacing w:val="-2"/>
        </w:rPr>
        <w:t xml:space="preserve"> </w:t>
      </w:r>
      <w:r w:rsidRPr="005C670F">
        <w:t>appropriate.</w:t>
      </w:r>
      <w:r>
        <w:t xml:space="preserve"> </w:t>
      </w:r>
    </w:p>
    <w:p w14:paraId="7407A09C" w14:textId="77777777" w:rsidR="00E45C0B" w:rsidRPr="00DF30E8" w:rsidRDefault="00E45C0B" w:rsidP="00D853EB">
      <w:pPr>
        <w:pStyle w:val="ListBullet"/>
      </w:pPr>
      <w:r w:rsidRPr="005C670F">
        <w:t xml:space="preserve">For a range of total catch values in </w:t>
      </w:r>
      <w:r>
        <w:t>2020</w:t>
      </w:r>
      <w:r w:rsidRPr="00DF30E8">
        <w:t xml:space="preserve"> and</w:t>
      </w:r>
      <w:r>
        <w:t xml:space="preserve"> 2021</w:t>
      </w:r>
      <w:r w:rsidRPr="00DF30E8">
        <w:t xml:space="preserve">, estimate the risk that the respective fishing mortality rate would exceed </w:t>
      </w:r>
      <w:proofErr w:type="spellStart"/>
      <w:r w:rsidRPr="00DF30E8">
        <w:t>F</w:t>
      </w:r>
      <w:r w:rsidRPr="00DF30E8">
        <w:rPr>
          <w:vertAlign w:val="subscript"/>
        </w:rPr>
        <w:t>ref</w:t>
      </w:r>
      <w:proofErr w:type="spellEnd"/>
      <w:r w:rsidRPr="00DF30E8">
        <w:t xml:space="preserve"> = 0.26 for haddock. Include a table showing the</w:t>
      </w:r>
      <w:r w:rsidRPr="00DF30E8">
        <w:rPr>
          <w:spacing w:val="-40"/>
        </w:rPr>
        <w:t xml:space="preserve"> </w:t>
      </w:r>
      <w:r>
        <w:t>2020</w:t>
      </w:r>
      <w:r w:rsidRPr="00DF30E8">
        <w:t xml:space="preserve"> and </w:t>
      </w:r>
      <w:r>
        <w:t>2021</w:t>
      </w:r>
      <w:r w:rsidRPr="00DF30E8">
        <w:t xml:space="preserve"> catches corresponding to low (25%), neutral (50%), and high (75%) probability that the F would exceed </w:t>
      </w:r>
      <w:proofErr w:type="spellStart"/>
      <w:r w:rsidRPr="00DF30E8">
        <w:t>F</w:t>
      </w:r>
      <w:r w:rsidRPr="00DF30E8">
        <w:rPr>
          <w:vertAlign w:val="subscript"/>
        </w:rPr>
        <w:t>ref</w:t>
      </w:r>
      <w:proofErr w:type="spellEnd"/>
      <w:r w:rsidRPr="00DF30E8">
        <w:t xml:space="preserve"> = 0.26 for</w:t>
      </w:r>
      <w:r w:rsidRPr="00DF30E8">
        <w:rPr>
          <w:spacing w:val="-4"/>
        </w:rPr>
        <w:t xml:space="preserve"> </w:t>
      </w:r>
      <w:r w:rsidRPr="00DF30E8">
        <w:t>haddock.</w:t>
      </w:r>
    </w:p>
    <w:p w14:paraId="63A9872B" w14:textId="77777777" w:rsidR="00E45C0B" w:rsidRPr="005C670F" w:rsidRDefault="00E45C0B" w:rsidP="00D853EB">
      <w:pPr>
        <w:pStyle w:val="ListBullet"/>
      </w:pPr>
      <w:r w:rsidRPr="00DF30E8">
        <w:lastRenderedPageBreak/>
        <w:t xml:space="preserve">For a range of total catch values in </w:t>
      </w:r>
      <w:r>
        <w:t>2020</w:t>
      </w:r>
      <w:r w:rsidRPr="00DF30E8">
        <w:t xml:space="preserve"> and </w:t>
      </w:r>
      <w:r>
        <w:t>2021</w:t>
      </w:r>
      <w:r w:rsidRPr="00DF30E8">
        <w:t xml:space="preserve">, estimate the risk that the biomass at the beginning of </w:t>
      </w:r>
      <w:r>
        <w:t>2021</w:t>
      </w:r>
      <w:r w:rsidRPr="00DF30E8">
        <w:t xml:space="preserve">and </w:t>
      </w:r>
      <w:r>
        <w:t>2022</w:t>
      </w:r>
      <w:r w:rsidRPr="00DF30E8">
        <w:t xml:space="preserve"> would not achieve a 0%, 10% or 20% increase compared to the beginning of </w:t>
      </w:r>
      <w:r>
        <w:t>2020</w:t>
      </w:r>
      <w:r w:rsidRPr="00DF30E8">
        <w:t xml:space="preserve"> and </w:t>
      </w:r>
      <w:r>
        <w:t>2021</w:t>
      </w:r>
      <w:r w:rsidRPr="00DF30E8">
        <w:t xml:space="preserve"> for</w:t>
      </w:r>
      <w:r w:rsidRPr="00DF30E8">
        <w:rPr>
          <w:spacing w:val="-1"/>
        </w:rPr>
        <w:t xml:space="preserve"> </w:t>
      </w:r>
      <w:r w:rsidRPr="00DF30E8">
        <w:t>haddock.</w:t>
      </w:r>
    </w:p>
    <w:p w14:paraId="79B35841" w14:textId="77777777" w:rsidR="00E45C0B" w:rsidRPr="009D4468" w:rsidRDefault="00E45C0B" w:rsidP="00D853EB">
      <w:pPr>
        <w:pStyle w:val="ListBullet"/>
      </w:pPr>
      <w:r w:rsidRPr="009D4468">
        <w:t>In view of model diagnostics and model uncertainty</w:t>
      </w:r>
      <w:r>
        <w:t>, c</w:t>
      </w:r>
      <w:r w:rsidRPr="009D4468">
        <w:t>omment on whether two-year advice is appropriate.</w:t>
      </w:r>
    </w:p>
    <w:p w14:paraId="704DBB6F" w14:textId="77777777" w:rsidR="00E45C0B" w:rsidRPr="00994A35" w:rsidRDefault="00E45C0B" w:rsidP="00E45C0B">
      <w:pPr>
        <w:pStyle w:val="ListBullet"/>
        <w:numPr>
          <w:ilvl w:val="0"/>
          <w:numId w:val="0"/>
        </w:numPr>
        <w:rPr>
          <w:b/>
        </w:rPr>
      </w:pPr>
      <w:r w:rsidRPr="00994A35">
        <w:rPr>
          <w:b/>
          <w:u w:val="single"/>
        </w:rPr>
        <w:t>Yellowtail Flounder</w:t>
      </w:r>
      <w:r w:rsidRPr="00994A35">
        <w:rPr>
          <w:b/>
        </w:rPr>
        <w:t>:</w:t>
      </w:r>
    </w:p>
    <w:p w14:paraId="711C7B0C" w14:textId="77777777" w:rsidR="00E45C0B" w:rsidRPr="00D853EB" w:rsidRDefault="00E45C0B" w:rsidP="00D853EB">
      <w:pPr>
        <w:pStyle w:val="ListBullet"/>
      </w:pPr>
      <w:r w:rsidRPr="00D853EB">
        <w:t>Apply the benchmark assessment (i.e., empirical approach) for yellowtail flounder, update results for the latest information from fisheries, including discard estimates and research surveys, and characterize the uncertainty of estimates.</w:t>
      </w:r>
    </w:p>
    <w:p w14:paraId="6CA96096" w14:textId="77777777" w:rsidR="00E45C0B" w:rsidRPr="00D853EB" w:rsidRDefault="00E45C0B" w:rsidP="00D853EB">
      <w:pPr>
        <w:pStyle w:val="ListBullet"/>
      </w:pPr>
      <w:r w:rsidRPr="00D853EB">
        <w:t xml:space="preserve">Provide catch advice for 2020 based on the empirical approach for a range of exploitation rates for 2020. </w:t>
      </w:r>
    </w:p>
    <w:p w14:paraId="38EB439E" w14:textId="77777777" w:rsidR="00E45C0B" w:rsidRPr="00D853EB" w:rsidRDefault="00E45C0B" w:rsidP="00D853EB">
      <w:pPr>
        <w:pStyle w:val="ListBullet"/>
      </w:pPr>
      <w:r w:rsidRPr="00D853EB">
        <w:t>Describe any adjustments to the benchmark assessment model applied during the TRAC, including impacts on the advice given to TMGC.</w:t>
      </w:r>
    </w:p>
    <w:p w14:paraId="348DD83F" w14:textId="77777777" w:rsidR="00E45C0B" w:rsidRPr="00D853EB" w:rsidRDefault="00E45C0B" w:rsidP="00D853EB">
      <w:pPr>
        <w:pStyle w:val="ListBullet"/>
      </w:pPr>
      <w:r w:rsidRPr="00D853EB">
        <w:t xml:space="preserve">Consistent with 2018 TSR, update and comment on trends in relative F, and total mortality (Z). </w:t>
      </w:r>
    </w:p>
    <w:p w14:paraId="40ADA62E" w14:textId="77777777" w:rsidR="00E45C0B" w:rsidRPr="00D853EB" w:rsidRDefault="00E45C0B" w:rsidP="00D853EB">
      <w:pPr>
        <w:pStyle w:val="ListBullet"/>
      </w:pPr>
      <w:r w:rsidRPr="00D853EB">
        <w:t>Describe the rationale for the range of exploitation rates provided by TRAC as catch advice compared to previous guidance.</w:t>
      </w:r>
    </w:p>
    <w:p w14:paraId="33002A92" w14:textId="77777777" w:rsidR="00E45C0B" w:rsidRPr="00047C89" w:rsidRDefault="00E45C0B" w:rsidP="00A87719">
      <w:pPr>
        <w:pStyle w:val="BodyText"/>
        <w:rPr>
          <w:b/>
          <w:u w:val="single"/>
        </w:rPr>
      </w:pPr>
      <w:r>
        <w:rPr>
          <w:b/>
          <w:u w:val="single"/>
        </w:rPr>
        <w:t>Allocation Shares</w:t>
      </w:r>
      <w:r w:rsidRPr="00A87719">
        <w:rPr>
          <w:b/>
          <w:u w:val="single"/>
        </w:rPr>
        <w:t>:</w:t>
      </w:r>
    </w:p>
    <w:p w14:paraId="286DFBFB" w14:textId="77777777" w:rsidR="00E45C0B" w:rsidRPr="00D853EB" w:rsidRDefault="00E45C0B" w:rsidP="00D853EB">
      <w:pPr>
        <w:pStyle w:val="ListBullet"/>
      </w:pPr>
      <w:r w:rsidRPr="00D853EB">
        <w:t>Review the biomass distribution relative to the U.S./Canada boundary, update results with the 2018 survey information, and apply the allocation shares formula.</w:t>
      </w:r>
    </w:p>
    <w:p w14:paraId="2D743FD9" w14:textId="77777777" w:rsidR="00E45C0B" w:rsidRPr="00A87719" w:rsidRDefault="00E45C0B" w:rsidP="00A87719">
      <w:pPr>
        <w:pStyle w:val="BodyText"/>
        <w:rPr>
          <w:b/>
          <w:u w:val="single"/>
        </w:rPr>
      </w:pPr>
      <w:r>
        <w:rPr>
          <w:b/>
          <w:u w:val="single"/>
        </w:rPr>
        <w:t>Other</w:t>
      </w:r>
      <w:r w:rsidRPr="00A87719">
        <w:rPr>
          <w:b/>
          <w:u w:val="single"/>
        </w:rPr>
        <w:t>:</w:t>
      </w:r>
    </w:p>
    <w:p w14:paraId="5FC2318F" w14:textId="4D3ACBF2" w:rsidR="00E45C0B" w:rsidRPr="00D853EB" w:rsidRDefault="00E45C0B" w:rsidP="00D853EB">
      <w:pPr>
        <w:pStyle w:val="ListBullet"/>
      </w:pPr>
      <w:r w:rsidRPr="00D853EB">
        <w:t>Report on any changes to the surveys that might impact the assessments such as changes to vessels, timing, area coverage, etc</w:t>
      </w:r>
      <w:r w:rsidR="003E3F0C" w:rsidRPr="00D853EB">
        <w:t xml:space="preserve">. </w:t>
      </w:r>
      <w:r w:rsidRPr="00D853EB">
        <w:t>Describe any potential impacts of these changes.</w:t>
      </w:r>
    </w:p>
    <w:p w14:paraId="37F430F6" w14:textId="77777777" w:rsidR="00E45C0B" w:rsidRPr="00D853EB" w:rsidRDefault="00E45C0B" w:rsidP="00D853EB">
      <w:pPr>
        <w:pStyle w:val="ListBullet"/>
      </w:pPr>
      <w:r w:rsidRPr="00D853EB">
        <w:t>Provide an update, if any are available, on targeted research that would help identify mechanisms contributing to changes in stock productivity</w:t>
      </w:r>
    </w:p>
    <w:p w14:paraId="2E072A6E" w14:textId="77777777" w:rsidR="00E45C0B" w:rsidRPr="00D853EB" w:rsidRDefault="00E45C0B" w:rsidP="00D853EB">
      <w:pPr>
        <w:pStyle w:val="ListBullet"/>
      </w:pPr>
      <w:r w:rsidRPr="00D853EB">
        <w:t>Report on progress of the Atlantic Cod Stock Structure Working Group</w:t>
      </w:r>
    </w:p>
    <w:p w14:paraId="63F3885D" w14:textId="77777777" w:rsidR="00E45C0B" w:rsidRPr="00D853EB" w:rsidRDefault="00E45C0B" w:rsidP="00D853EB">
      <w:pPr>
        <w:pStyle w:val="ListBullet"/>
      </w:pPr>
      <w:r w:rsidRPr="00D853EB">
        <w:t xml:space="preserve">Draft terms of reference for the 2020 TRAC assessment of Eastern Georges Bank Atlantic Cod, Eastern Georges Bank Haddock, and Georges Bank Yellowtail Flounder. </w:t>
      </w:r>
    </w:p>
    <w:p w14:paraId="10C33FCA" w14:textId="77777777" w:rsidR="00E45C0B" w:rsidRPr="00D853EB" w:rsidRDefault="00E45C0B" w:rsidP="00D853EB">
      <w:pPr>
        <w:pStyle w:val="ListBullet"/>
      </w:pPr>
      <w:r w:rsidRPr="00D853EB">
        <w:t>Provide an update on research related to haddock growth.</w:t>
      </w:r>
    </w:p>
    <w:p w14:paraId="2B15D0D6" w14:textId="77777777" w:rsidR="00E45C0B" w:rsidRPr="00123698" w:rsidRDefault="00E45C0B" w:rsidP="00123698">
      <w:pPr>
        <w:pStyle w:val="BodyText"/>
        <w:rPr>
          <w:b/>
          <w:u w:val="single"/>
        </w:rPr>
      </w:pPr>
      <w:r w:rsidRPr="00123698">
        <w:rPr>
          <w:b/>
          <w:u w:val="single"/>
        </w:rPr>
        <w:t>Expected Publications</w:t>
      </w:r>
    </w:p>
    <w:p w14:paraId="7EF96A0B" w14:textId="77777777" w:rsidR="00E45C0B" w:rsidRPr="00D853EB" w:rsidRDefault="00E45C0B" w:rsidP="00D853EB">
      <w:pPr>
        <w:pStyle w:val="ListBullet"/>
      </w:pPr>
      <w:r w:rsidRPr="00D853EB">
        <w:rPr>
          <w:b/>
        </w:rPr>
        <w:t>TRAC Transboundary Status Reports</w:t>
      </w:r>
      <w:r w:rsidRPr="00D853EB">
        <w:t xml:space="preserve"> for the Eastern Georges Bank Haddock and Georges Bank Yellowtail Flounder management units.</w:t>
      </w:r>
    </w:p>
    <w:p w14:paraId="41663310" w14:textId="77777777" w:rsidR="00E45C0B" w:rsidRPr="00D853EB" w:rsidRDefault="00E45C0B" w:rsidP="00D853EB">
      <w:pPr>
        <w:pStyle w:val="ListBullet"/>
      </w:pPr>
      <w:r w:rsidRPr="00D853EB">
        <w:rPr>
          <w:b/>
        </w:rPr>
        <w:t>TRAC Reference Documents</w:t>
      </w:r>
      <w:r w:rsidRPr="00D853EB">
        <w:t xml:space="preserve"> for Allocation Shares, Eastern Georges Bank Haddock management unit, Eastern Georges Bank Atlantic Cod and Georges Bank Yellowtail Flounder management units.</w:t>
      </w:r>
    </w:p>
    <w:p w14:paraId="08C1CB73" w14:textId="77777777" w:rsidR="00E45C0B" w:rsidRPr="00D853EB" w:rsidRDefault="00E45C0B" w:rsidP="00D853EB">
      <w:pPr>
        <w:pStyle w:val="ListBullet"/>
      </w:pPr>
      <w:r w:rsidRPr="00D853EB">
        <w:rPr>
          <w:b/>
        </w:rPr>
        <w:t>TRAC Proceedings</w:t>
      </w:r>
      <w:r w:rsidRPr="00D853EB">
        <w:t xml:space="preserve"> of meeting discussion.</w:t>
      </w:r>
    </w:p>
    <w:p w14:paraId="50D649FF" w14:textId="77777777" w:rsidR="00E45C0B" w:rsidRPr="00123698" w:rsidRDefault="00E45C0B" w:rsidP="00123698">
      <w:pPr>
        <w:pStyle w:val="BodyText"/>
        <w:rPr>
          <w:b/>
          <w:u w:val="single"/>
        </w:rPr>
      </w:pPr>
      <w:r w:rsidRPr="00123698">
        <w:rPr>
          <w:b/>
          <w:u w:val="single"/>
        </w:rPr>
        <w:t>Participation</w:t>
      </w:r>
    </w:p>
    <w:p w14:paraId="47E1A1D7" w14:textId="77777777" w:rsidR="00E45C0B" w:rsidRPr="00D853EB" w:rsidRDefault="00E45C0B" w:rsidP="00D853EB">
      <w:pPr>
        <w:pStyle w:val="ListBullet"/>
      </w:pPr>
      <w:r w:rsidRPr="00D853EB">
        <w:t>DFO Maritimes scientists and managers</w:t>
      </w:r>
    </w:p>
    <w:p w14:paraId="360A85A8" w14:textId="77777777" w:rsidR="00E45C0B" w:rsidRPr="00D853EB" w:rsidRDefault="00E45C0B" w:rsidP="00D853EB">
      <w:pPr>
        <w:pStyle w:val="ListBullet"/>
      </w:pPr>
      <w:r w:rsidRPr="00D853EB">
        <w:t>NMFS Northeast Region scientists and managers</w:t>
      </w:r>
    </w:p>
    <w:p w14:paraId="4CB63B9F" w14:textId="77777777" w:rsidR="00E45C0B" w:rsidRPr="00D853EB" w:rsidRDefault="00E45C0B" w:rsidP="00D853EB">
      <w:pPr>
        <w:pStyle w:val="ListBullet"/>
      </w:pPr>
      <w:r w:rsidRPr="00D853EB">
        <w:lastRenderedPageBreak/>
        <w:t>Canadian and U.S. fishing industry</w:t>
      </w:r>
    </w:p>
    <w:p w14:paraId="061A2871" w14:textId="77777777" w:rsidR="00E45C0B" w:rsidRPr="00D853EB" w:rsidRDefault="00E45C0B" w:rsidP="00D853EB">
      <w:pPr>
        <w:pStyle w:val="ListBullet"/>
      </w:pPr>
      <w:r w:rsidRPr="00D853EB">
        <w:t xml:space="preserve">U.S. State and Canadian Provincial (NB and NS) representatives </w:t>
      </w:r>
    </w:p>
    <w:p w14:paraId="348E3D2F" w14:textId="77777777" w:rsidR="00E45C0B" w:rsidRPr="00D853EB" w:rsidRDefault="00E45C0B" w:rsidP="00D853EB">
      <w:pPr>
        <w:pStyle w:val="ListBullet"/>
      </w:pPr>
      <w:r w:rsidRPr="00D853EB">
        <w:t>NEFMC representatives</w:t>
      </w:r>
    </w:p>
    <w:p w14:paraId="4FCE0E83" w14:textId="77777777" w:rsidR="00E45C0B" w:rsidRPr="00D853EB" w:rsidRDefault="00E45C0B" w:rsidP="00D853EB">
      <w:pPr>
        <w:pStyle w:val="ListBullet"/>
      </w:pPr>
      <w:r w:rsidRPr="00D853EB">
        <w:t>Scientific and Statistical Committee (SSC) representatives</w:t>
      </w:r>
    </w:p>
    <w:p w14:paraId="2F0F9AA5" w14:textId="77777777" w:rsidR="00E45C0B" w:rsidRPr="00D853EB" w:rsidRDefault="00E45C0B" w:rsidP="00D853EB">
      <w:pPr>
        <w:pStyle w:val="ListBullet"/>
      </w:pPr>
      <w:r w:rsidRPr="00D853EB">
        <w:t>Public and stakeholders/</w:t>
      </w:r>
      <w:proofErr w:type="spellStart"/>
      <w:r w:rsidRPr="00D853EB">
        <w:t>rightsholders</w:t>
      </w:r>
      <w:proofErr w:type="spellEnd"/>
    </w:p>
    <w:p w14:paraId="04AC8ABB" w14:textId="77777777" w:rsidR="00E45C0B" w:rsidRDefault="00E45C0B">
      <w:pPr>
        <w:spacing w:before="0" w:after="0"/>
        <w:rPr>
          <w:lang w:val="en-CA"/>
        </w:rPr>
      </w:pPr>
      <w:r>
        <w:rPr>
          <w:lang w:val="en-CA"/>
        </w:rPr>
        <w:br w:type="page"/>
      </w:r>
    </w:p>
    <w:p w14:paraId="485E444A" w14:textId="2D1CE8B6" w:rsidR="00C63094" w:rsidRDefault="00797F23" w:rsidP="00C63094">
      <w:pPr>
        <w:pStyle w:val="Heading2"/>
      </w:pPr>
      <w:bookmarkStart w:id="38" w:name="_Toc44061526"/>
      <w:r>
        <w:rPr>
          <w:caps w:val="0"/>
        </w:rPr>
        <w:lastRenderedPageBreak/>
        <w:t>APPENDIX III. 2019 TRAC AGENDA</w:t>
      </w:r>
      <w:bookmarkEnd w:id="38"/>
    </w:p>
    <w:p w14:paraId="066D8BB1" w14:textId="77777777" w:rsidR="00E45C0B" w:rsidRPr="00C63094" w:rsidRDefault="00E45C0B" w:rsidP="00C63094">
      <w:pPr>
        <w:pStyle w:val="BodyText"/>
        <w:jc w:val="center"/>
        <w:rPr>
          <w:b/>
        </w:rPr>
      </w:pPr>
      <w:r w:rsidRPr="00C63094">
        <w:rPr>
          <w:b/>
        </w:rPr>
        <w:t>Transboundary Resources Assessment Committee (TRAC) Assessment of Georges Bank Yellowtail Flounder and Eastern Georges Bank Haddock and Exploration of Approaches for Eastern Georges Bank Cod</w:t>
      </w:r>
    </w:p>
    <w:p w14:paraId="6D788555" w14:textId="77777777" w:rsidR="00E45C0B" w:rsidRDefault="00E45C0B" w:rsidP="004813AB">
      <w:pPr>
        <w:autoSpaceDE w:val="0"/>
        <w:autoSpaceDN w:val="0"/>
        <w:adjustRightInd w:val="0"/>
        <w:spacing w:before="240" w:after="0"/>
        <w:jc w:val="center"/>
        <w:rPr>
          <w:rFonts w:cs="Arial"/>
          <w:bCs/>
          <w:szCs w:val="22"/>
        </w:rPr>
      </w:pPr>
      <w:r>
        <w:rPr>
          <w:rFonts w:cs="Arial"/>
          <w:bCs/>
          <w:szCs w:val="22"/>
        </w:rPr>
        <w:t xml:space="preserve">Harry </w:t>
      </w:r>
      <w:proofErr w:type="spellStart"/>
      <w:r>
        <w:rPr>
          <w:rFonts w:cs="Arial"/>
          <w:bCs/>
          <w:szCs w:val="22"/>
        </w:rPr>
        <w:t>Hachey</w:t>
      </w:r>
      <w:proofErr w:type="spellEnd"/>
      <w:r>
        <w:rPr>
          <w:rFonts w:cs="Arial"/>
          <w:bCs/>
          <w:szCs w:val="22"/>
        </w:rPr>
        <w:t xml:space="preserve"> Conference Centre</w:t>
      </w:r>
    </w:p>
    <w:p w14:paraId="439FEEFC" w14:textId="77777777" w:rsidR="00E45C0B" w:rsidRPr="00664746" w:rsidRDefault="00E45C0B" w:rsidP="00E45C0B">
      <w:pPr>
        <w:autoSpaceDE w:val="0"/>
        <w:autoSpaceDN w:val="0"/>
        <w:adjustRightInd w:val="0"/>
        <w:spacing w:before="0" w:after="0"/>
        <w:jc w:val="center"/>
        <w:rPr>
          <w:rFonts w:cs="Arial"/>
          <w:bCs/>
          <w:szCs w:val="22"/>
        </w:rPr>
      </w:pPr>
      <w:r>
        <w:rPr>
          <w:rFonts w:cs="Arial"/>
          <w:bCs/>
          <w:szCs w:val="22"/>
        </w:rPr>
        <w:t>St. Andrews Biological Station</w:t>
      </w:r>
    </w:p>
    <w:p w14:paraId="69A022F8" w14:textId="77777777" w:rsidR="00E45C0B" w:rsidRPr="00664746" w:rsidRDefault="00E45C0B" w:rsidP="00E45C0B">
      <w:pPr>
        <w:autoSpaceDE w:val="0"/>
        <w:autoSpaceDN w:val="0"/>
        <w:adjustRightInd w:val="0"/>
        <w:spacing w:before="0" w:after="0"/>
        <w:jc w:val="center"/>
        <w:rPr>
          <w:rFonts w:cs="Arial"/>
          <w:bCs/>
          <w:szCs w:val="22"/>
        </w:rPr>
      </w:pPr>
      <w:r>
        <w:rPr>
          <w:rFonts w:cs="Arial"/>
          <w:bCs/>
          <w:szCs w:val="22"/>
        </w:rPr>
        <w:t>St. Andrews, New Brunswick, Canada</w:t>
      </w:r>
    </w:p>
    <w:p w14:paraId="3F6A73BD" w14:textId="230DFB51" w:rsidR="00E45C0B" w:rsidRDefault="00E45C0B" w:rsidP="004813AB">
      <w:pPr>
        <w:autoSpaceDE w:val="0"/>
        <w:autoSpaceDN w:val="0"/>
        <w:adjustRightInd w:val="0"/>
        <w:spacing w:before="0" w:after="240"/>
        <w:jc w:val="center"/>
        <w:rPr>
          <w:rFonts w:cs="Arial"/>
          <w:bCs/>
          <w:szCs w:val="22"/>
        </w:rPr>
      </w:pPr>
      <w:r>
        <w:rPr>
          <w:rFonts w:cs="Arial"/>
          <w:bCs/>
          <w:szCs w:val="22"/>
        </w:rPr>
        <w:t>July 9</w:t>
      </w:r>
      <w:r w:rsidR="00123698">
        <w:rPr>
          <w:rFonts w:cs="Arial"/>
          <w:bCs/>
          <w:szCs w:val="22"/>
        </w:rPr>
        <w:t>-11</w:t>
      </w:r>
      <w:r>
        <w:rPr>
          <w:rFonts w:cs="Arial"/>
          <w:bCs/>
          <w:szCs w:val="22"/>
        </w:rPr>
        <w:t>, 2019</w:t>
      </w:r>
    </w:p>
    <w:p w14:paraId="420D1EB6" w14:textId="77777777" w:rsidR="00E45C0B" w:rsidRPr="00B27026" w:rsidRDefault="00E45C0B" w:rsidP="00E45C0B">
      <w:pPr>
        <w:autoSpaceDE w:val="0"/>
        <w:autoSpaceDN w:val="0"/>
        <w:adjustRightInd w:val="0"/>
        <w:rPr>
          <w:rFonts w:cs="Arial"/>
          <w:b/>
          <w:bCs/>
          <w:sz w:val="20"/>
          <w:u w:val="single"/>
        </w:rPr>
      </w:pPr>
      <w:r w:rsidRPr="00B27026">
        <w:rPr>
          <w:rFonts w:cs="Arial"/>
          <w:b/>
          <w:bCs/>
          <w:szCs w:val="22"/>
        </w:rPr>
        <w:t>DAY 1 (Tuesday, July 9, 2019)</w:t>
      </w:r>
    </w:p>
    <w:tbl>
      <w:tblPr>
        <w:tblStyle w:val="TableGrid"/>
        <w:tblW w:w="0" w:type="auto"/>
        <w:tblLook w:val="04A0" w:firstRow="1" w:lastRow="0" w:firstColumn="1" w:lastColumn="0" w:noHBand="0" w:noVBand="1"/>
      </w:tblPr>
      <w:tblGrid>
        <w:gridCol w:w="1634"/>
        <w:gridCol w:w="4702"/>
        <w:gridCol w:w="3014"/>
      </w:tblGrid>
      <w:tr w:rsidR="00E45C0B" w:rsidRPr="00B27026" w14:paraId="7349D188" w14:textId="77777777" w:rsidTr="0089006E">
        <w:trPr>
          <w:tblHeader/>
        </w:trPr>
        <w:tc>
          <w:tcPr>
            <w:tcW w:w="1668" w:type="dxa"/>
            <w:shd w:val="clear" w:color="auto" w:fill="BFBFBF" w:themeFill="background1" w:themeFillShade="BF"/>
          </w:tcPr>
          <w:p w14:paraId="0C5FF447" w14:textId="77777777" w:rsidR="00E45C0B" w:rsidRPr="00B27026" w:rsidRDefault="00E45C0B" w:rsidP="00AD1CA4">
            <w:pPr>
              <w:autoSpaceDE w:val="0"/>
              <w:autoSpaceDN w:val="0"/>
              <w:adjustRightInd w:val="0"/>
              <w:spacing w:before="60" w:after="60"/>
              <w:jc w:val="center"/>
              <w:rPr>
                <w:rFonts w:cs="Arial"/>
                <w:b/>
                <w:bCs/>
                <w:sz w:val="20"/>
                <w:szCs w:val="20"/>
                <w:u w:val="single"/>
              </w:rPr>
            </w:pPr>
            <w:r w:rsidRPr="00B27026">
              <w:rPr>
                <w:rFonts w:cs="Arial"/>
                <w:b/>
                <w:bCs/>
                <w:sz w:val="20"/>
                <w:szCs w:val="20"/>
                <w:u w:val="single"/>
              </w:rPr>
              <w:t>Time</w:t>
            </w:r>
          </w:p>
        </w:tc>
        <w:tc>
          <w:tcPr>
            <w:tcW w:w="4819" w:type="dxa"/>
            <w:shd w:val="clear" w:color="auto" w:fill="BFBFBF" w:themeFill="background1" w:themeFillShade="BF"/>
          </w:tcPr>
          <w:p w14:paraId="582AF832" w14:textId="77777777" w:rsidR="00E45C0B" w:rsidRPr="00B27026" w:rsidRDefault="00E45C0B" w:rsidP="00AD1CA4">
            <w:pPr>
              <w:autoSpaceDE w:val="0"/>
              <w:autoSpaceDN w:val="0"/>
              <w:adjustRightInd w:val="0"/>
              <w:spacing w:before="60" w:after="60"/>
              <w:jc w:val="center"/>
              <w:rPr>
                <w:rFonts w:cs="Arial"/>
                <w:b/>
                <w:bCs/>
                <w:sz w:val="20"/>
                <w:szCs w:val="20"/>
                <w:u w:val="single"/>
              </w:rPr>
            </w:pPr>
            <w:r w:rsidRPr="00B27026">
              <w:rPr>
                <w:rFonts w:cs="Arial"/>
                <w:b/>
                <w:bCs/>
                <w:sz w:val="20"/>
                <w:szCs w:val="20"/>
                <w:u w:val="single"/>
              </w:rPr>
              <w:t>Topic</w:t>
            </w:r>
          </w:p>
        </w:tc>
        <w:tc>
          <w:tcPr>
            <w:tcW w:w="3089" w:type="dxa"/>
            <w:shd w:val="clear" w:color="auto" w:fill="BFBFBF" w:themeFill="background1" w:themeFillShade="BF"/>
          </w:tcPr>
          <w:p w14:paraId="03807D0B" w14:textId="77777777" w:rsidR="00E45C0B" w:rsidRPr="00B27026" w:rsidRDefault="00E45C0B" w:rsidP="00AD1CA4">
            <w:pPr>
              <w:autoSpaceDE w:val="0"/>
              <w:autoSpaceDN w:val="0"/>
              <w:adjustRightInd w:val="0"/>
              <w:spacing w:before="60" w:after="60"/>
              <w:jc w:val="center"/>
              <w:rPr>
                <w:rFonts w:cs="Arial"/>
                <w:b/>
                <w:bCs/>
                <w:sz w:val="20"/>
                <w:szCs w:val="20"/>
                <w:u w:val="single"/>
              </w:rPr>
            </w:pPr>
            <w:r w:rsidRPr="00B27026">
              <w:rPr>
                <w:rFonts w:cs="Arial"/>
                <w:b/>
                <w:bCs/>
                <w:sz w:val="20"/>
                <w:szCs w:val="20"/>
                <w:u w:val="single"/>
              </w:rPr>
              <w:t>Leads</w:t>
            </w:r>
          </w:p>
        </w:tc>
      </w:tr>
      <w:tr w:rsidR="00E45C0B" w:rsidRPr="00B27026" w14:paraId="7E1E5CC0" w14:textId="77777777" w:rsidTr="00AD1CA4">
        <w:tc>
          <w:tcPr>
            <w:tcW w:w="1668" w:type="dxa"/>
          </w:tcPr>
          <w:p w14:paraId="71F833A2" w14:textId="77777777" w:rsidR="00E45C0B" w:rsidRPr="00B27026" w:rsidRDefault="00E45C0B" w:rsidP="00AD1CA4">
            <w:pPr>
              <w:autoSpaceDE w:val="0"/>
              <w:autoSpaceDN w:val="0"/>
              <w:adjustRightInd w:val="0"/>
              <w:spacing w:before="60" w:after="60"/>
              <w:rPr>
                <w:rFonts w:cs="Arial"/>
                <w:b/>
                <w:bCs/>
                <w:sz w:val="20"/>
                <w:szCs w:val="20"/>
                <w:u w:val="single"/>
              </w:rPr>
            </w:pPr>
            <w:r w:rsidRPr="00B27026">
              <w:rPr>
                <w:rFonts w:cs="Arial"/>
                <w:sz w:val="20"/>
                <w:szCs w:val="20"/>
              </w:rPr>
              <w:t>09:00 – 09:15</w:t>
            </w:r>
          </w:p>
        </w:tc>
        <w:tc>
          <w:tcPr>
            <w:tcW w:w="4819" w:type="dxa"/>
          </w:tcPr>
          <w:p w14:paraId="59E1B6FA" w14:textId="77777777" w:rsidR="00E45C0B" w:rsidRPr="00B27026" w:rsidRDefault="00E45C0B" w:rsidP="00AD1CA4">
            <w:pPr>
              <w:autoSpaceDE w:val="0"/>
              <w:autoSpaceDN w:val="0"/>
              <w:adjustRightInd w:val="0"/>
              <w:spacing w:before="60" w:after="60"/>
              <w:rPr>
                <w:rFonts w:cs="Arial"/>
                <w:b/>
                <w:bCs/>
                <w:sz w:val="20"/>
                <w:szCs w:val="20"/>
                <w:u w:val="single"/>
              </w:rPr>
            </w:pPr>
            <w:r w:rsidRPr="00B27026">
              <w:rPr>
                <w:rFonts w:cs="Arial"/>
                <w:sz w:val="20"/>
                <w:szCs w:val="20"/>
              </w:rPr>
              <w:t>Welcome &amp; introduction: TRAC Co-Chairs and Meeting Chair</w:t>
            </w:r>
          </w:p>
        </w:tc>
        <w:tc>
          <w:tcPr>
            <w:tcW w:w="3089" w:type="dxa"/>
          </w:tcPr>
          <w:p w14:paraId="433568AA" w14:textId="77777777" w:rsidR="00E45C0B" w:rsidRPr="00B27026" w:rsidRDefault="00E45C0B" w:rsidP="00AD1CA4">
            <w:pPr>
              <w:autoSpaceDE w:val="0"/>
              <w:autoSpaceDN w:val="0"/>
              <w:adjustRightInd w:val="0"/>
              <w:spacing w:before="60" w:after="60"/>
              <w:rPr>
                <w:rFonts w:cs="Arial"/>
                <w:bCs/>
                <w:sz w:val="20"/>
                <w:szCs w:val="20"/>
              </w:rPr>
            </w:pPr>
            <w:r w:rsidRPr="00B27026">
              <w:rPr>
                <w:rFonts w:cs="Arial"/>
                <w:bCs/>
                <w:sz w:val="20"/>
                <w:szCs w:val="20"/>
              </w:rPr>
              <w:t>Kirsten Clark (</w:t>
            </w:r>
            <w:proofErr w:type="spellStart"/>
            <w:r w:rsidRPr="00B27026">
              <w:rPr>
                <w:rFonts w:cs="Arial"/>
                <w:bCs/>
                <w:sz w:val="20"/>
                <w:szCs w:val="20"/>
              </w:rPr>
              <w:t>Cdn</w:t>
            </w:r>
            <w:proofErr w:type="spellEnd"/>
            <w:r w:rsidRPr="00B27026">
              <w:rPr>
                <w:rFonts w:cs="Arial"/>
                <w:bCs/>
                <w:sz w:val="20"/>
                <w:szCs w:val="20"/>
              </w:rPr>
              <w:t>)</w:t>
            </w:r>
          </w:p>
          <w:p w14:paraId="72FD2569" w14:textId="77777777" w:rsidR="00E45C0B" w:rsidRPr="00B27026" w:rsidRDefault="00E45C0B" w:rsidP="00AD1CA4">
            <w:pPr>
              <w:autoSpaceDE w:val="0"/>
              <w:autoSpaceDN w:val="0"/>
              <w:adjustRightInd w:val="0"/>
              <w:spacing w:before="60" w:after="60"/>
              <w:rPr>
                <w:rFonts w:cs="Arial"/>
                <w:bCs/>
                <w:sz w:val="20"/>
                <w:szCs w:val="20"/>
              </w:rPr>
            </w:pPr>
            <w:r w:rsidRPr="00B27026">
              <w:rPr>
                <w:rFonts w:cs="Arial"/>
                <w:bCs/>
                <w:sz w:val="20"/>
                <w:szCs w:val="20"/>
              </w:rPr>
              <w:t xml:space="preserve">Tara </w:t>
            </w:r>
            <w:proofErr w:type="spellStart"/>
            <w:r w:rsidRPr="00B27026">
              <w:rPr>
                <w:rFonts w:cs="Arial"/>
                <w:bCs/>
                <w:sz w:val="20"/>
                <w:szCs w:val="20"/>
              </w:rPr>
              <w:t>Trinko</w:t>
            </w:r>
            <w:proofErr w:type="spellEnd"/>
            <w:r w:rsidRPr="00B27026">
              <w:rPr>
                <w:rFonts w:cs="Arial"/>
                <w:bCs/>
                <w:sz w:val="20"/>
                <w:szCs w:val="20"/>
              </w:rPr>
              <w:t>-Lake (US)</w:t>
            </w:r>
          </w:p>
          <w:p w14:paraId="74911D4F" w14:textId="77777777" w:rsidR="00E45C0B" w:rsidRPr="00B27026" w:rsidRDefault="00E45C0B" w:rsidP="00AD1CA4">
            <w:pPr>
              <w:autoSpaceDE w:val="0"/>
              <w:autoSpaceDN w:val="0"/>
              <w:adjustRightInd w:val="0"/>
              <w:spacing w:before="60" w:after="60"/>
              <w:rPr>
                <w:rFonts w:cs="Arial"/>
                <w:bCs/>
                <w:sz w:val="20"/>
                <w:szCs w:val="20"/>
              </w:rPr>
            </w:pPr>
            <w:r w:rsidRPr="00B27026">
              <w:rPr>
                <w:rFonts w:cs="Arial"/>
                <w:bCs/>
                <w:sz w:val="20"/>
                <w:szCs w:val="20"/>
              </w:rPr>
              <w:t xml:space="preserve">John Nielson </w:t>
            </w:r>
          </w:p>
        </w:tc>
      </w:tr>
      <w:tr w:rsidR="00E45C0B" w:rsidRPr="00B27026" w14:paraId="32A4F9CC" w14:textId="77777777" w:rsidTr="00AD1CA4">
        <w:tc>
          <w:tcPr>
            <w:tcW w:w="1668" w:type="dxa"/>
          </w:tcPr>
          <w:p w14:paraId="6DD93818" w14:textId="77777777" w:rsidR="00E45C0B" w:rsidRPr="00B27026" w:rsidRDefault="00E45C0B" w:rsidP="00AD1CA4">
            <w:pPr>
              <w:autoSpaceDE w:val="0"/>
              <w:autoSpaceDN w:val="0"/>
              <w:adjustRightInd w:val="0"/>
              <w:spacing w:before="60" w:after="60"/>
              <w:rPr>
                <w:rFonts w:cs="Arial"/>
                <w:b/>
                <w:bCs/>
                <w:sz w:val="20"/>
                <w:szCs w:val="20"/>
                <w:u w:val="single"/>
              </w:rPr>
            </w:pPr>
            <w:r w:rsidRPr="00B27026">
              <w:rPr>
                <w:rFonts w:cs="Arial"/>
                <w:sz w:val="20"/>
                <w:szCs w:val="20"/>
              </w:rPr>
              <w:t>09:15 – 10:15</w:t>
            </w:r>
          </w:p>
        </w:tc>
        <w:tc>
          <w:tcPr>
            <w:tcW w:w="4819" w:type="dxa"/>
          </w:tcPr>
          <w:p w14:paraId="4149E4C8"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Georges Bank Yellowtail Flounder</w:t>
            </w:r>
          </w:p>
          <w:p w14:paraId="4ADAB46E"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Inputs: Commercial Fishery &amp; Surveys</w:t>
            </w:r>
          </w:p>
        </w:tc>
        <w:tc>
          <w:tcPr>
            <w:tcW w:w="3089" w:type="dxa"/>
          </w:tcPr>
          <w:p w14:paraId="4348CFC1"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 xml:space="preserve">Chris </w:t>
            </w:r>
            <w:proofErr w:type="spellStart"/>
            <w:r w:rsidRPr="00B27026">
              <w:rPr>
                <w:rFonts w:cs="Arial"/>
                <w:sz w:val="20"/>
                <w:szCs w:val="20"/>
              </w:rPr>
              <w:t>Legault</w:t>
            </w:r>
            <w:proofErr w:type="spellEnd"/>
            <w:r w:rsidRPr="00B27026">
              <w:rPr>
                <w:rFonts w:cs="Arial"/>
                <w:sz w:val="20"/>
                <w:szCs w:val="20"/>
              </w:rPr>
              <w:t xml:space="preserve"> (US)</w:t>
            </w:r>
          </w:p>
          <w:p w14:paraId="5B56F940" w14:textId="77777777" w:rsidR="00E45C0B" w:rsidRPr="00B27026" w:rsidRDefault="00E45C0B" w:rsidP="00AD1CA4">
            <w:pPr>
              <w:autoSpaceDE w:val="0"/>
              <w:autoSpaceDN w:val="0"/>
              <w:adjustRightInd w:val="0"/>
              <w:spacing w:before="60" w:after="60"/>
              <w:rPr>
                <w:rFonts w:cs="Arial"/>
                <w:b/>
                <w:bCs/>
                <w:sz w:val="20"/>
                <w:szCs w:val="20"/>
                <w:u w:val="single"/>
              </w:rPr>
            </w:pPr>
            <w:r w:rsidRPr="00B27026">
              <w:rPr>
                <w:rFonts w:cs="Arial"/>
                <w:sz w:val="20"/>
                <w:szCs w:val="20"/>
              </w:rPr>
              <w:t>Monica Finley (</w:t>
            </w:r>
            <w:proofErr w:type="spellStart"/>
            <w:r w:rsidRPr="00B27026">
              <w:rPr>
                <w:rFonts w:cs="Arial"/>
                <w:sz w:val="20"/>
                <w:szCs w:val="20"/>
              </w:rPr>
              <w:t>Cdn</w:t>
            </w:r>
            <w:proofErr w:type="spellEnd"/>
            <w:r w:rsidRPr="00B27026">
              <w:rPr>
                <w:rFonts w:cs="Arial"/>
                <w:sz w:val="20"/>
                <w:szCs w:val="20"/>
              </w:rPr>
              <w:t>)</w:t>
            </w:r>
          </w:p>
        </w:tc>
      </w:tr>
      <w:tr w:rsidR="00E45C0B" w:rsidRPr="00B27026" w14:paraId="43831761" w14:textId="77777777" w:rsidTr="00AD1CA4">
        <w:tc>
          <w:tcPr>
            <w:tcW w:w="1668" w:type="dxa"/>
            <w:shd w:val="clear" w:color="auto" w:fill="F2F2F2" w:themeFill="background1" w:themeFillShade="F2"/>
          </w:tcPr>
          <w:p w14:paraId="7E0FD003" w14:textId="77777777" w:rsidR="00E45C0B" w:rsidRPr="00B27026" w:rsidRDefault="00E45C0B" w:rsidP="00AD1CA4">
            <w:pPr>
              <w:autoSpaceDE w:val="0"/>
              <w:autoSpaceDN w:val="0"/>
              <w:adjustRightInd w:val="0"/>
              <w:spacing w:before="60" w:after="60"/>
              <w:rPr>
                <w:rFonts w:cs="Arial"/>
                <w:b/>
                <w:bCs/>
                <w:sz w:val="20"/>
                <w:szCs w:val="20"/>
                <w:u w:val="single"/>
              </w:rPr>
            </w:pPr>
            <w:r w:rsidRPr="00B27026">
              <w:rPr>
                <w:rFonts w:cs="Arial"/>
                <w:sz w:val="20"/>
                <w:szCs w:val="20"/>
              </w:rPr>
              <w:t>10:15 – 10:30</w:t>
            </w:r>
          </w:p>
        </w:tc>
        <w:tc>
          <w:tcPr>
            <w:tcW w:w="7908" w:type="dxa"/>
            <w:gridSpan w:val="2"/>
            <w:shd w:val="clear" w:color="auto" w:fill="F2F2F2" w:themeFill="background1" w:themeFillShade="F2"/>
          </w:tcPr>
          <w:p w14:paraId="3FABF92D" w14:textId="77777777" w:rsidR="00E45C0B" w:rsidRPr="00B27026" w:rsidRDefault="00E45C0B" w:rsidP="00AD1CA4">
            <w:pPr>
              <w:autoSpaceDE w:val="0"/>
              <w:autoSpaceDN w:val="0"/>
              <w:adjustRightInd w:val="0"/>
              <w:spacing w:before="60" w:after="60"/>
              <w:rPr>
                <w:rFonts w:cs="Arial"/>
                <w:b/>
                <w:bCs/>
                <w:sz w:val="20"/>
                <w:szCs w:val="20"/>
              </w:rPr>
            </w:pPr>
            <w:r w:rsidRPr="00B27026">
              <w:rPr>
                <w:rFonts w:cs="Arial"/>
                <w:b/>
                <w:i/>
                <w:sz w:val="20"/>
                <w:szCs w:val="20"/>
                <w:u w:val="single"/>
              </w:rPr>
              <w:t>Break</w:t>
            </w:r>
          </w:p>
        </w:tc>
      </w:tr>
      <w:tr w:rsidR="00E45C0B" w:rsidRPr="00B27026" w14:paraId="7D15EFE2" w14:textId="77777777" w:rsidTr="00AD1CA4">
        <w:tc>
          <w:tcPr>
            <w:tcW w:w="1668" w:type="dxa"/>
          </w:tcPr>
          <w:p w14:paraId="1724AA86"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10:30 – 11:30</w:t>
            </w:r>
          </w:p>
        </w:tc>
        <w:tc>
          <w:tcPr>
            <w:tcW w:w="4819" w:type="dxa"/>
          </w:tcPr>
          <w:p w14:paraId="74AE98B0" w14:textId="77777777" w:rsidR="00E45C0B" w:rsidRPr="00B27026" w:rsidRDefault="00E45C0B" w:rsidP="00AD1CA4">
            <w:pPr>
              <w:tabs>
                <w:tab w:val="left" w:pos="1985"/>
              </w:tabs>
              <w:autoSpaceDE w:val="0"/>
              <w:autoSpaceDN w:val="0"/>
              <w:adjustRightInd w:val="0"/>
              <w:spacing w:before="60" w:after="60"/>
              <w:rPr>
                <w:rFonts w:cs="Arial"/>
                <w:sz w:val="20"/>
                <w:szCs w:val="20"/>
              </w:rPr>
            </w:pPr>
            <w:r w:rsidRPr="00B27026">
              <w:rPr>
                <w:rFonts w:cs="Arial"/>
                <w:sz w:val="20"/>
                <w:szCs w:val="20"/>
              </w:rPr>
              <w:t>Georges Bank Yellowtail Flounder</w:t>
            </w:r>
          </w:p>
          <w:p w14:paraId="6924991D"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Empirical Analysis</w:t>
            </w:r>
          </w:p>
          <w:p w14:paraId="3C12CD12"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Discussion</w:t>
            </w:r>
          </w:p>
        </w:tc>
        <w:tc>
          <w:tcPr>
            <w:tcW w:w="3089" w:type="dxa"/>
          </w:tcPr>
          <w:p w14:paraId="3851F5B8"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 xml:space="preserve">Chris </w:t>
            </w:r>
            <w:proofErr w:type="spellStart"/>
            <w:r w:rsidRPr="00B27026">
              <w:rPr>
                <w:rFonts w:cs="Arial"/>
                <w:sz w:val="20"/>
                <w:szCs w:val="20"/>
              </w:rPr>
              <w:t>Legault</w:t>
            </w:r>
            <w:proofErr w:type="spellEnd"/>
            <w:r w:rsidRPr="00B27026">
              <w:rPr>
                <w:rFonts w:cs="Arial"/>
                <w:sz w:val="20"/>
                <w:szCs w:val="20"/>
              </w:rPr>
              <w:t xml:space="preserve"> (US)</w:t>
            </w:r>
          </w:p>
          <w:p w14:paraId="3B4C66F1"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Monica Finley (</w:t>
            </w:r>
            <w:proofErr w:type="spellStart"/>
            <w:r w:rsidRPr="00B27026">
              <w:rPr>
                <w:rFonts w:cs="Arial"/>
                <w:sz w:val="20"/>
                <w:szCs w:val="20"/>
              </w:rPr>
              <w:t>Cdn</w:t>
            </w:r>
            <w:proofErr w:type="spellEnd"/>
            <w:r w:rsidRPr="00B27026">
              <w:rPr>
                <w:rFonts w:cs="Arial"/>
                <w:sz w:val="20"/>
                <w:szCs w:val="20"/>
              </w:rPr>
              <w:t>)</w:t>
            </w:r>
          </w:p>
        </w:tc>
      </w:tr>
      <w:tr w:rsidR="00E45C0B" w:rsidRPr="00B27026" w14:paraId="3D53B0A3" w14:textId="77777777" w:rsidTr="00AD1CA4">
        <w:tc>
          <w:tcPr>
            <w:tcW w:w="1668" w:type="dxa"/>
          </w:tcPr>
          <w:p w14:paraId="4DA0A41E"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11:30 – 12:00</w:t>
            </w:r>
          </w:p>
        </w:tc>
        <w:tc>
          <w:tcPr>
            <w:tcW w:w="4819" w:type="dxa"/>
          </w:tcPr>
          <w:p w14:paraId="26C4E5D9" w14:textId="77777777" w:rsidR="00E45C0B" w:rsidRPr="00B27026" w:rsidRDefault="00E45C0B" w:rsidP="00AD1CA4">
            <w:pPr>
              <w:tabs>
                <w:tab w:val="left" w:pos="1985"/>
              </w:tabs>
              <w:autoSpaceDE w:val="0"/>
              <w:autoSpaceDN w:val="0"/>
              <w:adjustRightInd w:val="0"/>
              <w:spacing w:before="60" w:after="60"/>
              <w:rPr>
                <w:rFonts w:cs="Arial"/>
                <w:sz w:val="20"/>
                <w:szCs w:val="20"/>
              </w:rPr>
            </w:pPr>
            <w:r w:rsidRPr="00B27026">
              <w:rPr>
                <w:rFonts w:cs="Arial"/>
                <w:bCs/>
                <w:sz w:val="20"/>
                <w:szCs w:val="20"/>
              </w:rPr>
              <w:t>Georges Bank Yellowtail Flounder Estimates from VIMS Industry-Based Scallop Dredge Surveys of Closed Area II and Surrounds</w:t>
            </w:r>
          </w:p>
        </w:tc>
        <w:tc>
          <w:tcPr>
            <w:tcW w:w="3089" w:type="dxa"/>
          </w:tcPr>
          <w:p w14:paraId="6AB26C3A"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Sally Roman and David Rudders (US)</w:t>
            </w:r>
          </w:p>
          <w:p w14:paraId="59EEE853" w14:textId="77777777" w:rsidR="00E45C0B" w:rsidRPr="00B27026" w:rsidRDefault="00E45C0B" w:rsidP="00AD1CA4">
            <w:pPr>
              <w:autoSpaceDE w:val="0"/>
              <w:autoSpaceDN w:val="0"/>
              <w:adjustRightInd w:val="0"/>
              <w:spacing w:before="60" w:after="60"/>
              <w:rPr>
                <w:rFonts w:cs="Arial"/>
                <w:sz w:val="20"/>
                <w:szCs w:val="20"/>
              </w:rPr>
            </w:pPr>
          </w:p>
        </w:tc>
      </w:tr>
      <w:tr w:rsidR="00E45C0B" w:rsidRPr="00B27026" w14:paraId="5423A87E" w14:textId="77777777" w:rsidTr="00AD1CA4">
        <w:tc>
          <w:tcPr>
            <w:tcW w:w="1668" w:type="dxa"/>
            <w:shd w:val="clear" w:color="auto" w:fill="F2F2F2" w:themeFill="background1" w:themeFillShade="F2"/>
          </w:tcPr>
          <w:p w14:paraId="4EAC3A0D"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12:00 – 13:00</w:t>
            </w:r>
          </w:p>
        </w:tc>
        <w:tc>
          <w:tcPr>
            <w:tcW w:w="7908" w:type="dxa"/>
            <w:gridSpan w:val="2"/>
            <w:shd w:val="clear" w:color="auto" w:fill="F2F2F2" w:themeFill="background1" w:themeFillShade="F2"/>
          </w:tcPr>
          <w:p w14:paraId="403BE096" w14:textId="77777777" w:rsidR="00E45C0B" w:rsidRPr="00B27026" w:rsidRDefault="00E45C0B" w:rsidP="00AD1CA4">
            <w:pPr>
              <w:autoSpaceDE w:val="0"/>
              <w:autoSpaceDN w:val="0"/>
              <w:adjustRightInd w:val="0"/>
              <w:spacing w:before="60" w:after="60"/>
              <w:rPr>
                <w:rFonts w:cs="Arial"/>
                <w:b/>
                <w:bCs/>
                <w:sz w:val="20"/>
                <w:szCs w:val="20"/>
              </w:rPr>
            </w:pPr>
            <w:r w:rsidRPr="00B27026">
              <w:rPr>
                <w:rFonts w:cs="Arial"/>
                <w:b/>
                <w:i/>
                <w:sz w:val="20"/>
                <w:szCs w:val="20"/>
                <w:u w:val="single"/>
              </w:rPr>
              <w:t>Lunch</w:t>
            </w:r>
          </w:p>
        </w:tc>
      </w:tr>
      <w:tr w:rsidR="00E45C0B" w:rsidRPr="00B27026" w14:paraId="1C8524AE" w14:textId="77777777" w:rsidTr="00AD1CA4">
        <w:tc>
          <w:tcPr>
            <w:tcW w:w="1668" w:type="dxa"/>
          </w:tcPr>
          <w:p w14:paraId="7703C6FB"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13:00 – 15:00</w:t>
            </w:r>
          </w:p>
        </w:tc>
        <w:tc>
          <w:tcPr>
            <w:tcW w:w="4819" w:type="dxa"/>
          </w:tcPr>
          <w:p w14:paraId="66F589E3" w14:textId="77777777" w:rsidR="00E45C0B" w:rsidRPr="00B27026" w:rsidRDefault="00E45C0B" w:rsidP="00AD1CA4">
            <w:pPr>
              <w:tabs>
                <w:tab w:val="left" w:pos="1985"/>
              </w:tabs>
              <w:autoSpaceDE w:val="0"/>
              <w:autoSpaceDN w:val="0"/>
              <w:adjustRightInd w:val="0"/>
              <w:spacing w:before="60" w:after="60"/>
              <w:rPr>
                <w:rFonts w:cs="Arial"/>
                <w:sz w:val="20"/>
                <w:szCs w:val="20"/>
              </w:rPr>
            </w:pPr>
            <w:r w:rsidRPr="00B27026">
              <w:rPr>
                <w:rFonts w:cs="Arial"/>
                <w:sz w:val="20"/>
                <w:szCs w:val="20"/>
              </w:rPr>
              <w:t>Eastern Georges Bank Haddock</w:t>
            </w:r>
          </w:p>
          <w:p w14:paraId="74B7A94C" w14:textId="77777777" w:rsidR="00E45C0B" w:rsidRPr="00B27026" w:rsidRDefault="00E45C0B" w:rsidP="00AD1CA4">
            <w:pPr>
              <w:tabs>
                <w:tab w:val="left" w:pos="1985"/>
              </w:tabs>
              <w:autoSpaceDE w:val="0"/>
              <w:autoSpaceDN w:val="0"/>
              <w:adjustRightInd w:val="0"/>
              <w:spacing w:before="60" w:after="60"/>
              <w:rPr>
                <w:rFonts w:cs="Arial"/>
                <w:sz w:val="20"/>
                <w:szCs w:val="20"/>
              </w:rPr>
            </w:pPr>
            <w:r w:rsidRPr="00B27026">
              <w:rPr>
                <w:rFonts w:cs="Arial"/>
                <w:sz w:val="20"/>
                <w:szCs w:val="20"/>
              </w:rPr>
              <w:t>Inputs: Commercial Fishery &amp; surveys</w:t>
            </w:r>
          </w:p>
          <w:p w14:paraId="44E6AEA9" w14:textId="77777777" w:rsidR="00E45C0B" w:rsidRPr="00B27026" w:rsidRDefault="00E45C0B" w:rsidP="00AD1CA4">
            <w:pPr>
              <w:tabs>
                <w:tab w:val="left" w:pos="1985"/>
              </w:tabs>
              <w:autoSpaceDE w:val="0"/>
              <w:autoSpaceDN w:val="0"/>
              <w:adjustRightInd w:val="0"/>
              <w:spacing w:before="60" w:after="60"/>
              <w:rPr>
                <w:rFonts w:cs="Arial"/>
                <w:sz w:val="20"/>
                <w:szCs w:val="20"/>
              </w:rPr>
            </w:pPr>
            <w:r w:rsidRPr="00B27026">
              <w:rPr>
                <w:rFonts w:cs="Arial"/>
                <w:sz w:val="20"/>
                <w:szCs w:val="20"/>
              </w:rPr>
              <w:t>Application of the VPA Formulation and VPA Projections</w:t>
            </w:r>
          </w:p>
        </w:tc>
        <w:tc>
          <w:tcPr>
            <w:tcW w:w="3089" w:type="dxa"/>
          </w:tcPr>
          <w:p w14:paraId="60C77284" w14:textId="77777777" w:rsidR="00E45C0B" w:rsidRPr="00B27026" w:rsidRDefault="00E45C0B" w:rsidP="00AD1CA4">
            <w:pPr>
              <w:autoSpaceDE w:val="0"/>
              <w:autoSpaceDN w:val="0"/>
              <w:adjustRightInd w:val="0"/>
              <w:spacing w:before="60" w:after="60"/>
              <w:rPr>
                <w:rFonts w:cs="Arial"/>
                <w:bCs/>
                <w:sz w:val="20"/>
                <w:szCs w:val="20"/>
              </w:rPr>
            </w:pPr>
            <w:r w:rsidRPr="00B27026">
              <w:rPr>
                <w:rFonts w:cs="Arial"/>
                <w:bCs/>
                <w:sz w:val="20"/>
                <w:szCs w:val="20"/>
              </w:rPr>
              <w:t>Monica Finley (</w:t>
            </w:r>
            <w:proofErr w:type="spellStart"/>
            <w:r w:rsidRPr="00B27026">
              <w:rPr>
                <w:rFonts w:cs="Arial"/>
                <w:bCs/>
                <w:sz w:val="20"/>
                <w:szCs w:val="20"/>
              </w:rPr>
              <w:t>Cdn</w:t>
            </w:r>
            <w:proofErr w:type="spellEnd"/>
            <w:r w:rsidRPr="00B27026">
              <w:rPr>
                <w:rFonts w:cs="Arial"/>
                <w:bCs/>
                <w:sz w:val="20"/>
                <w:szCs w:val="20"/>
              </w:rPr>
              <w:t>)</w:t>
            </w:r>
          </w:p>
          <w:p w14:paraId="5E812C16"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bCs/>
                <w:sz w:val="20"/>
                <w:szCs w:val="20"/>
              </w:rPr>
              <w:t>Liz Brooks (US)</w:t>
            </w:r>
          </w:p>
        </w:tc>
      </w:tr>
      <w:tr w:rsidR="00E45C0B" w:rsidRPr="00B27026" w14:paraId="43183477" w14:textId="77777777" w:rsidTr="00AD1CA4">
        <w:tc>
          <w:tcPr>
            <w:tcW w:w="1668" w:type="dxa"/>
            <w:shd w:val="clear" w:color="auto" w:fill="F2F2F2" w:themeFill="background1" w:themeFillShade="F2"/>
          </w:tcPr>
          <w:p w14:paraId="3ADCF523"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15:00  – 15:15</w:t>
            </w:r>
          </w:p>
        </w:tc>
        <w:tc>
          <w:tcPr>
            <w:tcW w:w="7908" w:type="dxa"/>
            <w:gridSpan w:val="2"/>
            <w:shd w:val="clear" w:color="auto" w:fill="F2F2F2" w:themeFill="background1" w:themeFillShade="F2"/>
          </w:tcPr>
          <w:p w14:paraId="49B515F5"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b/>
                <w:i/>
                <w:sz w:val="20"/>
                <w:szCs w:val="20"/>
                <w:u w:val="single"/>
              </w:rPr>
              <w:t>Break</w:t>
            </w:r>
          </w:p>
        </w:tc>
      </w:tr>
      <w:tr w:rsidR="00E45C0B" w:rsidRPr="00B27026" w14:paraId="3ABDABD2" w14:textId="77777777" w:rsidTr="00AD1CA4">
        <w:tc>
          <w:tcPr>
            <w:tcW w:w="1668" w:type="dxa"/>
          </w:tcPr>
          <w:p w14:paraId="12A1989E"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15:00 – 16:00</w:t>
            </w:r>
          </w:p>
        </w:tc>
        <w:tc>
          <w:tcPr>
            <w:tcW w:w="4819" w:type="dxa"/>
          </w:tcPr>
          <w:p w14:paraId="5C68A1A4" w14:textId="77777777" w:rsidR="00E45C0B" w:rsidRPr="00B27026" w:rsidRDefault="00E45C0B" w:rsidP="00AD1CA4">
            <w:pPr>
              <w:tabs>
                <w:tab w:val="left" w:pos="1985"/>
              </w:tabs>
              <w:autoSpaceDE w:val="0"/>
              <w:autoSpaceDN w:val="0"/>
              <w:adjustRightInd w:val="0"/>
              <w:spacing w:before="60" w:after="60"/>
              <w:rPr>
                <w:rFonts w:cs="Arial"/>
                <w:sz w:val="20"/>
                <w:szCs w:val="20"/>
              </w:rPr>
            </w:pPr>
            <w:r w:rsidRPr="00B27026">
              <w:rPr>
                <w:rFonts w:cs="Arial"/>
                <w:sz w:val="20"/>
                <w:szCs w:val="20"/>
              </w:rPr>
              <w:t>Eastern Georges Bank Haddock continued</w:t>
            </w:r>
          </w:p>
          <w:p w14:paraId="350DEBEB" w14:textId="77777777" w:rsidR="00E45C0B" w:rsidRPr="00B27026" w:rsidRDefault="00E45C0B" w:rsidP="00AD1CA4">
            <w:pPr>
              <w:tabs>
                <w:tab w:val="left" w:pos="1985"/>
              </w:tabs>
              <w:autoSpaceDE w:val="0"/>
              <w:autoSpaceDN w:val="0"/>
              <w:adjustRightInd w:val="0"/>
              <w:spacing w:before="60" w:after="60"/>
              <w:rPr>
                <w:rFonts w:cs="Arial"/>
                <w:sz w:val="20"/>
                <w:szCs w:val="20"/>
              </w:rPr>
            </w:pPr>
            <w:r w:rsidRPr="00B27026">
              <w:rPr>
                <w:rFonts w:cs="Arial"/>
                <w:sz w:val="20"/>
                <w:szCs w:val="20"/>
              </w:rPr>
              <w:t xml:space="preserve">Discussion </w:t>
            </w:r>
          </w:p>
        </w:tc>
        <w:tc>
          <w:tcPr>
            <w:tcW w:w="3089" w:type="dxa"/>
          </w:tcPr>
          <w:p w14:paraId="722059F4" w14:textId="77777777" w:rsidR="00E45C0B" w:rsidRPr="00B27026" w:rsidRDefault="00E45C0B" w:rsidP="00AD1CA4">
            <w:pPr>
              <w:autoSpaceDE w:val="0"/>
              <w:autoSpaceDN w:val="0"/>
              <w:adjustRightInd w:val="0"/>
              <w:spacing w:before="60" w:after="60"/>
              <w:rPr>
                <w:rFonts w:cs="Arial"/>
                <w:bCs/>
                <w:sz w:val="20"/>
                <w:szCs w:val="20"/>
              </w:rPr>
            </w:pPr>
            <w:r w:rsidRPr="00B27026">
              <w:rPr>
                <w:rFonts w:cs="Arial"/>
                <w:bCs/>
                <w:sz w:val="20"/>
                <w:szCs w:val="20"/>
              </w:rPr>
              <w:t>Monica Finley (</w:t>
            </w:r>
            <w:proofErr w:type="spellStart"/>
            <w:r w:rsidRPr="00B27026">
              <w:rPr>
                <w:rFonts w:cs="Arial"/>
                <w:bCs/>
                <w:sz w:val="20"/>
                <w:szCs w:val="20"/>
              </w:rPr>
              <w:t>Cdn</w:t>
            </w:r>
            <w:proofErr w:type="spellEnd"/>
            <w:r w:rsidRPr="00B27026">
              <w:rPr>
                <w:rFonts w:cs="Arial"/>
                <w:bCs/>
                <w:sz w:val="20"/>
                <w:szCs w:val="20"/>
              </w:rPr>
              <w:t>)</w:t>
            </w:r>
          </w:p>
          <w:p w14:paraId="5E27DFB3" w14:textId="77777777" w:rsidR="00E45C0B" w:rsidRPr="00B27026" w:rsidRDefault="00E45C0B" w:rsidP="00AD1CA4">
            <w:pPr>
              <w:autoSpaceDE w:val="0"/>
              <w:autoSpaceDN w:val="0"/>
              <w:adjustRightInd w:val="0"/>
              <w:spacing w:before="60" w:after="60"/>
              <w:rPr>
                <w:rFonts w:cs="Arial"/>
                <w:bCs/>
                <w:sz w:val="20"/>
                <w:szCs w:val="20"/>
              </w:rPr>
            </w:pPr>
            <w:r w:rsidRPr="00B27026">
              <w:rPr>
                <w:rFonts w:cs="Arial"/>
                <w:bCs/>
                <w:sz w:val="20"/>
                <w:szCs w:val="20"/>
              </w:rPr>
              <w:t>Liz Brooks (US)</w:t>
            </w:r>
          </w:p>
        </w:tc>
      </w:tr>
      <w:tr w:rsidR="00E45C0B" w:rsidRPr="00B27026" w14:paraId="3BC5C704" w14:textId="77777777" w:rsidTr="00AD1CA4">
        <w:tc>
          <w:tcPr>
            <w:tcW w:w="1668" w:type="dxa"/>
          </w:tcPr>
          <w:p w14:paraId="1975704E"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16:00 – 16:30</w:t>
            </w:r>
          </w:p>
        </w:tc>
        <w:tc>
          <w:tcPr>
            <w:tcW w:w="4819" w:type="dxa"/>
          </w:tcPr>
          <w:p w14:paraId="49623215" w14:textId="77777777" w:rsidR="00E45C0B" w:rsidRPr="00B27026" w:rsidRDefault="00E45C0B" w:rsidP="00AD1CA4">
            <w:pPr>
              <w:tabs>
                <w:tab w:val="left" w:pos="1985"/>
              </w:tabs>
              <w:autoSpaceDE w:val="0"/>
              <w:autoSpaceDN w:val="0"/>
              <w:adjustRightInd w:val="0"/>
              <w:spacing w:before="60" w:after="60"/>
              <w:rPr>
                <w:rFonts w:cs="Arial"/>
                <w:sz w:val="20"/>
                <w:szCs w:val="20"/>
              </w:rPr>
            </w:pPr>
            <w:r w:rsidRPr="00B27026">
              <w:rPr>
                <w:rFonts w:cs="Arial"/>
                <w:sz w:val="20"/>
                <w:szCs w:val="20"/>
              </w:rPr>
              <w:t>Understanding the mechanism of somatic growth changes of Eastern Georges Bank haddock</w:t>
            </w:r>
          </w:p>
        </w:tc>
        <w:tc>
          <w:tcPr>
            <w:tcW w:w="3089" w:type="dxa"/>
          </w:tcPr>
          <w:p w14:paraId="57282FFC" w14:textId="77777777" w:rsidR="00E45C0B" w:rsidRPr="00B27026" w:rsidRDefault="00E45C0B" w:rsidP="00AD1CA4">
            <w:pPr>
              <w:autoSpaceDE w:val="0"/>
              <w:autoSpaceDN w:val="0"/>
              <w:adjustRightInd w:val="0"/>
              <w:spacing w:before="60" w:after="60"/>
              <w:rPr>
                <w:rFonts w:cs="Arial"/>
                <w:bCs/>
                <w:sz w:val="20"/>
                <w:szCs w:val="20"/>
              </w:rPr>
            </w:pPr>
            <w:proofErr w:type="spellStart"/>
            <w:r w:rsidRPr="00B27026">
              <w:rPr>
                <w:rFonts w:cs="Arial"/>
                <w:bCs/>
                <w:sz w:val="20"/>
                <w:szCs w:val="20"/>
              </w:rPr>
              <w:t>Yanjun</w:t>
            </w:r>
            <w:proofErr w:type="spellEnd"/>
            <w:r w:rsidRPr="00B27026">
              <w:rPr>
                <w:rFonts w:cs="Arial"/>
                <w:bCs/>
                <w:sz w:val="20"/>
                <w:szCs w:val="20"/>
              </w:rPr>
              <w:t xml:space="preserve"> Wang (</w:t>
            </w:r>
            <w:proofErr w:type="spellStart"/>
            <w:r w:rsidRPr="00B27026">
              <w:rPr>
                <w:rFonts w:cs="Arial"/>
                <w:bCs/>
                <w:sz w:val="20"/>
                <w:szCs w:val="20"/>
              </w:rPr>
              <w:t>Cdn</w:t>
            </w:r>
            <w:proofErr w:type="spellEnd"/>
            <w:r w:rsidRPr="00B27026">
              <w:rPr>
                <w:rFonts w:cs="Arial"/>
                <w:bCs/>
                <w:sz w:val="20"/>
                <w:szCs w:val="20"/>
              </w:rPr>
              <w:t>)</w:t>
            </w:r>
          </w:p>
        </w:tc>
      </w:tr>
      <w:tr w:rsidR="00E45C0B" w:rsidRPr="00B27026" w14:paraId="4FD5E267" w14:textId="77777777" w:rsidTr="00AD1CA4">
        <w:tc>
          <w:tcPr>
            <w:tcW w:w="1668" w:type="dxa"/>
          </w:tcPr>
          <w:p w14:paraId="2D70B095"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16:30 – 17:00</w:t>
            </w:r>
          </w:p>
        </w:tc>
        <w:tc>
          <w:tcPr>
            <w:tcW w:w="4819" w:type="dxa"/>
          </w:tcPr>
          <w:p w14:paraId="57330C95" w14:textId="77777777" w:rsidR="00E45C0B" w:rsidRPr="00B27026" w:rsidRDefault="00E45C0B" w:rsidP="00AD1CA4">
            <w:pPr>
              <w:tabs>
                <w:tab w:val="left" w:pos="1985"/>
              </w:tabs>
              <w:autoSpaceDE w:val="0"/>
              <w:autoSpaceDN w:val="0"/>
              <w:adjustRightInd w:val="0"/>
              <w:spacing w:before="60" w:after="60"/>
              <w:rPr>
                <w:rFonts w:cs="Arial"/>
                <w:sz w:val="20"/>
                <w:szCs w:val="20"/>
              </w:rPr>
            </w:pPr>
            <w:r w:rsidRPr="00B27026">
              <w:rPr>
                <w:rFonts w:cs="Arial"/>
                <w:sz w:val="20"/>
                <w:szCs w:val="20"/>
              </w:rPr>
              <w:t>Allocation Shares</w:t>
            </w:r>
          </w:p>
        </w:tc>
        <w:tc>
          <w:tcPr>
            <w:tcW w:w="3089" w:type="dxa"/>
          </w:tcPr>
          <w:p w14:paraId="5C76A2C5" w14:textId="77777777" w:rsidR="00E45C0B" w:rsidRPr="00B27026" w:rsidRDefault="00E45C0B" w:rsidP="00AD1CA4">
            <w:pPr>
              <w:autoSpaceDE w:val="0"/>
              <w:autoSpaceDN w:val="0"/>
              <w:adjustRightInd w:val="0"/>
              <w:spacing w:before="60" w:after="60"/>
              <w:rPr>
                <w:rFonts w:cs="Arial"/>
                <w:bCs/>
                <w:sz w:val="20"/>
                <w:szCs w:val="20"/>
              </w:rPr>
            </w:pPr>
            <w:r w:rsidRPr="00B27026">
              <w:rPr>
                <w:rFonts w:cs="Arial"/>
                <w:bCs/>
                <w:sz w:val="20"/>
                <w:szCs w:val="20"/>
              </w:rPr>
              <w:t>Melanie Barrett (</w:t>
            </w:r>
            <w:proofErr w:type="spellStart"/>
            <w:r w:rsidRPr="00B27026">
              <w:rPr>
                <w:rFonts w:cs="Arial"/>
                <w:bCs/>
                <w:sz w:val="20"/>
                <w:szCs w:val="20"/>
              </w:rPr>
              <w:t>Cdn</w:t>
            </w:r>
            <w:proofErr w:type="spellEnd"/>
            <w:r w:rsidRPr="00B27026">
              <w:rPr>
                <w:rFonts w:cs="Arial"/>
                <w:bCs/>
                <w:sz w:val="20"/>
                <w:szCs w:val="20"/>
              </w:rPr>
              <w:t>)</w:t>
            </w:r>
          </w:p>
          <w:p w14:paraId="4E4F35F5" w14:textId="77777777" w:rsidR="00E45C0B" w:rsidRPr="00B27026" w:rsidRDefault="00E45C0B" w:rsidP="00AD1CA4">
            <w:pPr>
              <w:autoSpaceDE w:val="0"/>
              <w:autoSpaceDN w:val="0"/>
              <w:adjustRightInd w:val="0"/>
              <w:spacing w:before="60" w:after="60"/>
              <w:rPr>
                <w:rFonts w:cs="Arial"/>
                <w:bCs/>
                <w:sz w:val="20"/>
                <w:szCs w:val="20"/>
              </w:rPr>
            </w:pPr>
            <w:r w:rsidRPr="00B27026">
              <w:rPr>
                <w:rFonts w:cs="Arial"/>
                <w:bCs/>
                <w:sz w:val="20"/>
                <w:szCs w:val="20"/>
              </w:rPr>
              <w:t>Liz Brooks (US)</w:t>
            </w:r>
          </w:p>
        </w:tc>
      </w:tr>
    </w:tbl>
    <w:p w14:paraId="5B5B608F" w14:textId="77777777" w:rsidR="00E45C0B" w:rsidRPr="00B27026" w:rsidRDefault="00E45C0B" w:rsidP="00E45C0B">
      <w:pPr>
        <w:spacing w:after="200" w:line="276" w:lineRule="auto"/>
        <w:rPr>
          <w:rFonts w:cs="Arial"/>
          <w:b/>
          <w:bCs/>
          <w:sz w:val="20"/>
          <w:u w:val="single"/>
        </w:rPr>
      </w:pPr>
      <w:r w:rsidRPr="00B27026">
        <w:rPr>
          <w:rFonts w:cs="Arial"/>
          <w:b/>
          <w:bCs/>
          <w:sz w:val="20"/>
          <w:u w:val="single"/>
        </w:rPr>
        <w:br w:type="page"/>
      </w:r>
    </w:p>
    <w:p w14:paraId="5B94314E" w14:textId="77777777" w:rsidR="00E45C0B" w:rsidRPr="00B27026" w:rsidRDefault="00E45C0B" w:rsidP="00E45C0B">
      <w:pPr>
        <w:spacing w:after="200" w:line="276" w:lineRule="auto"/>
        <w:rPr>
          <w:rFonts w:cs="Arial"/>
          <w:b/>
          <w:bCs/>
          <w:szCs w:val="22"/>
        </w:rPr>
      </w:pPr>
      <w:r w:rsidRPr="00B27026">
        <w:rPr>
          <w:rFonts w:cs="Arial"/>
          <w:b/>
          <w:bCs/>
          <w:szCs w:val="22"/>
        </w:rPr>
        <w:lastRenderedPageBreak/>
        <w:t>DAY 2 (Wednesday, July 10, 2019)</w:t>
      </w:r>
    </w:p>
    <w:tbl>
      <w:tblPr>
        <w:tblStyle w:val="TableGrid"/>
        <w:tblW w:w="9355" w:type="dxa"/>
        <w:tblLook w:val="04A0" w:firstRow="1" w:lastRow="0" w:firstColumn="1" w:lastColumn="0" w:noHBand="0" w:noVBand="1"/>
      </w:tblPr>
      <w:tblGrid>
        <w:gridCol w:w="1668"/>
        <w:gridCol w:w="4819"/>
        <w:gridCol w:w="2868"/>
      </w:tblGrid>
      <w:tr w:rsidR="00E45C0B" w:rsidRPr="00B27026" w14:paraId="1855E88D" w14:textId="77777777" w:rsidTr="0089006E">
        <w:trPr>
          <w:tblHeader/>
        </w:trPr>
        <w:tc>
          <w:tcPr>
            <w:tcW w:w="1668" w:type="dxa"/>
            <w:shd w:val="clear" w:color="auto" w:fill="BFBFBF" w:themeFill="background1" w:themeFillShade="BF"/>
          </w:tcPr>
          <w:p w14:paraId="5F3451A1" w14:textId="77777777" w:rsidR="00E45C0B" w:rsidRPr="00B27026" w:rsidRDefault="00E45C0B" w:rsidP="00AD1CA4">
            <w:pPr>
              <w:autoSpaceDE w:val="0"/>
              <w:autoSpaceDN w:val="0"/>
              <w:adjustRightInd w:val="0"/>
              <w:spacing w:before="60" w:after="60"/>
              <w:jc w:val="center"/>
              <w:rPr>
                <w:rFonts w:cs="Arial"/>
                <w:b/>
                <w:bCs/>
                <w:sz w:val="20"/>
                <w:szCs w:val="20"/>
                <w:u w:val="single"/>
              </w:rPr>
            </w:pPr>
            <w:r w:rsidRPr="00B27026">
              <w:rPr>
                <w:rFonts w:cs="Arial"/>
                <w:b/>
                <w:bCs/>
                <w:sz w:val="20"/>
                <w:szCs w:val="20"/>
                <w:u w:val="single"/>
              </w:rPr>
              <w:t>Time</w:t>
            </w:r>
          </w:p>
        </w:tc>
        <w:tc>
          <w:tcPr>
            <w:tcW w:w="4819" w:type="dxa"/>
            <w:shd w:val="clear" w:color="auto" w:fill="BFBFBF" w:themeFill="background1" w:themeFillShade="BF"/>
          </w:tcPr>
          <w:p w14:paraId="752C7496" w14:textId="77777777" w:rsidR="00E45C0B" w:rsidRPr="00B27026" w:rsidRDefault="00E45C0B" w:rsidP="00AD1CA4">
            <w:pPr>
              <w:autoSpaceDE w:val="0"/>
              <w:autoSpaceDN w:val="0"/>
              <w:adjustRightInd w:val="0"/>
              <w:spacing w:before="60" w:after="60"/>
              <w:jc w:val="center"/>
              <w:rPr>
                <w:rFonts w:cs="Arial"/>
                <w:b/>
                <w:bCs/>
                <w:sz w:val="20"/>
                <w:szCs w:val="20"/>
                <w:u w:val="single"/>
              </w:rPr>
            </w:pPr>
            <w:r w:rsidRPr="00B27026">
              <w:rPr>
                <w:rFonts w:cs="Arial"/>
                <w:b/>
                <w:bCs/>
                <w:sz w:val="20"/>
                <w:szCs w:val="20"/>
                <w:u w:val="single"/>
              </w:rPr>
              <w:t>Topic</w:t>
            </w:r>
          </w:p>
        </w:tc>
        <w:tc>
          <w:tcPr>
            <w:tcW w:w="2868" w:type="dxa"/>
            <w:shd w:val="clear" w:color="auto" w:fill="BFBFBF" w:themeFill="background1" w:themeFillShade="BF"/>
          </w:tcPr>
          <w:p w14:paraId="45819C4C" w14:textId="77777777" w:rsidR="00E45C0B" w:rsidRPr="00B27026" w:rsidRDefault="00E45C0B" w:rsidP="00AD1CA4">
            <w:pPr>
              <w:autoSpaceDE w:val="0"/>
              <w:autoSpaceDN w:val="0"/>
              <w:adjustRightInd w:val="0"/>
              <w:spacing w:before="60" w:after="60"/>
              <w:jc w:val="center"/>
              <w:rPr>
                <w:rFonts w:cs="Arial"/>
                <w:b/>
                <w:bCs/>
                <w:sz w:val="20"/>
                <w:szCs w:val="20"/>
                <w:u w:val="single"/>
              </w:rPr>
            </w:pPr>
            <w:r w:rsidRPr="00B27026">
              <w:rPr>
                <w:rFonts w:cs="Arial"/>
                <w:b/>
                <w:bCs/>
                <w:sz w:val="20"/>
                <w:szCs w:val="20"/>
                <w:u w:val="single"/>
              </w:rPr>
              <w:t>Leads</w:t>
            </w:r>
          </w:p>
        </w:tc>
      </w:tr>
      <w:tr w:rsidR="00E45C0B" w:rsidRPr="00B27026" w14:paraId="76B46597" w14:textId="77777777" w:rsidTr="004813AB">
        <w:tc>
          <w:tcPr>
            <w:tcW w:w="1668" w:type="dxa"/>
          </w:tcPr>
          <w:p w14:paraId="32C73401"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09:00 – 09:45</w:t>
            </w:r>
          </w:p>
        </w:tc>
        <w:tc>
          <w:tcPr>
            <w:tcW w:w="4819" w:type="dxa"/>
          </w:tcPr>
          <w:p w14:paraId="1F22C87B"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Summary of Day 1 and homework</w:t>
            </w:r>
          </w:p>
        </w:tc>
        <w:tc>
          <w:tcPr>
            <w:tcW w:w="2868" w:type="dxa"/>
          </w:tcPr>
          <w:p w14:paraId="1471E06B" w14:textId="77777777" w:rsidR="00E45C0B" w:rsidRPr="00B27026" w:rsidRDefault="00E45C0B" w:rsidP="00AD1CA4">
            <w:pPr>
              <w:autoSpaceDE w:val="0"/>
              <w:autoSpaceDN w:val="0"/>
              <w:adjustRightInd w:val="0"/>
              <w:spacing w:before="60" w:after="60"/>
              <w:rPr>
                <w:rFonts w:cs="Arial"/>
                <w:bCs/>
                <w:sz w:val="20"/>
                <w:szCs w:val="20"/>
              </w:rPr>
            </w:pPr>
            <w:r w:rsidRPr="00B27026">
              <w:rPr>
                <w:rFonts w:cs="Arial"/>
                <w:bCs/>
                <w:sz w:val="20"/>
                <w:szCs w:val="20"/>
              </w:rPr>
              <w:t>John Neilson (Chair)</w:t>
            </w:r>
          </w:p>
          <w:p w14:paraId="6FBB1227" w14:textId="77777777" w:rsidR="00E45C0B" w:rsidRPr="00B27026" w:rsidRDefault="00E45C0B" w:rsidP="00AD1CA4">
            <w:pPr>
              <w:autoSpaceDE w:val="0"/>
              <w:autoSpaceDN w:val="0"/>
              <w:adjustRightInd w:val="0"/>
              <w:spacing w:before="60" w:after="60"/>
              <w:rPr>
                <w:rFonts w:cs="Arial"/>
                <w:bCs/>
                <w:sz w:val="20"/>
                <w:szCs w:val="20"/>
              </w:rPr>
            </w:pPr>
            <w:r w:rsidRPr="00B27026">
              <w:rPr>
                <w:rFonts w:cs="Arial"/>
                <w:bCs/>
                <w:sz w:val="20"/>
                <w:szCs w:val="20"/>
              </w:rPr>
              <w:t>Haddock and Yellowtail stock leads (</w:t>
            </w:r>
            <w:proofErr w:type="spellStart"/>
            <w:r w:rsidRPr="00B27026">
              <w:rPr>
                <w:rFonts w:cs="Arial"/>
                <w:bCs/>
                <w:sz w:val="20"/>
                <w:szCs w:val="20"/>
              </w:rPr>
              <w:t>Cdn</w:t>
            </w:r>
            <w:proofErr w:type="spellEnd"/>
            <w:r w:rsidRPr="00B27026">
              <w:rPr>
                <w:rFonts w:cs="Arial"/>
                <w:bCs/>
                <w:sz w:val="20"/>
                <w:szCs w:val="20"/>
              </w:rPr>
              <w:t xml:space="preserve"> and US)</w:t>
            </w:r>
          </w:p>
        </w:tc>
      </w:tr>
      <w:tr w:rsidR="00E45C0B" w:rsidRPr="00B27026" w14:paraId="127019F6" w14:textId="77777777" w:rsidTr="004813AB">
        <w:tc>
          <w:tcPr>
            <w:tcW w:w="1668" w:type="dxa"/>
          </w:tcPr>
          <w:p w14:paraId="01AA42C7"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09:45 – 10:05</w:t>
            </w:r>
          </w:p>
        </w:tc>
        <w:tc>
          <w:tcPr>
            <w:tcW w:w="4819" w:type="dxa"/>
          </w:tcPr>
          <w:p w14:paraId="7BD07593" w14:textId="77777777" w:rsidR="00E45C0B" w:rsidRPr="00B27026" w:rsidRDefault="00E45C0B" w:rsidP="00AD1CA4">
            <w:pPr>
              <w:autoSpaceDE w:val="0"/>
              <w:autoSpaceDN w:val="0"/>
              <w:adjustRightInd w:val="0"/>
              <w:spacing w:before="60" w:after="60"/>
              <w:rPr>
                <w:rFonts w:cs="Arial"/>
                <w:sz w:val="20"/>
                <w:szCs w:val="20"/>
              </w:rPr>
            </w:pPr>
            <w:proofErr w:type="spellStart"/>
            <w:r w:rsidRPr="00B27026">
              <w:rPr>
                <w:rFonts w:cs="Arial"/>
                <w:sz w:val="20"/>
                <w:szCs w:val="20"/>
              </w:rPr>
              <w:t>Spatio</w:t>
            </w:r>
            <w:proofErr w:type="spellEnd"/>
            <w:r w:rsidRPr="00B27026">
              <w:rPr>
                <w:rFonts w:cs="Arial"/>
                <w:sz w:val="20"/>
                <w:szCs w:val="20"/>
              </w:rPr>
              <w:t>-temporal changes in encounter probability of cod and yellowtail on Georges Bank</w:t>
            </w:r>
          </w:p>
        </w:tc>
        <w:tc>
          <w:tcPr>
            <w:tcW w:w="2868" w:type="dxa"/>
          </w:tcPr>
          <w:p w14:paraId="073B8BD5" w14:textId="77777777" w:rsidR="00E45C0B" w:rsidRPr="00B27026" w:rsidRDefault="00E45C0B" w:rsidP="00AD1CA4">
            <w:pPr>
              <w:autoSpaceDE w:val="0"/>
              <w:autoSpaceDN w:val="0"/>
              <w:adjustRightInd w:val="0"/>
              <w:spacing w:before="60" w:after="60"/>
              <w:rPr>
                <w:rFonts w:cs="Arial"/>
                <w:bCs/>
                <w:sz w:val="20"/>
                <w:szCs w:val="20"/>
              </w:rPr>
            </w:pPr>
            <w:r w:rsidRPr="00B27026">
              <w:rPr>
                <w:rFonts w:cs="Arial"/>
                <w:bCs/>
                <w:sz w:val="20"/>
                <w:szCs w:val="20"/>
              </w:rPr>
              <w:t>David Keith (</w:t>
            </w:r>
            <w:proofErr w:type="spellStart"/>
            <w:r w:rsidRPr="00B27026">
              <w:rPr>
                <w:rFonts w:cs="Arial"/>
                <w:bCs/>
                <w:sz w:val="20"/>
                <w:szCs w:val="20"/>
              </w:rPr>
              <w:t>Cdn</w:t>
            </w:r>
            <w:proofErr w:type="spellEnd"/>
            <w:r w:rsidRPr="00B27026">
              <w:rPr>
                <w:rFonts w:cs="Arial"/>
                <w:bCs/>
                <w:sz w:val="20"/>
                <w:szCs w:val="20"/>
              </w:rPr>
              <w:t>)</w:t>
            </w:r>
          </w:p>
        </w:tc>
      </w:tr>
      <w:tr w:rsidR="00E45C0B" w:rsidRPr="00B27026" w14:paraId="2216EC2D" w14:textId="77777777" w:rsidTr="004813AB">
        <w:tc>
          <w:tcPr>
            <w:tcW w:w="1668" w:type="dxa"/>
          </w:tcPr>
          <w:p w14:paraId="71A0B2F4" w14:textId="77777777" w:rsidR="00E45C0B" w:rsidRPr="00B27026" w:rsidRDefault="00E45C0B" w:rsidP="00AD1CA4">
            <w:pPr>
              <w:autoSpaceDE w:val="0"/>
              <w:autoSpaceDN w:val="0"/>
              <w:adjustRightInd w:val="0"/>
              <w:spacing w:before="60" w:after="60"/>
              <w:rPr>
                <w:rFonts w:cs="Arial"/>
                <w:b/>
                <w:bCs/>
                <w:sz w:val="20"/>
                <w:szCs w:val="20"/>
                <w:u w:val="single"/>
              </w:rPr>
            </w:pPr>
            <w:r w:rsidRPr="00B27026">
              <w:rPr>
                <w:rFonts w:cs="Arial"/>
                <w:sz w:val="20"/>
                <w:szCs w:val="20"/>
              </w:rPr>
              <w:t>10:05 – 10:30</w:t>
            </w:r>
          </w:p>
        </w:tc>
        <w:tc>
          <w:tcPr>
            <w:tcW w:w="4819" w:type="dxa"/>
          </w:tcPr>
          <w:p w14:paraId="3CFE2A82" w14:textId="77777777" w:rsidR="00E45C0B" w:rsidRPr="00B27026" w:rsidRDefault="00E45C0B" w:rsidP="00AD1CA4">
            <w:pPr>
              <w:autoSpaceDE w:val="0"/>
              <w:autoSpaceDN w:val="0"/>
              <w:adjustRightInd w:val="0"/>
              <w:spacing w:before="60" w:after="60"/>
              <w:rPr>
                <w:rFonts w:cs="Arial"/>
                <w:b/>
                <w:bCs/>
                <w:sz w:val="20"/>
                <w:szCs w:val="20"/>
                <w:u w:val="single"/>
              </w:rPr>
            </w:pPr>
            <w:r w:rsidRPr="00B27026">
              <w:rPr>
                <w:rFonts w:cs="Arial"/>
                <w:sz w:val="20"/>
                <w:szCs w:val="20"/>
              </w:rPr>
              <w:t xml:space="preserve">Report on progress of the Atlantic Cod Stock Structure Working Group </w:t>
            </w:r>
          </w:p>
        </w:tc>
        <w:tc>
          <w:tcPr>
            <w:tcW w:w="2868" w:type="dxa"/>
          </w:tcPr>
          <w:p w14:paraId="7DB19E68" w14:textId="77777777" w:rsidR="00E45C0B" w:rsidRPr="00B27026" w:rsidRDefault="00E45C0B" w:rsidP="00AD1CA4">
            <w:pPr>
              <w:autoSpaceDE w:val="0"/>
              <w:autoSpaceDN w:val="0"/>
              <w:adjustRightInd w:val="0"/>
              <w:spacing w:before="60" w:after="60"/>
              <w:rPr>
                <w:rFonts w:cs="Arial"/>
                <w:bCs/>
                <w:sz w:val="20"/>
                <w:szCs w:val="20"/>
              </w:rPr>
            </w:pPr>
            <w:r w:rsidRPr="00B27026">
              <w:rPr>
                <w:rFonts w:cs="Arial"/>
                <w:bCs/>
                <w:sz w:val="20"/>
                <w:szCs w:val="20"/>
              </w:rPr>
              <w:t xml:space="preserve">Kent </w:t>
            </w:r>
            <w:proofErr w:type="spellStart"/>
            <w:r w:rsidRPr="00B27026">
              <w:rPr>
                <w:rFonts w:cs="Arial"/>
                <w:bCs/>
                <w:sz w:val="20"/>
                <w:szCs w:val="20"/>
              </w:rPr>
              <w:t>Smedbol</w:t>
            </w:r>
            <w:proofErr w:type="spellEnd"/>
            <w:r w:rsidRPr="00B27026">
              <w:rPr>
                <w:rFonts w:cs="Arial"/>
                <w:bCs/>
                <w:sz w:val="20"/>
                <w:szCs w:val="20"/>
              </w:rPr>
              <w:t xml:space="preserve"> (</w:t>
            </w:r>
            <w:proofErr w:type="spellStart"/>
            <w:r w:rsidRPr="00B27026">
              <w:rPr>
                <w:rFonts w:cs="Arial"/>
                <w:bCs/>
                <w:sz w:val="20"/>
                <w:szCs w:val="20"/>
              </w:rPr>
              <w:t>Cdn</w:t>
            </w:r>
            <w:proofErr w:type="spellEnd"/>
            <w:r w:rsidRPr="00B27026">
              <w:rPr>
                <w:rFonts w:cs="Arial"/>
                <w:bCs/>
                <w:sz w:val="20"/>
                <w:szCs w:val="20"/>
              </w:rPr>
              <w:t>)</w:t>
            </w:r>
          </w:p>
        </w:tc>
      </w:tr>
      <w:tr w:rsidR="00E45C0B" w:rsidRPr="00B27026" w14:paraId="3E4AECBD" w14:textId="77777777" w:rsidTr="004813AB">
        <w:tc>
          <w:tcPr>
            <w:tcW w:w="1668" w:type="dxa"/>
            <w:shd w:val="clear" w:color="auto" w:fill="F2F2F2" w:themeFill="background1" w:themeFillShade="F2"/>
          </w:tcPr>
          <w:p w14:paraId="646F3F81" w14:textId="77777777" w:rsidR="00E45C0B" w:rsidRPr="00B27026" w:rsidRDefault="00E45C0B" w:rsidP="00AD1CA4">
            <w:pPr>
              <w:autoSpaceDE w:val="0"/>
              <w:autoSpaceDN w:val="0"/>
              <w:adjustRightInd w:val="0"/>
              <w:spacing w:before="60" w:after="60"/>
              <w:rPr>
                <w:rFonts w:cs="Arial"/>
                <w:b/>
                <w:bCs/>
                <w:sz w:val="20"/>
                <w:szCs w:val="20"/>
                <w:u w:val="single"/>
              </w:rPr>
            </w:pPr>
            <w:r w:rsidRPr="00B27026">
              <w:rPr>
                <w:rFonts w:cs="Arial"/>
                <w:sz w:val="20"/>
                <w:szCs w:val="20"/>
              </w:rPr>
              <w:t>10:30 – 10:45</w:t>
            </w:r>
          </w:p>
        </w:tc>
        <w:tc>
          <w:tcPr>
            <w:tcW w:w="7687" w:type="dxa"/>
            <w:gridSpan w:val="2"/>
            <w:shd w:val="clear" w:color="auto" w:fill="F2F2F2" w:themeFill="background1" w:themeFillShade="F2"/>
          </w:tcPr>
          <w:p w14:paraId="1AE42ACE" w14:textId="77777777" w:rsidR="00E45C0B" w:rsidRPr="00B27026" w:rsidRDefault="00E45C0B" w:rsidP="00AD1CA4">
            <w:pPr>
              <w:autoSpaceDE w:val="0"/>
              <w:autoSpaceDN w:val="0"/>
              <w:adjustRightInd w:val="0"/>
              <w:spacing w:before="60" w:after="60"/>
              <w:rPr>
                <w:rFonts w:cs="Arial"/>
                <w:b/>
                <w:bCs/>
                <w:sz w:val="20"/>
                <w:szCs w:val="20"/>
              </w:rPr>
            </w:pPr>
            <w:r w:rsidRPr="00B27026">
              <w:rPr>
                <w:rFonts w:cs="Arial"/>
                <w:b/>
                <w:i/>
                <w:sz w:val="20"/>
                <w:szCs w:val="20"/>
                <w:u w:val="single"/>
              </w:rPr>
              <w:t>Break</w:t>
            </w:r>
          </w:p>
        </w:tc>
      </w:tr>
      <w:tr w:rsidR="00E45C0B" w:rsidRPr="00B27026" w14:paraId="09D4E6CB" w14:textId="77777777" w:rsidTr="004813AB">
        <w:tc>
          <w:tcPr>
            <w:tcW w:w="1668" w:type="dxa"/>
          </w:tcPr>
          <w:p w14:paraId="5B68E893"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10:45 – 12:00</w:t>
            </w:r>
          </w:p>
        </w:tc>
        <w:tc>
          <w:tcPr>
            <w:tcW w:w="4819" w:type="dxa"/>
          </w:tcPr>
          <w:p w14:paraId="62AF280A"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Eastern Georges Bank Cod</w:t>
            </w:r>
          </w:p>
          <w:p w14:paraId="74A00343"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Biological and Fishery Indicators</w:t>
            </w:r>
          </w:p>
          <w:p w14:paraId="39AA164E"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Changes in fishery and survey indicators relative to 2018 TRAC</w:t>
            </w:r>
          </w:p>
        </w:tc>
        <w:tc>
          <w:tcPr>
            <w:tcW w:w="2868" w:type="dxa"/>
          </w:tcPr>
          <w:p w14:paraId="4D2676A4" w14:textId="77777777" w:rsidR="00E45C0B" w:rsidRPr="00B27026" w:rsidRDefault="00E45C0B" w:rsidP="00AD1CA4">
            <w:pPr>
              <w:autoSpaceDE w:val="0"/>
              <w:autoSpaceDN w:val="0"/>
              <w:adjustRightInd w:val="0"/>
              <w:spacing w:before="60" w:after="60"/>
              <w:rPr>
                <w:rFonts w:cs="Arial"/>
                <w:bCs/>
                <w:sz w:val="20"/>
                <w:szCs w:val="20"/>
              </w:rPr>
            </w:pPr>
            <w:r w:rsidRPr="00B27026">
              <w:rPr>
                <w:rFonts w:cs="Arial"/>
                <w:bCs/>
                <w:sz w:val="20"/>
                <w:szCs w:val="20"/>
              </w:rPr>
              <w:t xml:space="preserve">Melanie Barrett and Irene </w:t>
            </w:r>
            <w:proofErr w:type="spellStart"/>
            <w:r w:rsidRPr="00B27026">
              <w:rPr>
                <w:rFonts w:cs="Arial"/>
                <w:bCs/>
                <w:sz w:val="20"/>
                <w:szCs w:val="20"/>
              </w:rPr>
              <w:t>Andrushchenko</w:t>
            </w:r>
            <w:proofErr w:type="spellEnd"/>
            <w:r w:rsidRPr="00B27026">
              <w:rPr>
                <w:rFonts w:cs="Arial"/>
                <w:bCs/>
                <w:sz w:val="20"/>
                <w:szCs w:val="20"/>
              </w:rPr>
              <w:t xml:space="preserve"> (</w:t>
            </w:r>
            <w:proofErr w:type="spellStart"/>
            <w:r w:rsidRPr="00B27026">
              <w:rPr>
                <w:rFonts w:cs="Arial"/>
                <w:bCs/>
                <w:sz w:val="20"/>
                <w:szCs w:val="20"/>
              </w:rPr>
              <w:t>Cdn</w:t>
            </w:r>
            <w:proofErr w:type="spellEnd"/>
            <w:r w:rsidRPr="00B27026">
              <w:rPr>
                <w:rFonts w:cs="Arial"/>
                <w:bCs/>
                <w:sz w:val="20"/>
                <w:szCs w:val="20"/>
              </w:rPr>
              <w:t>)</w:t>
            </w:r>
          </w:p>
          <w:p w14:paraId="57A25648" w14:textId="77777777" w:rsidR="00E45C0B" w:rsidRPr="00B27026" w:rsidRDefault="00E45C0B" w:rsidP="00AD1CA4">
            <w:pPr>
              <w:autoSpaceDE w:val="0"/>
              <w:autoSpaceDN w:val="0"/>
              <w:adjustRightInd w:val="0"/>
              <w:spacing w:before="60" w:after="60"/>
              <w:rPr>
                <w:rFonts w:cs="Arial"/>
                <w:bCs/>
                <w:sz w:val="20"/>
                <w:szCs w:val="20"/>
              </w:rPr>
            </w:pPr>
            <w:r w:rsidRPr="00B27026">
              <w:rPr>
                <w:rFonts w:cs="Arial"/>
                <w:bCs/>
                <w:sz w:val="20"/>
                <w:szCs w:val="20"/>
              </w:rPr>
              <w:t xml:space="preserve">Chris </w:t>
            </w:r>
            <w:proofErr w:type="spellStart"/>
            <w:r w:rsidRPr="00B27026">
              <w:rPr>
                <w:rFonts w:cs="Arial"/>
                <w:bCs/>
                <w:sz w:val="20"/>
                <w:szCs w:val="20"/>
              </w:rPr>
              <w:t>Legault</w:t>
            </w:r>
            <w:proofErr w:type="spellEnd"/>
            <w:r w:rsidRPr="00B27026">
              <w:rPr>
                <w:rFonts w:cs="Arial"/>
                <w:bCs/>
                <w:sz w:val="20"/>
                <w:szCs w:val="20"/>
              </w:rPr>
              <w:t xml:space="preserve"> (US)</w:t>
            </w:r>
          </w:p>
        </w:tc>
      </w:tr>
      <w:tr w:rsidR="00E45C0B" w:rsidRPr="00B27026" w14:paraId="6425EA8E" w14:textId="77777777" w:rsidTr="004813AB">
        <w:tc>
          <w:tcPr>
            <w:tcW w:w="1668" w:type="dxa"/>
            <w:shd w:val="clear" w:color="auto" w:fill="F2F2F2" w:themeFill="background1" w:themeFillShade="F2"/>
          </w:tcPr>
          <w:p w14:paraId="47A6BD08"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12:00 – 13:00</w:t>
            </w:r>
          </w:p>
        </w:tc>
        <w:tc>
          <w:tcPr>
            <w:tcW w:w="7687" w:type="dxa"/>
            <w:gridSpan w:val="2"/>
            <w:shd w:val="clear" w:color="auto" w:fill="F2F2F2" w:themeFill="background1" w:themeFillShade="F2"/>
          </w:tcPr>
          <w:p w14:paraId="62AEBA17" w14:textId="77777777" w:rsidR="00E45C0B" w:rsidRPr="00B27026" w:rsidRDefault="00E45C0B" w:rsidP="00AD1CA4">
            <w:pPr>
              <w:autoSpaceDE w:val="0"/>
              <w:autoSpaceDN w:val="0"/>
              <w:adjustRightInd w:val="0"/>
              <w:spacing w:before="60" w:after="60"/>
              <w:rPr>
                <w:rFonts w:cs="Arial"/>
                <w:b/>
                <w:bCs/>
                <w:sz w:val="20"/>
                <w:szCs w:val="20"/>
              </w:rPr>
            </w:pPr>
            <w:r w:rsidRPr="00B27026">
              <w:rPr>
                <w:rFonts w:cs="Arial"/>
                <w:b/>
                <w:i/>
                <w:sz w:val="20"/>
                <w:szCs w:val="20"/>
                <w:u w:val="single"/>
              </w:rPr>
              <w:t>Lunch</w:t>
            </w:r>
          </w:p>
        </w:tc>
      </w:tr>
      <w:tr w:rsidR="00E45C0B" w:rsidRPr="00B27026" w14:paraId="546834B0" w14:textId="77777777" w:rsidTr="004813AB">
        <w:tc>
          <w:tcPr>
            <w:tcW w:w="1668" w:type="dxa"/>
          </w:tcPr>
          <w:p w14:paraId="1DA44080"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13:00 – 15:00</w:t>
            </w:r>
          </w:p>
        </w:tc>
        <w:tc>
          <w:tcPr>
            <w:tcW w:w="4819" w:type="dxa"/>
          </w:tcPr>
          <w:p w14:paraId="414B2C17" w14:textId="77777777" w:rsidR="00E45C0B" w:rsidRPr="00B27026" w:rsidRDefault="00E45C0B" w:rsidP="00AD1CA4">
            <w:pPr>
              <w:tabs>
                <w:tab w:val="left" w:pos="1985"/>
              </w:tabs>
              <w:autoSpaceDE w:val="0"/>
              <w:autoSpaceDN w:val="0"/>
              <w:adjustRightInd w:val="0"/>
              <w:spacing w:before="60" w:after="60"/>
              <w:rPr>
                <w:rFonts w:cs="Arial"/>
                <w:sz w:val="20"/>
                <w:szCs w:val="20"/>
              </w:rPr>
            </w:pPr>
            <w:r w:rsidRPr="00B27026">
              <w:rPr>
                <w:rFonts w:cs="Arial"/>
                <w:sz w:val="20"/>
                <w:szCs w:val="20"/>
              </w:rPr>
              <w:t>EGB Cod</w:t>
            </w:r>
          </w:p>
          <w:p w14:paraId="7BE75408" w14:textId="77777777" w:rsidR="00E45C0B" w:rsidRPr="00B27026" w:rsidRDefault="00E45C0B" w:rsidP="00AD1CA4">
            <w:pPr>
              <w:tabs>
                <w:tab w:val="left" w:pos="1985"/>
              </w:tabs>
              <w:autoSpaceDE w:val="0"/>
              <w:autoSpaceDN w:val="0"/>
              <w:adjustRightInd w:val="0"/>
              <w:spacing w:before="60" w:after="60"/>
              <w:rPr>
                <w:rFonts w:cs="Arial"/>
                <w:sz w:val="20"/>
                <w:szCs w:val="20"/>
              </w:rPr>
            </w:pPr>
            <w:r w:rsidRPr="00B27026">
              <w:rPr>
                <w:rFonts w:cs="Arial"/>
                <w:sz w:val="20"/>
                <w:szCs w:val="20"/>
              </w:rPr>
              <w:t>Alternative methodologies of providing catch advice</w:t>
            </w:r>
          </w:p>
        </w:tc>
        <w:tc>
          <w:tcPr>
            <w:tcW w:w="2868" w:type="dxa"/>
          </w:tcPr>
          <w:p w14:paraId="748FA366" w14:textId="77777777" w:rsidR="00E45C0B" w:rsidRPr="00B27026" w:rsidRDefault="00E45C0B" w:rsidP="00AD1CA4">
            <w:pPr>
              <w:autoSpaceDE w:val="0"/>
              <w:autoSpaceDN w:val="0"/>
              <w:adjustRightInd w:val="0"/>
              <w:spacing w:before="60" w:after="60"/>
              <w:rPr>
                <w:rFonts w:cs="Arial"/>
                <w:bCs/>
                <w:sz w:val="20"/>
                <w:szCs w:val="20"/>
              </w:rPr>
            </w:pPr>
            <w:r w:rsidRPr="00B27026">
              <w:rPr>
                <w:rFonts w:cs="Arial"/>
                <w:bCs/>
                <w:sz w:val="20"/>
                <w:szCs w:val="20"/>
              </w:rPr>
              <w:t xml:space="preserve">Irene </w:t>
            </w:r>
            <w:proofErr w:type="spellStart"/>
            <w:r w:rsidRPr="00B27026">
              <w:rPr>
                <w:rFonts w:cs="Arial"/>
                <w:bCs/>
                <w:sz w:val="20"/>
                <w:szCs w:val="20"/>
              </w:rPr>
              <w:t>Andrushchenko</w:t>
            </w:r>
            <w:proofErr w:type="spellEnd"/>
            <w:r w:rsidRPr="00B27026">
              <w:rPr>
                <w:rFonts w:cs="Arial"/>
                <w:bCs/>
                <w:sz w:val="20"/>
                <w:szCs w:val="20"/>
              </w:rPr>
              <w:t xml:space="preserve"> (</w:t>
            </w:r>
            <w:proofErr w:type="spellStart"/>
            <w:r w:rsidRPr="00B27026">
              <w:rPr>
                <w:rFonts w:cs="Arial"/>
                <w:bCs/>
                <w:sz w:val="20"/>
                <w:szCs w:val="20"/>
              </w:rPr>
              <w:t>Cdn</w:t>
            </w:r>
            <w:proofErr w:type="spellEnd"/>
            <w:r w:rsidRPr="00B27026">
              <w:rPr>
                <w:rFonts w:cs="Arial"/>
                <w:bCs/>
                <w:sz w:val="20"/>
                <w:szCs w:val="20"/>
              </w:rPr>
              <w:t>)</w:t>
            </w:r>
          </w:p>
          <w:p w14:paraId="457C80DB"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bCs/>
                <w:sz w:val="20"/>
                <w:szCs w:val="20"/>
              </w:rPr>
              <w:t xml:space="preserve">Chris </w:t>
            </w:r>
            <w:proofErr w:type="spellStart"/>
            <w:r w:rsidRPr="00B27026">
              <w:rPr>
                <w:rFonts w:cs="Arial"/>
                <w:bCs/>
                <w:sz w:val="20"/>
                <w:szCs w:val="20"/>
              </w:rPr>
              <w:t>Legault</w:t>
            </w:r>
            <w:proofErr w:type="spellEnd"/>
            <w:r w:rsidRPr="00B27026">
              <w:rPr>
                <w:rFonts w:cs="Arial"/>
                <w:bCs/>
                <w:sz w:val="20"/>
                <w:szCs w:val="20"/>
              </w:rPr>
              <w:t xml:space="preserve"> (US)</w:t>
            </w:r>
          </w:p>
        </w:tc>
      </w:tr>
      <w:tr w:rsidR="00E45C0B" w:rsidRPr="00B27026" w14:paraId="04269DBD" w14:textId="77777777" w:rsidTr="004813AB">
        <w:tc>
          <w:tcPr>
            <w:tcW w:w="1668" w:type="dxa"/>
            <w:shd w:val="clear" w:color="auto" w:fill="F2F2F2" w:themeFill="background1" w:themeFillShade="F2"/>
          </w:tcPr>
          <w:p w14:paraId="3CBA29B1"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15:00 – 15:15</w:t>
            </w:r>
          </w:p>
        </w:tc>
        <w:tc>
          <w:tcPr>
            <w:tcW w:w="7687" w:type="dxa"/>
            <w:gridSpan w:val="2"/>
            <w:shd w:val="clear" w:color="auto" w:fill="F2F2F2" w:themeFill="background1" w:themeFillShade="F2"/>
          </w:tcPr>
          <w:p w14:paraId="4CDE3867"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b/>
                <w:i/>
                <w:sz w:val="20"/>
                <w:szCs w:val="20"/>
                <w:u w:val="single"/>
              </w:rPr>
              <w:t>Break</w:t>
            </w:r>
          </w:p>
        </w:tc>
      </w:tr>
      <w:tr w:rsidR="00E45C0B" w:rsidRPr="00B27026" w14:paraId="2B626A32" w14:textId="77777777" w:rsidTr="004813AB">
        <w:tc>
          <w:tcPr>
            <w:tcW w:w="1668" w:type="dxa"/>
          </w:tcPr>
          <w:p w14:paraId="587E18BA"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15:15 – 17:00</w:t>
            </w:r>
          </w:p>
        </w:tc>
        <w:tc>
          <w:tcPr>
            <w:tcW w:w="4819" w:type="dxa"/>
          </w:tcPr>
          <w:p w14:paraId="788772D4" w14:textId="77777777" w:rsidR="00E45C0B" w:rsidRPr="00B27026" w:rsidRDefault="00E45C0B" w:rsidP="00AD1CA4">
            <w:pPr>
              <w:tabs>
                <w:tab w:val="left" w:pos="1985"/>
              </w:tabs>
              <w:autoSpaceDE w:val="0"/>
              <w:autoSpaceDN w:val="0"/>
              <w:adjustRightInd w:val="0"/>
              <w:spacing w:before="60" w:after="60"/>
              <w:rPr>
                <w:rFonts w:cs="Arial"/>
                <w:sz w:val="20"/>
                <w:szCs w:val="20"/>
              </w:rPr>
            </w:pPr>
            <w:r w:rsidRPr="00B27026">
              <w:rPr>
                <w:rFonts w:cs="Arial"/>
                <w:sz w:val="20"/>
                <w:szCs w:val="20"/>
              </w:rPr>
              <w:t>Alternative methodologies of providing catch advice continued</w:t>
            </w:r>
          </w:p>
          <w:p w14:paraId="7F4D385B" w14:textId="77777777" w:rsidR="00E45C0B" w:rsidRPr="00B27026" w:rsidRDefault="00E45C0B" w:rsidP="00AD1CA4">
            <w:pPr>
              <w:tabs>
                <w:tab w:val="left" w:pos="1985"/>
              </w:tabs>
              <w:autoSpaceDE w:val="0"/>
              <w:autoSpaceDN w:val="0"/>
              <w:adjustRightInd w:val="0"/>
              <w:spacing w:before="60" w:after="60"/>
              <w:rPr>
                <w:rFonts w:cs="Arial"/>
                <w:i/>
                <w:sz w:val="20"/>
                <w:szCs w:val="20"/>
                <w:u w:val="single"/>
              </w:rPr>
            </w:pPr>
            <w:r w:rsidRPr="00B27026">
              <w:rPr>
                <w:rFonts w:cs="Arial"/>
                <w:sz w:val="20"/>
                <w:szCs w:val="20"/>
              </w:rPr>
              <w:t>Discussion</w:t>
            </w:r>
          </w:p>
        </w:tc>
        <w:tc>
          <w:tcPr>
            <w:tcW w:w="2868" w:type="dxa"/>
          </w:tcPr>
          <w:p w14:paraId="5077F950" w14:textId="77777777" w:rsidR="00E45C0B" w:rsidRPr="00B27026" w:rsidRDefault="00E45C0B" w:rsidP="00AD1CA4">
            <w:pPr>
              <w:autoSpaceDE w:val="0"/>
              <w:autoSpaceDN w:val="0"/>
              <w:adjustRightInd w:val="0"/>
              <w:spacing w:before="60" w:after="60"/>
              <w:rPr>
                <w:rFonts w:cs="Arial"/>
                <w:bCs/>
                <w:sz w:val="20"/>
                <w:szCs w:val="20"/>
              </w:rPr>
            </w:pPr>
            <w:r w:rsidRPr="00B27026">
              <w:rPr>
                <w:rFonts w:cs="Arial"/>
                <w:bCs/>
                <w:sz w:val="20"/>
                <w:szCs w:val="20"/>
              </w:rPr>
              <w:t xml:space="preserve">Irene </w:t>
            </w:r>
            <w:proofErr w:type="spellStart"/>
            <w:r w:rsidRPr="00B27026">
              <w:rPr>
                <w:rFonts w:cs="Arial"/>
                <w:bCs/>
                <w:sz w:val="20"/>
                <w:szCs w:val="20"/>
              </w:rPr>
              <w:t>Andrushchenko</w:t>
            </w:r>
            <w:proofErr w:type="spellEnd"/>
            <w:r w:rsidRPr="00B27026">
              <w:rPr>
                <w:rFonts w:cs="Arial"/>
                <w:bCs/>
                <w:sz w:val="20"/>
                <w:szCs w:val="20"/>
              </w:rPr>
              <w:t xml:space="preserve"> (</w:t>
            </w:r>
            <w:proofErr w:type="spellStart"/>
            <w:r w:rsidRPr="00B27026">
              <w:rPr>
                <w:rFonts w:cs="Arial"/>
                <w:bCs/>
                <w:sz w:val="20"/>
                <w:szCs w:val="20"/>
              </w:rPr>
              <w:t>Cdn</w:t>
            </w:r>
            <w:proofErr w:type="spellEnd"/>
            <w:r w:rsidRPr="00B27026">
              <w:rPr>
                <w:rFonts w:cs="Arial"/>
                <w:bCs/>
                <w:sz w:val="20"/>
                <w:szCs w:val="20"/>
              </w:rPr>
              <w:t>)</w:t>
            </w:r>
          </w:p>
          <w:p w14:paraId="25A44E73" w14:textId="77777777" w:rsidR="00E45C0B" w:rsidRPr="00B27026" w:rsidRDefault="00E45C0B" w:rsidP="00AD1CA4">
            <w:pPr>
              <w:autoSpaceDE w:val="0"/>
              <w:autoSpaceDN w:val="0"/>
              <w:adjustRightInd w:val="0"/>
              <w:spacing w:before="60" w:after="60"/>
              <w:rPr>
                <w:rFonts w:cs="Arial"/>
                <w:bCs/>
                <w:sz w:val="20"/>
                <w:szCs w:val="20"/>
              </w:rPr>
            </w:pPr>
            <w:r w:rsidRPr="00B27026">
              <w:rPr>
                <w:rFonts w:cs="Arial"/>
                <w:bCs/>
                <w:sz w:val="20"/>
                <w:szCs w:val="20"/>
              </w:rPr>
              <w:t xml:space="preserve">Chris </w:t>
            </w:r>
            <w:proofErr w:type="spellStart"/>
            <w:r w:rsidRPr="00B27026">
              <w:rPr>
                <w:rFonts w:cs="Arial"/>
                <w:bCs/>
                <w:sz w:val="20"/>
                <w:szCs w:val="20"/>
              </w:rPr>
              <w:t>Legault</w:t>
            </w:r>
            <w:proofErr w:type="spellEnd"/>
            <w:r w:rsidRPr="00B27026">
              <w:rPr>
                <w:rFonts w:cs="Arial"/>
                <w:bCs/>
                <w:sz w:val="20"/>
                <w:szCs w:val="20"/>
              </w:rPr>
              <w:t xml:space="preserve"> (US)</w:t>
            </w:r>
          </w:p>
        </w:tc>
      </w:tr>
    </w:tbl>
    <w:p w14:paraId="4136D602" w14:textId="77777777" w:rsidR="00E45C0B" w:rsidRPr="00B27026" w:rsidRDefault="00E45C0B" w:rsidP="005275A7">
      <w:pPr>
        <w:spacing w:after="200" w:line="276" w:lineRule="auto"/>
        <w:rPr>
          <w:rFonts w:cs="Arial"/>
          <w:b/>
          <w:bCs/>
          <w:szCs w:val="22"/>
        </w:rPr>
      </w:pPr>
      <w:r w:rsidRPr="00B27026">
        <w:rPr>
          <w:rFonts w:cs="Arial"/>
          <w:b/>
          <w:bCs/>
          <w:szCs w:val="22"/>
          <w:u w:val="single"/>
        </w:rPr>
        <w:t>DAY 3 (Thursday, July 11, 2019)</w:t>
      </w:r>
    </w:p>
    <w:tbl>
      <w:tblPr>
        <w:tblStyle w:val="TableGrid"/>
        <w:tblW w:w="0" w:type="auto"/>
        <w:tblLook w:val="04A0" w:firstRow="1" w:lastRow="0" w:firstColumn="1" w:lastColumn="0" w:noHBand="0" w:noVBand="1"/>
      </w:tblPr>
      <w:tblGrid>
        <w:gridCol w:w="1635"/>
        <w:gridCol w:w="5103"/>
        <w:gridCol w:w="2612"/>
      </w:tblGrid>
      <w:tr w:rsidR="00E45C0B" w:rsidRPr="00B27026" w14:paraId="150A07E4" w14:textId="77777777" w:rsidTr="0089006E">
        <w:trPr>
          <w:tblHeader/>
        </w:trPr>
        <w:tc>
          <w:tcPr>
            <w:tcW w:w="1668" w:type="dxa"/>
            <w:shd w:val="clear" w:color="auto" w:fill="BFBFBF" w:themeFill="background1" w:themeFillShade="BF"/>
          </w:tcPr>
          <w:p w14:paraId="6FBCD1FB" w14:textId="77777777" w:rsidR="00E45C0B" w:rsidRPr="00B27026" w:rsidRDefault="00E45C0B" w:rsidP="00AD1CA4">
            <w:pPr>
              <w:autoSpaceDE w:val="0"/>
              <w:autoSpaceDN w:val="0"/>
              <w:adjustRightInd w:val="0"/>
              <w:spacing w:before="60" w:after="60"/>
              <w:jc w:val="center"/>
              <w:rPr>
                <w:rFonts w:cs="Arial"/>
                <w:b/>
                <w:bCs/>
                <w:sz w:val="20"/>
                <w:szCs w:val="20"/>
                <w:u w:val="single"/>
              </w:rPr>
            </w:pPr>
            <w:r w:rsidRPr="00B27026">
              <w:rPr>
                <w:rFonts w:cs="Arial"/>
                <w:b/>
                <w:bCs/>
                <w:sz w:val="20"/>
                <w:szCs w:val="20"/>
                <w:u w:val="single"/>
              </w:rPr>
              <w:t>Time</w:t>
            </w:r>
          </w:p>
        </w:tc>
        <w:tc>
          <w:tcPr>
            <w:tcW w:w="5244" w:type="dxa"/>
            <w:shd w:val="clear" w:color="auto" w:fill="BFBFBF" w:themeFill="background1" w:themeFillShade="BF"/>
          </w:tcPr>
          <w:p w14:paraId="39D0806C" w14:textId="77777777" w:rsidR="00E45C0B" w:rsidRPr="00B27026" w:rsidRDefault="00E45C0B" w:rsidP="00AD1CA4">
            <w:pPr>
              <w:autoSpaceDE w:val="0"/>
              <w:autoSpaceDN w:val="0"/>
              <w:adjustRightInd w:val="0"/>
              <w:spacing w:before="60" w:after="60"/>
              <w:jc w:val="center"/>
              <w:rPr>
                <w:rFonts w:cs="Arial"/>
                <w:b/>
                <w:bCs/>
                <w:sz w:val="20"/>
                <w:szCs w:val="20"/>
                <w:u w:val="single"/>
              </w:rPr>
            </w:pPr>
            <w:r w:rsidRPr="00B27026">
              <w:rPr>
                <w:rFonts w:cs="Arial"/>
                <w:b/>
                <w:bCs/>
                <w:sz w:val="20"/>
                <w:szCs w:val="20"/>
                <w:u w:val="single"/>
              </w:rPr>
              <w:t>Topic</w:t>
            </w:r>
          </w:p>
        </w:tc>
        <w:tc>
          <w:tcPr>
            <w:tcW w:w="2664" w:type="dxa"/>
            <w:shd w:val="clear" w:color="auto" w:fill="BFBFBF" w:themeFill="background1" w:themeFillShade="BF"/>
          </w:tcPr>
          <w:p w14:paraId="0EDB7AFD" w14:textId="77777777" w:rsidR="00E45C0B" w:rsidRPr="00B27026" w:rsidRDefault="00E45C0B" w:rsidP="00AD1CA4">
            <w:pPr>
              <w:autoSpaceDE w:val="0"/>
              <w:autoSpaceDN w:val="0"/>
              <w:adjustRightInd w:val="0"/>
              <w:spacing w:before="60" w:after="60"/>
              <w:jc w:val="center"/>
              <w:rPr>
                <w:rFonts w:cs="Arial"/>
                <w:b/>
                <w:bCs/>
                <w:sz w:val="20"/>
                <w:szCs w:val="20"/>
                <w:u w:val="single"/>
              </w:rPr>
            </w:pPr>
            <w:r w:rsidRPr="00B27026">
              <w:rPr>
                <w:rFonts w:cs="Arial"/>
                <w:b/>
                <w:bCs/>
                <w:sz w:val="20"/>
                <w:szCs w:val="20"/>
                <w:u w:val="single"/>
              </w:rPr>
              <w:t>Leads</w:t>
            </w:r>
          </w:p>
        </w:tc>
      </w:tr>
      <w:tr w:rsidR="00E45C0B" w:rsidRPr="00B27026" w14:paraId="2A14AD2F" w14:textId="77777777" w:rsidTr="00AD1CA4">
        <w:tc>
          <w:tcPr>
            <w:tcW w:w="1668" w:type="dxa"/>
          </w:tcPr>
          <w:p w14:paraId="3CDD7059" w14:textId="77777777" w:rsidR="00E45C0B" w:rsidRPr="00B27026" w:rsidRDefault="00E45C0B" w:rsidP="00AD1CA4">
            <w:pPr>
              <w:autoSpaceDE w:val="0"/>
              <w:autoSpaceDN w:val="0"/>
              <w:adjustRightInd w:val="0"/>
              <w:spacing w:before="60" w:after="60"/>
              <w:rPr>
                <w:rFonts w:cs="Arial"/>
                <w:b/>
                <w:bCs/>
                <w:sz w:val="20"/>
                <w:szCs w:val="20"/>
                <w:u w:val="single"/>
              </w:rPr>
            </w:pPr>
            <w:r w:rsidRPr="00B27026">
              <w:rPr>
                <w:rFonts w:cs="Arial"/>
                <w:sz w:val="20"/>
                <w:szCs w:val="20"/>
              </w:rPr>
              <w:t>09:00 – 10:00</w:t>
            </w:r>
          </w:p>
        </w:tc>
        <w:tc>
          <w:tcPr>
            <w:tcW w:w="5244" w:type="dxa"/>
          </w:tcPr>
          <w:p w14:paraId="162BDADB" w14:textId="77777777" w:rsidR="00E45C0B" w:rsidRPr="00B27026" w:rsidRDefault="00E45C0B" w:rsidP="00AD1CA4">
            <w:pPr>
              <w:autoSpaceDE w:val="0"/>
              <w:autoSpaceDN w:val="0"/>
              <w:adjustRightInd w:val="0"/>
              <w:spacing w:before="60" w:after="60"/>
              <w:rPr>
                <w:rFonts w:cs="Arial"/>
                <w:b/>
                <w:bCs/>
                <w:sz w:val="20"/>
                <w:szCs w:val="20"/>
                <w:u w:val="single"/>
              </w:rPr>
            </w:pPr>
            <w:r w:rsidRPr="00B27026">
              <w:rPr>
                <w:rFonts w:cs="Arial"/>
                <w:sz w:val="20"/>
                <w:szCs w:val="20"/>
              </w:rPr>
              <w:t>Summary of Day 2 and homework</w:t>
            </w:r>
          </w:p>
        </w:tc>
        <w:tc>
          <w:tcPr>
            <w:tcW w:w="2664" w:type="dxa"/>
          </w:tcPr>
          <w:p w14:paraId="2B77B2D7" w14:textId="77777777" w:rsidR="00E45C0B" w:rsidRPr="00B27026" w:rsidRDefault="00E45C0B" w:rsidP="00AD1CA4">
            <w:pPr>
              <w:autoSpaceDE w:val="0"/>
              <w:autoSpaceDN w:val="0"/>
              <w:adjustRightInd w:val="0"/>
              <w:spacing w:before="60" w:after="60"/>
              <w:rPr>
                <w:rFonts w:cs="Arial"/>
                <w:bCs/>
                <w:sz w:val="20"/>
                <w:szCs w:val="20"/>
              </w:rPr>
            </w:pPr>
            <w:r w:rsidRPr="00B27026">
              <w:rPr>
                <w:rFonts w:cs="Arial"/>
                <w:bCs/>
                <w:sz w:val="20"/>
                <w:szCs w:val="20"/>
              </w:rPr>
              <w:t>John Nielson</w:t>
            </w:r>
          </w:p>
        </w:tc>
      </w:tr>
      <w:tr w:rsidR="00E45C0B" w:rsidRPr="00B27026" w14:paraId="12263F63" w14:textId="77777777" w:rsidTr="00AD1CA4">
        <w:tc>
          <w:tcPr>
            <w:tcW w:w="1668" w:type="dxa"/>
            <w:shd w:val="clear" w:color="auto" w:fill="F2F2F2" w:themeFill="background1" w:themeFillShade="F2"/>
          </w:tcPr>
          <w:p w14:paraId="7644BE0F" w14:textId="77777777" w:rsidR="00E45C0B" w:rsidRPr="00B27026" w:rsidRDefault="00E45C0B" w:rsidP="00AD1CA4">
            <w:pPr>
              <w:autoSpaceDE w:val="0"/>
              <w:autoSpaceDN w:val="0"/>
              <w:adjustRightInd w:val="0"/>
              <w:spacing w:before="60" w:after="60"/>
              <w:rPr>
                <w:rFonts w:cs="Arial"/>
                <w:b/>
                <w:bCs/>
                <w:sz w:val="20"/>
                <w:szCs w:val="20"/>
                <w:u w:val="single"/>
              </w:rPr>
            </w:pPr>
            <w:r w:rsidRPr="00B27026">
              <w:rPr>
                <w:rFonts w:cs="Arial"/>
                <w:sz w:val="20"/>
                <w:szCs w:val="20"/>
              </w:rPr>
              <w:t>10:00 – 10:15</w:t>
            </w:r>
          </w:p>
        </w:tc>
        <w:tc>
          <w:tcPr>
            <w:tcW w:w="7908" w:type="dxa"/>
            <w:gridSpan w:val="2"/>
            <w:shd w:val="clear" w:color="auto" w:fill="F2F2F2" w:themeFill="background1" w:themeFillShade="F2"/>
          </w:tcPr>
          <w:p w14:paraId="463C4B6C" w14:textId="77777777" w:rsidR="00E45C0B" w:rsidRPr="00B27026" w:rsidRDefault="00E45C0B" w:rsidP="00AD1CA4">
            <w:pPr>
              <w:autoSpaceDE w:val="0"/>
              <w:autoSpaceDN w:val="0"/>
              <w:adjustRightInd w:val="0"/>
              <w:spacing w:before="60" w:after="60"/>
              <w:rPr>
                <w:rFonts w:cs="Arial"/>
                <w:b/>
                <w:bCs/>
                <w:sz w:val="20"/>
                <w:szCs w:val="20"/>
              </w:rPr>
            </w:pPr>
            <w:r w:rsidRPr="00B27026">
              <w:rPr>
                <w:rFonts w:cs="Arial"/>
                <w:b/>
                <w:i/>
                <w:sz w:val="20"/>
                <w:szCs w:val="20"/>
                <w:u w:val="single"/>
              </w:rPr>
              <w:t>Break</w:t>
            </w:r>
          </w:p>
        </w:tc>
      </w:tr>
      <w:tr w:rsidR="00E45C0B" w:rsidRPr="00B27026" w14:paraId="494E5172" w14:textId="77777777" w:rsidTr="00AD1CA4">
        <w:tc>
          <w:tcPr>
            <w:tcW w:w="1668" w:type="dxa"/>
          </w:tcPr>
          <w:p w14:paraId="605A6193"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10:15 – 11:15</w:t>
            </w:r>
          </w:p>
        </w:tc>
        <w:tc>
          <w:tcPr>
            <w:tcW w:w="5244" w:type="dxa"/>
          </w:tcPr>
          <w:p w14:paraId="065E2F7B" w14:textId="77777777" w:rsidR="00E45C0B" w:rsidRPr="00B27026" w:rsidRDefault="00E45C0B" w:rsidP="00AD1CA4">
            <w:pPr>
              <w:tabs>
                <w:tab w:val="left" w:pos="1985"/>
              </w:tabs>
              <w:autoSpaceDE w:val="0"/>
              <w:autoSpaceDN w:val="0"/>
              <w:adjustRightInd w:val="0"/>
              <w:spacing w:before="60" w:after="60"/>
              <w:rPr>
                <w:rFonts w:cs="Arial"/>
                <w:sz w:val="20"/>
                <w:szCs w:val="20"/>
              </w:rPr>
            </w:pPr>
            <w:r w:rsidRPr="00B27026">
              <w:rPr>
                <w:rFonts w:cs="Arial"/>
                <w:sz w:val="20"/>
                <w:szCs w:val="20"/>
              </w:rPr>
              <w:t>Review Georges Bank Yellowtail TSR</w:t>
            </w:r>
          </w:p>
        </w:tc>
        <w:tc>
          <w:tcPr>
            <w:tcW w:w="2664" w:type="dxa"/>
          </w:tcPr>
          <w:p w14:paraId="66502473"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 xml:space="preserve">Chris </w:t>
            </w:r>
            <w:proofErr w:type="spellStart"/>
            <w:r w:rsidRPr="00B27026">
              <w:rPr>
                <w:rFonts w:cs="Arial"/>
                <w:sz w:val="20"/>
                <w:szCs w:val="20"/>
              </w:rPr>
              <w:t>Legault</w:t>
            </w:r>
            <w:proofErr w:type="spellEnd"/>
            <w:r w:rsidRPr="00B27026">
              <w:rPr>
                <w:rFonts w:cs="Arial"/>
                <w:sz w:val="20"/>
                <w:szCs w:val="20"/>
              </w:rPr>
              <w:t xml:space="preserve"> (US)</w:t>
            </w:r>
          </w:p>
          <w:p w14:paraId="2B933468" w14:textId="77777777" w:rsidR="00E45C0B" w:rsidRPr="00B27026" w:rsidRDefault="00E45C0B" w:rsidP="00AD1CA4">
            <w:pPr>
              <w:autoSpaceDE w:val="0"/>
              <w:autoSpaceDN w:val="0"/>
              <w:adjustRightInd w:val="0"/>
              <w:spacing w:before="60" w:after="60"/>
              <w:rPr>
                <w:rFonts w:cs="Arial"/>
                <w:sz w:val="20"/>
                <w:szCs w:val="20"/>
                <w:highlight w:val="yellow"/>
              </w:rPr>
            </w:pPr>
            <w:r w:rsidRPr="00B27026">
              <w:rPr>
                <w:rFonts w:cs="Arial"/>
                <w:sz w:val="20"/>
                <w:szCs w:val="20"/>
              </w:rPr>
              <w:t>Monica Finley (</w:t>
            </w:r>
            <w:proofErr w:type="spellStart"/>
            <w:r w:rsidRPr="00B27026">
              <w:rPr>
                <w:rFonts w:cs="Arial"/>
                <w:sz w:val="20"/>
                <w:szCs w:val="20"/>
              </w:rPr>
              <w:t>Cdn</w:t>
            </w:r>
            <w:proofErr w:type="spellEnd"/>
            <w:r w:rsidRPr="00B27026">
              <w:rPr>
                <w:rFonts w:cs="Arial"/>
                <w:sz w:val="20"/>
                <w:szCs w:val="20"/>
              </w:rPr>
              <w:t>)</w:t>
            </w:r>
          </w:p>
        </w:tc>
      </w:tr>
      <w:tr w:rsidR="00E45C0B" w:rsidRPr="00B27026" w14:paraId="41C48F11" w14:textId="77777777" w:rsidTr="00AD1CA4">
        <w:tc>
          <w:tcPr>
            <w:tcW w:w="1668" w:type="dxa"/>
          </w:tcPr>
          <w:p w14:paraId="5C97702F"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11:15 – 12:15</w:t>
            </w:r>
          </w:p>
        </w:tc>
        <w:tc>
          <w:tcPr>
            <w:tcW w:w="5244" w:type="dxa"/>
          </w:tcPr>
          <w:p w14:paraId="38B798E3" w14:textId="77777777" w:rsidR="00E45C0B" w:rsidRPr="00B27026" w:rsidRDefault="00E45C0B" w:rsidP="00AD1CA4">
            <w:pPr>
              <w:tabs>
                <w:tab w:val="left" w:pos="1985"/>
              </w:tabs>
              <w:autoSpaceDE w:val="0"/>
              <w:autoSpaceDN w:val="0"/>
              <w:adjustRightInd w:val="0"/>
              <w:spacing w:before="60" w:after="60"/>
              <w:rPr>
                <w:rFonts w:cs="Arial"/>
                <w:sz w:val="20"/>
                <w:szCs w:val="20"/>
              </w:rPr>
            </w:pPr>
            <w:r w:rsidRPr="00B27026">
              <w:rPr>
                <w:rFonts w:cs="Arial"/>
                <w:sz w:val="20"/>
                <w:szCs w:val="20"/>
              </w:rPr>
              <w:t>Review Eastern Georges Bank Haddock TSR</w:t>
            </w:r>
          </w:p>
        </w:tc>
        <w:tc>
          <w:tcPr>
            <w:tcW w:w="2664" w:type="dxa"/>
          </w:tcPr>
          <w:p w14:paraId="7670FFD3"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Monica Finley (</w:t>
            </w:r>
            <w:proofErr w:type="spellStart"/>
            <w:r w:rsidRPr="00B27026">
              <w:rPr>
                <w:rFonts w:cs="Arial"/>
                <w:sz w:val="20"/>
                <w:szCs w:val="20"/>
              </w:rPr>
              <w:t>Cdn</w:t>
            </w:r>
            <w:proofErr w:type="spellEnd"/>
            <w:r w:rsidRPr="00B27026">
              <w:rPr>
                <w:rFonts w:cs="Arial"/>
                <w:sz w:val="20"/>
                <w:szCs w:val="20"/>
              </w:rPr>
              <w:t>)</w:t>
            </w:r>
          </w:p>
          <w:p w14:paraId="681326CE"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Liz Brooks (US)</w:t>
            </w:r>
          </w:p>
        </w:tc>
      </w:tr>
      <w:tr w:rsidR="00E45C0B" w:rsidRPr="00B27026" w14:paraId="3686F4B0" w14:textId="77777777" w:rsidTr="00AD1CA4">
        <w:tc>
          <w:tcPr>
            <w:tcW w:w="1668" w:type="dxa"/>
          </w:tcPr>
          <w:p w14:paraId="2CB15E09"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12:15 to 12:45</w:t>
            </w:r>
          </w:p>
        </w:tc>
        <w:tc>
          <w:tcPr>
            <w:tcW w:w="5244" w:type="dxa"/>
          </w:tcPr>
          <w:p w14:paraId="2B715776" w14:textId="77777777" w:rsidR="00E45C0B" w:rsidRPr="00B27026" w:rsidRDefault="00E45C0B" w:rsidP="00AD1CA4">
            <w:pPr>
              <w:tabs>
                <w:tab w:val="left" w:pos="1985"/>
              </w:tabs>
              <w:autoSpaceDE w:val="0"/>
              <w:autoSpaceDN w:val="0"/>
              <w:adjustRightInd w:val="0"/>
              <w:spacing w:before="60" w:after="60"/>
              <w:rPr>
                <w:rFonts w:cs="Arial"/>
                <w:sz w:val="20"/>
                <w:szCs w:val="20"/>
              </w:rPr>
            </w:pPr>
            <w:r w:rsidRPr="00B27026">
              <w:rPr>
                <w:rFonts w:cs="Arial"/>
                <w:sz w:val="20"/>
                <w:szCs w:val="20"/>
              </w:rPr>
              <w:t xml:space="preserve">Draft </w:t>
            </w:r>
            <w:proofErr w:type="spellStart"/>
            <w:r w:rsidRPr="00B27026">
              <w:rPr>
                <w:rFonts w:cs="Arial"/>
                <w:sz w:val="20"/>
                <w:szCs w:val="20"/>
              </w:rPr>
              <w:t>ToR</w:t>
            </w:r>
            <w:proofErr w:type="spellEnd"/>
            <w:r w:rsidRPr="00B27026">
              <w:rPr>
                <w:rFonts w:cs="Arial"/>
                <w:sz w:val="20"/>
                <w:szCs w:val="20"/>
              </w:rPr>
              <w:t xml:space="preserve"> for 2020 TRAC</w:t>
            </w:r>
          </w:p>
        </w:tc>
        <w:tc>
          <w:tcPr>
            <w:tcW w:w="2664" w:type="dxa"/>
          </w:tcPr>
          <w:p w14:paraId="36351BB1"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Kirsten Clark (</w:t>
            </w:r>
            <w:proofErr w:type="spellStart"/>
            <w:r w:rsidRPr="00B27026">
              <w:rPr>
                <w:rFonts w:cs="Arial"/>
                <w:sz w:val="20"/>
                <w:szCs w:val="20"/>
              </w:rPr>
              <w:t>Cdn</w:t>
            </w:r>
            <w:proofErr w:type="spellEnd"/>
            <w:r w:rsidRPr="00B27026">
              <w:rPr>
                <w:rFonts w:cs="Arial"/>
                <w:sz w:val="20"/>
                <w:szCs w:val="20"/>
              </w:rPr>
              <w:t>)</w:t>
            </w:r>
          </w:p>
          <w:p w14:paraId="2E741644"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 xml:space="preserve">Tara </w:t>
            </w:r>
            <w:proofErr w:type="spellStart"/>
            <w:r w:rsidRPr="00B27026">
              <w:rPr>
                <w:rFonts w:cs="Arial"/>
                <w:sz w:val="20"/>
                <w:szCs w:val="20"/>
              </w:rPr>
              <w:t>Trinko</w:t>
            </w:r>
            <w:proofErr w:type="spellEnd"/>
            <w:r w:rsidRPr="00B27026">
              <w:rPr>
                <w:rFonts w:cs="Arial"/>
                <w:sz w:val="20"/>
                <w:szCs w:val="20"/>
              </w:rPr>
              <w:t>-Lake (US)</w:t>
            </w:r>
          </w:p>
        </w:tc>
      </w:tr>
      <w:tr w:rsidR="00E45C0B" w:rsidRPr="00B27026" w14:paraId="0A0EF896" w14:textId="77777777" w:rsidTr="00AD1CA4">
        <w:tc>
          <w:tcPr>
            <w:tcW w:w="1668" w:type="dxa"/>
            <w:shd w:val="clear" w:color="auto" w:fill="F2F2F2" w:themeFill="background1" w:themeFillShade="F2"/>
          </w:tcPr>
          <w:p w14:paraId="7265D070"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12:45 – 13:45</w:t>
            </w:r>
          </w:p>
        </w:tc>
        <w:tc>
          <w:tcPr>
            <w:tcW w:w="7908" w:type="dxa"/>
            <w:gridSpan w:val="2"/>
            <w:shd w:val="clear" w:color="auto" w:fill="F2F2F2" w:themeFill="background1" w:themeFillShade="F2"/>
          </w:tcPr>
          <w:p w14:paraId="46FA43FC" w14:textId="77777777" w:rsidR="00E45C0B" w:rsidRPr="00B27026" w:rsidRDefault="00E45C0B" w:rsidP="00AD1CA4">
            <w:pPr>
              <w:autoSpaceDE w:val="0"/>
              <w:autoSpaceDN w:val="0"/>
              <w:adjustRightInd w:val="0"/>
              <w:spacing w:before="60" w:after="60"/>
              <w:rPr>
                <w:rFonts w:cs="Arial"/>
                <w:b/>
                <w:bCs/>
                <w:sz w:val="20"/>
                <w:szCs w:val="20"/>
              </w:rPr>
            </w:pPr>
            <w:r w:rsidRPr="00B27026">
              <w:rPr>
                <w:rFonts w:cs="Arial"/>
                <w:b/>
                <w:i/>
                <w:sz w:val="20"/>
                <w:szCs w:val="20"/>
                <w:u w:val="single"/>
              </w:rPr>
              <w:t>Lunch</w:t>
            </w:r>
          </w:p>
        </w:tc>
      </w:tr>
      <w:tr w:rsidR="00E45C0B" w:rsidRPr="00B27026" w14:paraId="53EFA50E" w14:textId="77777777" w:rsidTr="00AD1CA4">
        <w:tc>
          <w:tcPr>
            <w:tcW w:w="1668" w:type="dxa"/>
          </w:tcPr>
          <w:p w14:paraId="7B634464"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13:45 – 15:00</w:t>
            </w:r>
          </w:p>
        </w:tc>
        <w:tc>
          <w:tcPr>
            <w:tcW w:w="5244" w:type="dxa"/>
          </w:tcPr>
          <w:p w14:paraId="2A43AF7C" w14:textId="77777777" w:rsidR="00E45C0B" w:rsidRPr="00B27026" w:rsidRDefault="00E45C0B" w:rsidP="00AD1CA4">
            <w:pPr>
              <w:autoSpaceDE w:val="0"/>
              <w:autoSpaceDN w:val="0"/>
              <w:adjustRightInd w:val="0"/>
              <w:spacing w:before="60" w:after="60"/>
              <w:rPr>
                <w:rFonts w:cs="Arial"/>
                <w:i/>
                <w:sz w:val="20"/>
                <w:szCs w:val="20"/>
                <w:u w:val="single"/>
              </w:rPr>
            </w:pPr>
            <w:r w:rsidRPr="00B27026">
              <w:rPr>
                <w:rFonts w:cs="Arial"/>
                <w:sz w:val="20"/>
                <w:szCs w:val="20"/>
              </w:rPr>
              <w:t>TSR Edits</w:t>
            </w:r>
          </w:p>
        </w:tc>
        <w:tc>
          <w:tcPr>
            <w:tcW w:w="2664" w:type="dxa"/>
          </w:tcPr>
          <w:p w14:paraId="01AFE4F8" w14:textId="77777777" w:rsidR="00E45C0B" w:rsidRPr="00B27026" w:rsidRDefault="00E45C0B" w:rsidP="00AD1CA4">
            <w:pPr>
              <w:autoSpaceDE w:val="0"/>
              <w:autoSpaceDN w:val="0"/>
              <w:adjustRightInd w:val="0"/>
              <w:spacing w:before="60" w:after="60"/>
              <w:rPr>
                <w:rFonts w:cs="Arial"/>
                <w:bCs/>
                <w:sz w:val="20"/>
                <w:szCs w:val="20"/>
              </w:rPr>
            </w:pPr>
            <w:proofErr w:type="spellStart"/>
            <w:r w:rsidRPr="00B27026">
              <w:rPr>
                <w:rFonts w:cs="Arial"/>
                <w:sz w:val="20"/>
                <w:szCs w:val="20"/>
              </w:rPr>
              <w:t>Cdn</w:t>
            </w:r>
            <w:proofErr w:type="spellEnd"/>
            <w:r w:rsidRPr="00B27026">
              <w:rPr>
                <w:rFonts w:cs="Arial"/>
                <w:sz w:val="20"/>
                <w:szCs w:val="20"/>
              </w:rPr>
              <w:t xml:space="preserve"> &amp; US editorial committee</w:t>
            </w:r>
          </w:p>
        </w:tc>
      </w:tr>
      <w:tr w:rsidR="00E45C0B" w:rsidRPr="00B27026" w14:paraId="4C95E9E3" w14:textId="77777777" w:rsidTr="00AD1CA4">
        <w:tc>
          <w:tcPr>
            <w:tcW w:w="1668" w:type="dxa"/>
            <w:shd w:val="clear" w:color="auto" w:fill="F2F2F2" w:themeFill="background1" w:themeFillShade="F2"/>
          </w:tcPr>
          <w:p w14:paraId="2B9BF550"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15:00 – 15:15</w:t>
            </w:r>
          </w:p>
        </w:tc>
        <w:tc>
          <w:tcPr>
            <w:tcW w:w="7908" w:type="dxa"/>
            <w:gridSpan w:val="2"/>
            <w:shd w:val="clear" w:color="auto" w:fill="F2F2F2" w:themeFill="background1" w:themeFillShade="F2"/>
          </w:tcPr>
          <w:p w14:paraId="191EC5C6"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b/>
                <w:i/>
                <w:sz w:val="20"/>
                <w:szCs w:val="20"/>
                <w:u w:val="single"/>
              </w:rPr>
              <w:t>Break</w:t>
            </w:r>
          </w:p>
        </w:tc>
      </w:tr>
      <w:tr w:rsidR="00E45C0B" w:rsidRPr="00B27026" w14:paraId="3ACE3A81" w14:textId="77777777" w:rsidTr="00AD1CA4">
        <w:tc>
          <w:tcPr>
            <w:tcW w:w="1668" w:type="dxa"/>
          </w:tcPr>
          <w:p w14:paraId="2E3A82B5" w14:textId="77777777" w:rsidR="00E45C0B" w:rsidRPr="00B27026" w:rsidRDefault="00E45C0B" w:rsidP="00AD1CA4">
            <w:pPr>
              <w:autoSpaceDE w:val="0"/>
              <w:autoSpaceDN w:val="0"/>
              <w:adjustRightInd w:val="0"/>
              <w:spacing w:before="60" w:after="60"/>
              <w:rPr>
                <w:rFonts w:cs="Arial"/>
                <w:sz w:val="20"/>
                <w:szCs w:val="20"/>
              </w:rPr>
            </w:pPr>
            <w:r w:rsidRPr="00B27026">
              <w:rPr>
                <w:rFonts w:cs="Arial"/>
                <w:sz w:val="20"/>
                <w:szCs w:val="20"/>
              </w:rPr>
              <w:t>15:15 – 16:00</w:t>
            </w:r>
          </w:p>
        </w:tc>
        <w:tc>
          <w:tcPr>
            <w:tcW w:w="5244" w:type="dxa"/>
          </w:tcPr>
          <w:p w14:paraId="15B51A0C" w14:textId="77777777" w:rsidR="00E45C0B" w:rsidRPr="00B27026" w:rsidRDefault="00E45C0B" w:rsidP="00AD1CA4">
            <w:pPr>
              <w:autoSpaceDE w:val="0"/>
              <w:autoSpaceDN w:val="0"/>
              <w:adjustRightInd w:val="0"/>
              <w:spacing w:before="60" w:after="60"/>
              <w:rPr>
                <w:rFonts w:cs="Arial"/>
                <w:i/>
                <w:sz w:val="20"/>
                <w:szCs w:val="20"/>
                <w:u w:val="single"/>
              </w:rPr>
            </w:pPr>
            <w:r w:rsidRPr="00B27026">
              <w:rPr>
                <w:rFonts w:cs="Arial"/>
                <w:sz w:val="20"/>
                <w:szCs w:val="20"/>
              </w:rPr>
              <w:t>TSR Edits and Wrap up</w:t>
            </w:r>
          </w:p>
        </w:tc>
        <w:tc>
          <w:tcPr>
            <w:tcW w:w="2664" w:type="dxa"/>
          </w:tcPr>
          <w:p w14:paraId="5FB4EBFD" w14:textId="77777777" w:rsidR="00E45C0B" w:rsidRPr="00B27026" w:rsidRDefault="00E45C0B" w:rsidP="00AD1CA4">
            <w:pPr>
              <w:autoSpaceDE w:val="0"/>
              <w:autoSpaceDN w:val="0"/>
              <w:adjustRightInd w:val="0"/>
              <w:spacing w:before="60" w:after="60"/>
              <w:rPr>
                <w:rFonts w:cs="Arial"/>
                <w:bCs/>
                <w:sz w:val="20"/>
                <w:szCs w:val="20"/>
              </w:rPr>
            </w:pPr>
            <w:proofErr w:type="spellStart"/>
            <w:r w:rsidRPr="00B27026">
              <w:rPr>
                <w:rFonts w:cs="Arial"/>
                <w:sz w:val="20"/>
                <w:szCs w:val="20"/>
              </w:rPr>
              <w:t>Cdn</w:t>
            </w:r>
            <w:proofErr w:type="spellEnd"/>
            <w:r w:rsidRPr="00B27026">
              <w:rPr>
                <w:rFonts w:cs="Arial"/>
                <w:sz w:val="20"/>
                <w:szCs w:val="20"/>
              </w:rPr>
              <w:t xml:space="preserve"> &amp; US editorial committee</w:t>
            </w:r>
          </w:p>
        </w:tc>
      </w:tr>
    </w:tbl>
    <w:p w14:paraId="14A7286E" w14:textId="77777777" w:rsidR="00E45C0B" w:rsidRPr="00A10C88" w:rsidRDefault="00E45C0B" w:rsidP="0089006E">
      <w:pPr>
        <w:rPr>
          <w:lang w:val="en-CA"/>
        </w:rPr>
      </w:pPr>
    </w:p>
    <w:sectPr w:rsidR="00E45C0B" w:rsidRPr="00A10C88" w:rsidSect="00DA68D4">
      <w:headerReference w:type="even" r:id="rId28"/>
      <w:footerReference w:type="default" r:id="rId29"/>
      <w:pgSz w:w="12240" w:h="15840"/>
      <w:pgMar w:top="1440" w:right="1440" w:bottom="1440" w:left="1440" w:header="720" w:footer="6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13E38" w14:textId="77777777" w:rsidR="00621B71" w:rsidRDefault="00621B71">
      <w:r>
        <w:separator/>
      </w:r>
    </w:p>
    <w:p w14:paraId="2F7CAF34" w14:textId="77777777" w:rsidR="00621B71" w:rsidRDefault="00621B71"/>
  </w:endnote>
  <w:endnote w:type="continuationSeparator" w:id="0">
    <w:p w14:paraId="68AE7763" w14:textId="77777777" w:rsidR="00621B71" w:rsidRDefault="00621B71">
      <w:r>
        <w:continuationSeparator/>
      </w:r>
    </w:p>
    <w:p w14:paraId="08270FBF" w14:textId="77777777" w:rsidR="00621B71" w:rsidRDefault="00621B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49CC7" w14:textId="77777777" w:rsidR="00621B71" w:rsidRDefault="00621B71">
    <w:pPr>
      <w:framePr w:wrap="around" w:vAnchor="text" w:hAnchor="margin" w:xAlign="center" w:y="1"/>
    </w:pPr>
    <w:r>
      <w:fldChar w:fldCharType="begin"/>
    </w:r>
    <w:r>
      <w:instrText xml:space="preserve">PAGE  </w:instrText>
    </w:r>
    <w:r>
      <w:fldChar w:fldCharType="end"/>
    </w:r>
  </w:p>
  <w:p w14:paraId="37AF7FEB" w14:textId="77777777" w:rsidR="00621B71" w:rsidRDefault="00621B71"/>
  <w:p w14:paraId="62CB3D80" w14:textId="77777777" w:rsidR="00621B71" w:rsidRDefault="00621B7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1" w:type="dxa"/>
      <w:tblBorders>
        <w:top w:val="single" w:sz="4" w:space="0" w:color="auto"/>
      </w:tblBorders>
      <w:tblLayout w:type="fixed"/>
      <w:tblLook w:val="01E0" w:firstRow="1" w:lastRow="1" w:firstColumn="1" w:lastColumn="1" w:noHBand="0" w:noVBand="0"/>
    </w:tblPr>
    <w:tblGrid>
      <w:gridCol w:w="4077"/>
      <w:gridCol w:w="540"/>
      <w:gridCol w:w="4455"/>
    </w:tblGrid>
    <w:tr w:rsidR="00621B71" w:rsidRPr="00D50762" w14:paraId="20EADFB3" w14:textId="77777777" w:rsidTr="0089006E">
      <w:tc>
        <w:tcPr>
          <w:tcW w:w="4077" w:type="dxa"/>
          <w:tcBorders>
            <w:top w:val="nil"/>
            <w:bottom w:val="nil"/>
          </w:tcBorders>
        </w:tcPr>
        <w:p w14:paraId="69BB1423" w14:textId="77777777" w:rsidR="00621B71" w:rsidRPr="00D50762" w:rsidRDefault="00621B71" w:rsidP="002836CC">
          <w:pPr>
            <w:tabs>
              <w:tab w:val="right" w:pos="10064"/>
            </w:tabs>
            <w:spacing w:before="0" w:after="0"/>
            <w:rPr>
              <w:rFonts w:cs="Arial"/>
              <w:spacing w:val="-3"/>
              <w:sz w:val="16"/>
              <w:szCs w:val="16"/>
              <w:lang w:val="fr-CA"/>
            </w:rPr>
          </w:pPr>
          <w:r w:rsidRPr="00D50762">
            <w:rPr>
              <w:rFonts w:cs="Arial"/>
              <w:spacing w:val="-3"/>
              <w:sz w:val="16"/>
              <w:szCs w:val="16"/>
              <w:lang w:val="fr-CA"/>
            </w:rPr>
            <w:t>Ce document est disponible sur l’Internet à :</w:t>
          </w:r>
        </w:p>
      </w:tc>
      <w:tc>
        <w:tcPr>
          <w:tcW w:w="540" w:type="dxa"/>
          <w:tcBorders>
            <w:top w:val="nil"/>
            <w:bottom w:val="nil"/>
          </w:tcBorders>
        </w:tcPr>
        <w:p w14:paraId="49008205" w14:textId="77777777" w:rsidR="00621B71" w:rsidRPr="00D50762" w:rsidRDefault="00621B71" w:rsidP="002836CC">
          <w:pPr>
            <w:tabs>
              <w:tab w:val="right" w:pos="10064"/>
            </w:tabs>
            <w:spacing w:before="0" w:after="0"/>
            <w:jc w:val="center"/>
            <w:rPr>
              <w:rFonts w:cs="Arial"/>
              <w:spacing w:val="-3"/>
              <w:sz w:val="16"/>
              <w:szCs w:val="16"/>
              <w:lang w:val="fr-CA"/>
            </w:rPr>
          </w:pPr>
        </w:p>
      </w:tc>
      <w:tc>
        <w:tcPr>
          <w:tcW w:w="4455" w:type="dxa"/>
          <w:tcBorders>
            <w:top w:val="nil"/>
            <w:bottom w:val="nil"/>
          </w:tcBorders>
        </w:tcPr>
        <w:p w14:paraId="3388C499" w14:textId="77777777" w:rsidR="00621B71" w:rsidRPr="00D50762" w:rsidRDefault="00621B71" w:rsidP="002836CC">
          <w:pPr>
            <w:tabs>
              <w:tab w:val="right" w:pos="10064"/>
            </w:tabs>
            <w:spacing w:before="0" w:after="0"/>
            <w:jc w:val="right"/>
            <w:rPr>
              <w:rFonts w:cs="Arial"/>
              <w:spacing w:val="-3"/>
              <w:sz w:val="16"/>
              <w:szCs w:val="16"/>
              <w:lang w:val="en-CA"/>
            </w:rPr>
          </w:pPr>
          <w:r w:rsidRPr="00D50762">
            <w:rPr>
              <w:rFonts w:cs="Arial"/>
              <w:spacing w:val="-3"/>
              <w:sz w:val="16"/>
              <w:szCs w:val="16"/>
              <w:lang w:val="en-CA"/>
            </w:rPr>
            <w:t>This document is available on the Internet at :</w:t>
          </w:r>
        </w:p>
      </w:tc>
    </w:tr>
    <w:tr w:rsidR="00621B71" w:rsidRPr="00D50762" w14:paraId="79C1A51F" w14:textId="77777777" w:rsidTr="0089006E">
      <w:tc>
        <w:tcPr>
          <w:tcW w:w="9072" w:type="dxa"/>
          <w:gridSpan w:val="3"/>
          <w:tcBorders>
            <w:top w:val="nil"/>
            <w:bottom w:val="single" w:sz="4" w:space="0" w:color="auto"/>
          </w:tcBorders>
        </w:tcPr>
        <w:p w14:paraId="6D949FC1" w14:textId="77777777" w:rsidR="00621B71" w:rsidRPr="00D50762" w:rsidRDefault="00B31526" w:rsidP="002836CC">
          <w:pPr>
            <w:tabs>
              <w:tab w:val="right" w:pos="10064"/>
            </w:tabs>
            <w:spacing w:before="0" w:after="0"/>
            <w:jc w:val="center"/>
            <w:rPr>
              <w:rFonts w:cs="Arial"/>
              <w:spacing w:val="-3"/>
              <w:sz w:val="16"/>
              <w:szCs w:val="16"/>
              <w:lang w:val="en-CA"/>
            </w:rPr>
          </w:pPr>
          <w:hyperlink r:id="rId1" w:tooltip="Transboundary Resources Assessment Committee (TRAC)" w:history="1">
            <w:r w:rsidR="00621B71" w:rsidRPr="00D50762">
              <w:rPr>
                <w:rFonts w:cs="Arial"/>
                <w:color w:val="0000FF"/>
                <w:spacing w:val="-3"/>
                <w:sz w:val="16"/>
                <w:szCs w:val="16"/>
                <w:u w:val="single"/>
                <w:lang w:val="en-CA"/>
              </w:rPr>
              <w:t>http://www.bio.gc.ca/info/intercol/index-en.php</w:t>
            </w:r>
          </w:hyperlink>
        </w:p>
      </w:tc>
    </w:tr>
    <w:tr w:rsidR="00621B71" w:rsidRPr="00D50762" w14:paraId="7B4507EC" w14:textId="77777777" w:rsidTr="0089006E">
      <w:tc>
        <w:tcPr>
          <w:tcW w:w="4077" w:type="dxa"/>
          <w:tcBorders>
            <w:top w:val="single" w:sz="4" w:space="0" w:color="auto"/>
          </w:tcBorders>
        </w:tcPr>
        <w:p w14:paraId="14E899C4" w14:textId="77777777" w:rsidR="00621B71" w:rsidRPr="00D50762" w:rsidRDefault="00621B71" w:rsidP="002836CC">
          <w:pPr>
            <w:tabs>
              <w:tab w:val="right" w:pos="10064"/>
            </w:tabs>
            <w:spacing w:before="0" w:after="0"/>
            <w:rPr>
              <w:rFonts w:cs="Arial"/>
              <w:spacing w:val="-3"/>
              <w:lang w:val="en-CA"/>
            </w:rPr>
          </w:pPr>
        </w:p>
        <w:p w14:paraId="3A5F9F4A" w14:textId="77777777" w:rsidR="00621B71" w:rsidRPr="00D50762" w:rsidRDefault="00621B71" w:rsidP="002836CC">
          <w:pPr>
            <w:tabs>
              <w:tab w:val="right" w:pos="10064"/>
            </w:tabs>
            <w:spacing w:before="0" w:after="0"/>
            <w:rPr>
              <w:rFonts w:cs="Arial"/>
              <w:spacing w:val="-3"/>
            </w:rPr>
          </w:pPr>
          <w:r w:rsidRPr="00D50762">
            <w:rPr>
              <w:rFonts w:cs="Arial"/>
              <w:noProof/>
            </w:rPr>
            <w:drawing>
              <wp:inline distT="0" distB="0" distL="0" distR="0" wp14:anchorId="22F23532" wp14:editId="40EF805A">
                <wp:extent cx="800100" cy="190500"/>
                <wp:effectExtent l="19050" t="0" r="0" b="0"/>
                <wp:docPr id="6" name="Picture 6" descr="CANADA ©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NADA © Transparent"/>
                        <pic:cNvPicPr>
                          <a:picLocks noChangeAspect="1" noChangeArrowheads="1"/>
                        </pic:cNvPicPr>
                      </pic:nvPicPr>
                      <pic:blipFill>
                        <a:blip r:embed="rId2"/>
                        <a:srcRect/>
                        <a:stretch>
                          <a:fillRect/>
                        </a:stretch>
                      </pic:blipFill>
                      <pic:spPr bwMode="auto">
                        <a:xfrm>
                          <a:off x="0" y="0"/>
                          <a:ext cx="800100" cy="190500"/>
                        </a:xfrm>
                        <a:prstGeom prst="rect">
                          <a:avLst/>
                        </a:prstGeom>
                        <a:noFill/>
                        <a:ln w="9525">
                          <a:noFill/>
                          <a:miter lim="800000"/>
                          <a:headEnd/>
                          <a:tailEnd/>
                        </a:ln>
                      </pic:spPr>
                    </pic:pic>
                  </a:graphicData>
                </a:graphic>
              </wp:inline>
            </w:drawing>
          </w:r>
        </w:p>
      </w:tc>
      <w:tc>
        <w:tcPr>
          <w:tcW w:w="540" w:type="dxa"/>
          <w:tcBorders>
            <w:top w:val="single" w:sz="4" w:space="0" w:color="auto"/>
          </w:tcBorders>
        </w:tcPr>
        <w:p w14:paraId="016E9E5F" w14:textId="77777777" w:rsidR="00621B71" w:rsidRPr="00D50762" w:rsidRDefault="00621B71" w:rsidP="002836CC">
          <w:pPr>
            <w:tabs>
              <w:tab w:val="right" w:pos="10064"/>
            </w:tabs>
            <w:spacing w:before="0" w:after="0"/>
            <w:jc w:val="center"/>
            <w:rPr>
              <w:rFonts w:cs="Arial"/>
              <w:spacing w:val="-3"/>
            </w:rPr>
          </w:pPr>
        </w:p>
        <w:p w14:paraId="0BBE56BE" w14:textId="77777777" w:rsidR="00621B71" w:rsidRPr="00D50762" w:rsidRDefault="00621B71" w:rsidP="002836CC">
          <w:pPr>
            <w:tabs>
              <w:tab w:val="right" w:pos="10064"/>
            </w:tabs>
            <w:spacing w:before="0" w:after="0"/>
            <w:jc w:val="center"/>
            <w:rPr>
              <w:rFonts w:cs="Arial"/>
              <w:spacing w:val="-3"/>
            </w:rPr>
          </w:pPr>
        </w:p>
      </w:tc>
      <w:tc>
        <w:tcPr>
          <w:tcW w:w="4455" w:type="dxa"/>
          <w:tcBorders>
            <w:top w:val="single" w:sz="4" w:space="0" w:color="auto"/>
          </w:tcBorders>
        </w:tcPr>
        <w:p w14:paraId="20125B4B" w14:textId="77777777" w:rsidR="00621B71" w:rsidRPr="00D50762" w:rsidRDefault="00621B71" w:rsidP="002836CC">
          <w:pPr>
            <w:tabs>
              <w:tab w:val="right" w:pos="10064"/>
            </w:tabs>
            <w:spacing w:before="0" w:after="0"/>
            <w:jc w:val="right"/>
            <w:rPr>
              <w:rFonts w:cs="Arial"/>
              <w:spacing w:val="-3"/>
            </w:rPr>
          </w:pPr>
          <w:r w:rsidRPr="00D50762">
            <w:rPr>
              <w:rFonts w:cs="Arial"/>
              <w:noProof/>
              <w:spacing w:val="-3"/>
            </w:rPr>
            <w:drawing>
              <wp:inline distT="0" distB="0" distL="0" distR="0" wp14:anchorId="3F1BD795" wp14:editId="2A2A55A2">
                <wp:extent cx="381000" cy="381000"/>
                <wp:effectExtent l="19050" t="0" r="0" b="0"/>
                <wp:docPr id="7" name="Picture 7" descr="do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_logo"/>
                        <pic:cNvPicPr>
                          <a:picLocks noChangeAspect="1" noChangeArrowheads="1"/>
                        </pic:cNvPicPr>
                      </pic:nvPicPr>
                      <pic:blipFill>
                        <a:blip r:embed="rId3"/>
                        <a:srcRect/>
                        <a:stretch>
                          <a:fillRect/>
                        </a:stretch>
                      </pic:blipFill>
                      <pic:spPr bwMode="auto">
                        <a:xfrm>
                          <a:off x="0" y="0"/>
                          <a:ext cx="381000" cy="381000"/>
                        </a:xfrm>
                        <a:prstGeom prst="rect">
                          <a:avLst/>
                        </a:prstGeom>
                        <a:noFill/>
                        <a:ln w="9525">
                          <a:noFill/>
                          <a:miter lim="800000"/>
                          <a:headEnd/>
                          <a:tailEnd/>
                        </a:ln>
                      </pic:spPr>
                    </pic:pic>
                  </a:graphicData>
                </a:graphic>
              </wp:inline>
            </w:drawing>
          </w:r>
        </w:p>
      </w:tc>
    </w:tr>
  </w:tbl>
  <w:p w14:paraId="5951B3B7" w14:textId="4D0EBCF6" w:rsidR="00621B71" w:rsidRPr="002836CC" w:rsidRDefault="00621B71" w:rsidP="002836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E4F4A" w14:textId="77777777" w:rsidR="00176F1E" w:rsidRDefault="00176F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214D3" w14:textId="77777777" w:rsidR="00621B71" w:rsidRPr="00DA68D4" w:rsidRDefault="00621B71" w:rsidP="00604E89">
    <w:pPr>
      <w:pBdr>
        <w:top w:val="single" w:sz="4" w:space="1" w:color="auto"/>
      </w:pBd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BC27B" w14:textId="36EE0A4C" w:rsidR="00621B71" w:rsidRPr="00985F0C" w:rsidRDefault="00621B71" w:rsidP="0065392E">
    <w:pPr>
      <w:pBdr>
        <w:top w:val="single" w:sz="4" w:space="1" w:color="auto"/>
      </w:pBdr>
      <w:tabs>
        <w:tab w:val="center" w:pos="4680"/>
        <w:tab w:val="right" w:pos="9360"/>
      </w:tabs>
      <w:jc w:val="center"/>
      <w:rPr>
        <w:sz w:val="20"/>
      </w:rPr>
    </w:pPr>
    <w:r w:rsidRPr="00985F0C">
      <w:rPr>
        <w:sz w:val="20"/>
      </w:rPr>
      <w:fldChar w:fldCharType="begin"/>
    </w:r>
    <w:r w:rsidRPr="00985F0C">
      <w:rPr>
        <w:sz w:val="20"/>
      </w:rPr>
      <w:instrText xml:space="preserve"> PAGE </w:instrText>
    </w:r>
    <w:r w:rsidRPr="00985F0C">
      <w:rPr>
        <w:sz w:val="20"/>
      </w:rPr>
      <w:fldChar w:fldCharType="separate"/>
    </w:r>
    <w:r w:rsidR="00B31526">
      <w:rPr>
        <w:noProof/>
        <w:sz w:val="20"/>
      </w:rPr>
      <w:t>iv</w:t>
    </w:r>
    <w:r w:rsidRPr="00985F0C">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613E4" w14:textId="52E6E15D" w:rsidR="00621B71" w:rsidRPr="00985F0C" w:rsidRDefault="00621B71" w:rsidP="0065392E">
    <w:pPr>
      <w:pBdr>
        <w:top w:val="single" w:sz="4" w:space="1" w:color="auto"/>
      </w:pBdr>
      <w:jc w:val="center"/>
      <w:rPr>
        <w:rFonts w:cs="Arial"/>
        <w:sz w:val="20"/>
      </w:rPr>
    </w:pPr>
    <w:r w:rsidRPr="00985F0C">
      <w:rPr>
        <w:rFonts w:cs="Arial"/>
        <w:sz w:val="20"/>
      </w:rPr>
      <w:fldChar w:fldCharType="begin"/>
    </w:r>
    <w:r w:rsidRPr="00985F0C">
      <w:rPr>
        <w:rFonts w:cs="Arial"/>
        <w:sz w:val="20"/>
      </w:rPr>
      <w:instrText xml:space="preserve"> PAGE </w:instrText>
    </w:r>
    <w:r w:rsidRPr="00985F0C">
      <w:rPr>
        <w:rFonts w:cs="Arial"/>
        <w:sz w:val="20"/>
      </w:rPr>
      <w:fldChar w:fldCharType="separate"/>
    </w:r>
    <w:r w:rsidR="00B31526">
      <w:rPr>
        <w:rFonts w:cs="Arial"/>
        <w:noProof/>
        <w:sz w:val="20"/>
      </w:rPr>
      <w:t>17</w:t>
    </w:r>
    <w:r w:rsidRPr="00985F0C">
      <w:rPr>
        <w:rFonts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3668B" w14:textId="77777777" w:rsidR="00621B71" w:rsidRDefault="00621B71">
      <w:r>
        <w:separator/>
      </w:r>
    </w:p>
  </w:footnote>
  <w:footnote w:type="continuationSeparator" w:id="0">
    <w:p w14:paraId="0A113F2A" w14:textId="77777777" w:rsidR="00621B71" w:rsidRDefault="00621B71">
      <w:r>
        <w:continuationSeparator/>
      </w:r>
    </w:p>
    <w:p w14:paraId="52B0DFDC" w14:textId="77777777" w:rsidR="00621B71" w:rsidRDefault="00621B7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2407E" w14:textId="77777777" w:rsidR="00176F1E" w:rsidRDefault="00176F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1E0" w:firstRow="1" w:lastRow="1" w:firstColumn="1" w:lastColumn="1" w:noHBand="0" w:noVBand="0"/>
    </w:tblPr>
    <w:tblGrid>
      <w:gridCol w:w="4824"/>
      <w:gridCol w:w="4536"/>
    </w:tblGrid>
    <w:tr w:rsidR="00621B71" w:rsidRPr="00D877C5" w14:paraId="37DFFAAE" w14:textId="77777777" w:rsidTr="00621B71">
      <w:tc>
        <w:tcPr>
          <w:tcW w:w="2577" w:type="pct"/>
          <w:shd w:val="clear" w:color="auto" w:fill="auto"/>
        </w:tcPr>
        <w:p w14:paraId="6FD3F5A9" w14:textId="664E6383" w:rsidR="00621B71" w:rsidRPr="00D877C5" w:rsidRDefault="00621B71" w:rsidP="00621B71">
          <w:pPr>
            <w:pStyle w:val="Header"/>
            <w:spacing w:before="0" w:after="0"/>
            <w:rPr>
              <w:szCs w:val="24"/>
              <w:lang w:val="en-CA"/>
            </w:rPr>
          </w:pPr>
          <w:r w:rsidRPr="00FF6E78">
            <w:rPr>
              <w:noProof/>
              <w:sz w:val="24"/>
            </w:rPr>
            <w:drawing>
              <wp:inline distT="0" distB="0" distL="0" distR="0" wp14:anchorId="684C9365" wp14:editId="5CBF7EBA">
                <wp:extent cx="2493364" cy="460350"/>
                <wp:effectExtent l="0" t="0" r="2540" b="0"/>
                <wp:docPr id="3" name="Picture 3" descr="Fisheries and Oceans Cana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ndeauI\Desktop\Templates&amp;Forms\e_eso_bw.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721" cy="460416"/>
                        </a:xfrm>
                        <a:prstGeom prst="rect">
                          <a:avLst/>
                        </a:prstGeom>
                        <a:noFill/>
                        <a:ln>
                          <a:noFill/>
                        </a:ln>
                      </pic:spPr>
                    </pic:pic>
                  </a:graphicData>
                </a:graphic>
              </wp:inline>
            </w:drawing>
          </w:r>
        </w:p>
      </w:tc>
      <w:tc>
        <w:tcPr>
          <w:tcW w:w="2423" w:type="pct"/>
          <w:shd w:val="clear" w:color="auto" w:fill="auto"/>
        </w:tcPr>
        <w:p w14:paraId="31843487" w14:textId="3CE540F7" w:rsidR="00621B71" w:rsidRPr="00D877C5" w:rsidRDefault="00621B71" w:rsidP="00621B71">
          <w:pPr>
            <w:pStyle w:val="Header"/>
            <w:spacing w:before="0" w:after="0"/>
            <w:rPr>
              <w:szCs w:val="24"/>
              <w:lang w:val="en-CA"/>
            </w:rPr>
          </w:pPr>
          <w:r w:rsidRPr="00FF6E78">
            <w:rPr>
              <w:noProof/>
              <w:sz w:val="24"/>
            </w:rPr>
            <w:drawing>
              <wp:inline distT="0" distB="0" distL="0" distR="0" wp14:anchorId="41FA26DC" wp14:editId="4E59727D">
                <wp:extent cx="2724150" cy="266700"/>
                <wp:effectExtent l="19050" t="0" r="0" b="0"/>
                <wp:docPr id="5" name="Picture 5" descr="NOAA Fisheries - National Marine Fisheries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xedlogo"/>
                        <pic:cNvPicPr>
                          <a:picLocks noChangeAspect="1" noChangeArrowheads="1"/>
                        </pic:cNvPicPr>
                      </pic:nvPicPr>
                      <pic:blipFill>
                        <a:blip r:embed="rId2"/>
                        <a:srcRect/>
                        <a:stretch>
                          <a:fillRect/>
                        </a:stretch>
                      </pic:blipFill>
                      <pic:spPr bwMode="auto">
                        <a:xfrm>
                          <a:off x="0" y="0"/>
                          <a:ext cx="2724150" cy="266700"/>
                        </a:xfrm>
                        <a:prstGeom prst="rect">
                          <a:avLst/>
                        </a:prstGeom>
                        <a:noFill/>
                        <a:ln w="9525">
                          <a:noFill/>
                          <a:miter lim="800000"/>
                          <a:headEnd/>
                          <a:tailEnd/>
                        </a:ln>
                      </pic:spPr>
                    </pic:pic>
                  </a:graphicData>
                </a:graphic>
              </wp:inline>
            </w:drawing>
          </w:r>
        </w:p>
      </w:tc>
    </w:tr>
    <w:tr w:rsidR="00621B71" w:rsidRPr="00534ABE" w14:paraId="67ADA799" w14:textId="77777777" w:rsidTr="00621B71">
      <w:tc>
        <w:tcPr>
          <w:tcW w:w="2577" w:type="pct"/>
          <w:shd w:val="clear" w:color="auto" w:fill="auto"/>
        </w:tcPr>
        <w:p w14:paraId="179E3F27" w14:textId="77777777" w:rsidR="00621B71" w:rsidRPr="00FF6E78" w:rsidRDefault="00621B71" w:rsidP="00B31A0A">
          <w:pPr>
            <w:tabs>
              <w:tab w:val="center" w:pos="4320"/>
              <w:tab w:val="right" w:pos="8640"/>
            </w:tabs>
            <w:spacing w:before="0" w:after="0"/>
            <w:rPr>
              <w:rFonts w:cs="Arial"/>
              <w:b/>
              <w:sz w:val="20"/>
            </w:rPr>
          </w:pPr>
        </w:p>
        <w:p w14:paraId="2CE9759D" w14:textId="77777777" w:rsidR="00621B71" w:rsidRPr="00FF6E78" w:rsidRDefault="00621B71" w:rsidP="00B31A0A">
          <w:pPr>
            <w:tabs>
              <w:tab w:val="center" w:pos="4320"/>
              <w:tab w:val="right" w:pos="8640"/>
            </w:tabs>
            <w:spacing w:before="0" w:after="0"/>
            <w:rPr>
              <w:rFonts w:cs="Arial"/>
              <w:b/>
              <w:i/>
              <w:sz w:val="30"/>
              <w:szCs w:val="30"/>
              <w:lang w:val="fr-CA"/>
            </w:rPr>
          </w:pPr>
          <w:r w:rsidRPr="00FF6E78">
            <w:rPr>
              <w:rFonts w:cs="Arial"/>
              <w:b/>
              <w:i/>
              <w:sz w:val="30"/>
              <w:szCs w:val="30"/>
              <w:lang w:val="fr-CA"/>
            </w:rPr>
            <w:t>CERT</w:t>
          </w:r>
        </w:p>
        <w:p w14:paraId="1351D597" w14:textId="77777777" w:rsidR="00621B71" w:rsidRPr="00FF6E78" w:rsidRDefault="00621B71" w:rsidP="00B31A0A">
          <w:pPr>
            <w:tabs>
              <w:tab w:val="center" w:pos="4320"/>
              <w:tab w:val="right" w:pos="8640"/>
            </w:tabs>
            <w:spacing w:before="0" w:after="0"/>
            <w:rPr>
              <w:rFonts w:cs="Arial"/>
              <w:b/>
              <w:sz w:val="20"/>
              <w:lang w:val="fr-CA"/>
            </w:rPr>
          </w:pPr>
        </w:p>
        <w:p w14:paraId="457BB542" w14:textId="77777777" w:rsidR="00621B71" w:rsidRPr="00FF6E78" w:rsidRDefault="00621B71" w:rsidP="00B31A0A">
          <w:pPr>
            <w:tabs>
              <w:tab w:val="center" w:pos="4428"/>
              <w:tab w:val="right" w:pos="8640"/>
            </w:tabs>
            <w:spacing w:before="0" w:after="0"/>
            <w:rPr>
              <w:rFonts w:cs="Arial"/>
              <w:b/>
              <w:szCs w:val="22"/>
              <w:lang w:val="fr-CA"/>
            </w:rPr>
          </w:pPr>
          <w:r w:rsidRPr="00FF6E78">
            <w:rPr>
              <w:rFonts w:cs="Arial"/>
              <w:b/>
              <w:szCs w:val="22"/>
              <w:lang w:val="fr-CA"/>
            </w:rPr>
            <w:t>Comité d'évaluation des</w:t>
          </w:r>
        </w:p>
        <w:p w14:paraId="00A5BDB3" w14:textId="35E56FAE" w:rsidR="00621B71" w:rsidRPr="00B31A0A" w:rsidRDefault="00621B71" w:rsidP="00383410">
          <w:pPr>
            <w:pStyle w:val="Header"/>
            <w:spacing w:before="0" w:after="0"/>
            <w:rPr>
              <w:b/>
              <w:szCs w:val="24"/>
              <w:lang w:val="fr-CA"/>
            </w:rPr>
          </w:pPr>
          <w:r w:rsidRPr="00FF6E78">
            <w:rPr>
              <w:rFonts w:cs="Arial"/>
              <w:b/>
              <w:szCs w:val="22"/>
              <w:lang w:val="fr-CA"/>
            </w:rPr>
            <w:t>ressources transfrontalières</w:t>
          </w:r>
          <w:r w:rsidRPr="00FF6E78">
            <w:rPr>
              <w:rFonts w:cs="Arial"/>
              <w:b/>
              <w:lang w:val="fr-CA"/>
            </w:rPr>
            <w:t xml:space="preserve"> </w:t>
          </w:r>
        </w:p>
      </w:tc>
      <w:tc>
        <w:tcPr>
          <w:tcW w:w="2423" w:type="pct"/>
          <w:shd w:val="clear" w:color="auto" w:fill="auto"/>
        </w:tcPr>
        <w:p w14:paraId="4504DE0F" w14:textId="77777777" w:rsidR="00621B71" w:rsidRPr="00FF6E78" w:rsidRDefault="00621B71" w:rsidP="00B31A0A">
          <w:pPr>
            <w:tabs>
              <w:tab w:val="center" w:pos="4320"/>
              <w:tab w:val="right" w:pos="8640"/>
            </w:tabs>
            <w:spacing w:before="0" w:after="0"/>
            <w:rPr>
              <w:rFonts w:cs="Arial"/>
              <w:b/>
              <w:sz w:val="20"/>
              <w:lang w:val="fr-CA"/>
            </w:rPr>
          </w:pPr>
        </w:p>
        <w:p w14:paraId="66C7B4B9" w14:textId="77777777" w:rsidR="00621B71" w:rsidRPr="00FF6E78" w:rsidRDefault="00621B71" w:rsidP="00B31A0A">
          <w:pPr>
            <w:tabs>
              <w:tab w:val="center" w:pos="4320"/>
              <w:tab w:val="right" w:pos="8640"/>
            </w:tabs>
            <w:spacing w:before="0" w:after="0"/>
            <w:rPr>
              <w:rFonts w:cs="Arial"/>
              <w:b/>
              <w:i/>
              <w:sz w:val="30"/>
              <w:szCs w:val="30"/>
              <w:lang w:val="en-CA"/>
            </w:rPr>
          </w:pPr>
          <w:r w:rsidRPr="00FF6E78">
            <w:rPr>
              <w:rFonts w:cs="Arial"/>
              <w:b/>
              <w:i/>
              <w:sz w:val="30"/>
              <w:szCs w:val="30"/>
              <w:lang w:val="en-CA"/>
            </w:rPr>
            <w:t>TRAC</w:t>
          </w:r>
        </w:p>
        <w:p w14:paraId="166CFDCB" w14:textId="77777777" w:rsidR="00621B71" w:rsidRPr="00FF6E78" w:rsidRDefault="00621B71" w:rsidP="00B31A0A">
          <w:pPr>
            <w:tabs>
              <w:tab w:val="center" w:pos="4320"/>
              <w:tab w:val="right" w:pos="8640"/>
            </w:tabs>
            <w:spacing w:before="0" w:after="0"/>
            <w:rPr>
              <w:rFonts w:cs="Arial"/>
              <w:b/>
              <w:sz w:val="20"/>
              <w:lang w:val="en-CA"/>
            </w:rPr>
          </w:pPr>
        </w:p>
        <w:p w14:paraId="6E510D64" w14:textId="77777777" w:rsidR="00621B71" w:rsidRPr="00FF6E78" w:rsidRDefault="00621B71" w:rsidP="00B31A0A">
          <w:pPr>
            <w:tabs>
              <w:tab w:val="center" w:pos="4320"/>
              <w:tab w:val="right" w:pos="8640"/>
            </w:tabs>
            <w:spacing w:before="0" w:after="0"/>
            <w:rPr>
              <w:rFonts w:cs="Arial"/>
              <w:b/>
              <w:lang w:val="en-CA"/>
            </w:rPr>
          </w:pPr>
          <w:r w:rsidRPr="00FF6E78">
            <w:rPr>
              <w:rFonts w:cs="Arial"/>
              <w:b/>
              <w:lang w:val="en-CA"/>
            </w:rPr>
            <w:t>Transboundary Resources</w:t>
          </w:r>
        </w:p>
        <w:p w14:paraId="37A59E10" w14:textId="367B9B75" w:rsidR="00621B71" w:rsidRPr="00B31A0A" w:rsidRDefault="00621B71" w:rsidP="00383410">
          <w:pPr>
            <w:pStyle w:val="Header"/>
            <w:spacing w:before="0" w:after="0"/>
            <w:rPr>
              <w:b/>
              <w:szCs w:val="22"/>
            </w:rPr>
          </w:pPr>
          <w:r w:rsidRPr="00FF6E78">
            <w:rPr>
              <w:rFonts w:cs="Arial"/>
              <w:b/>
              <w:lang w:val="en-CA"/>
            </w:rPr>
            <w:t>Assessment Committee</w:t>
          </w:r>
        </w:p>
      </w:tc>
    </w:tr>
  </w:tbl>
  <w:p w14:paraId="5BFDCAD0" w14:textId="2025005D" w:rsidR="00621B71" w:rsidRDefault="00621B71" w:rsidP="00621B71">
    <w:pPr>
      <w:pStyle w:val="CoverPageHeaderseries"/>
      <w:spacing w:before="0" w:after="0"/>
    </w:pPr>
  </w:p>
  <w:tbl>
    <w:tblPr>
      <w:tblW w:w="9360" w:type="dxa"/>
      <w:tblLayout w:type="fixed"/>
      <w:tblCellMar>
        <w:left w:w="0" w:type="dxa"/>
        <w:right w:w="0" w:type="dxa"/>
      </w:tblCellMar>
      <w:tblLook w:val="0000" w:firstRow="0" w:lastRow="0" w:firstColumn="0" w:lastColumn="0" w:noHBand="0" w:noVBand="0"/>
    </w:tblPr>
    <w:tblGrid>
      <w:gridCol w:w="4770"/>
      <w:gridCol w:w="4590"/>
    </w:tblGrid>
    <w:tr w:rsidR="00621B71" w:rsidRPr="00FF6E78" w14:paraId="58568A67" w14:textId="77777777" w:rsidTr="00621B71">
      <w:tc>
        <w:tcPr>
          <w:tcW w:w="4770" w:type="dxa"/>
        </w:tcPr>
        <w:p w14:paraId="43301455" w14:textId="02EDD490" w:rsidR="00621B71" w:rsidRPr="00FF6E78" w:rsidRDefault="00621B71" w:rsidP="005256A0">
          <w:pPr>
            <w:spacing w:before="0" w:after="0"/>
            <w:rPr>
              <w:rFonts w:cs="Arial"/>
              <w:b/>
              <w:sz w:val="20"/>
            </w:rPr>
          </w:pPr>
          <w:proofErr w:type="spellStart"/>
          <w:r>
            <w:rPr>
              <w:rFonts w:cs="Arial"/>
              <w:b/>
              <w:sz w:val="20"/>
            </w:rPr>
            <w:t>Compte</w:t>
          </w:r>
          <w:proofErr w:type="spellEnd"/>
          <w:r>
            <w:rPr>
              <w:rFonts w:cs="Arial"/>
              <w:b/>
              <w:sz w:val="20"/>
            </w:rPr>
            <w:t xml:space="preserve"> </w:t>
          </w:r>
          <w:proofErr w:type="spellStart"/>
          <w:r>
            <w:rPr>
              <w:rFonts w:cs="Arial"/>
              <w:b/>
              <w:sz w:val="20"/>
            </w:rPr>
            <w:t>rendu</w:t>
          </w:r>
          <w:proofErr w:type="spellEnd"/>
          <w:r>
            <w:rPr>
              <w:rFonts w:cs="Arial"/>
              <w:b/>
              <w:sz w:val="20"/>
            </w:rPr>
            <w:t xml:space="preserve"> 2019/001</w:t>
          </w:r>
        </w:p>
      </w:tc>
      <w:tc>
        <w:tcPr>
          <w:tcW w:w="4590" w:type="dxa"/>
        </w:tcPr>
        <w:p w14:paraId="6AEB1A22" w14:textId="6CD08AED" w:rsidR="00621B71" w:rsidRPr="00FF6E78" w:rsidRDefault="00621B71" w:rsidP="00B31A0A">
          <w:pPr>
            <w:spacing w:before="0" w:after="0"/>
            <w:rPr>
              <w:rFonts w:cs="Arial"/>
              <w:b/>
              <w:sz w:val="20"/>
            </w:rPr>
          </w:pPr>
          <w:r>
            <w:rPr>
              <w:rFonts w:cs="Arial"/>
              <w:b/>
              <w:sz w:val="20"/>
            </w:rPr>
            <w:t>Proceedings Series 2019/001</w:t>
          </w:r>
        </w:p>
      </w:tc>
    </w:tr>
  </w:tbl>
  <w:p w14:paraId="7E37A926" w14:textId="290C60A6" w:rsidR="00621B71" w:rsidRDefault="00621B71" w:rsidP="00383410">
    <w:pPr>
      <w:pStyle w:val="CoverPageHeaderseries"/>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886AC" w14:textId="77777777" w:rsidR="00176F1E" w:rsidRDefault="00176F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3FA89" w14:textId="77777777" w:rsidR="00621B71" w:rsidRPr="00DA68D4" w:rsidRDefault="00621B71" w:rsidP="00DA68D4">
    <w:pPr>
      <w:pBdr>
        <w:bottom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64D19" w14:textId="1B706F41" w:rsidR="00621B71" w:rsidRPr="0012287E" w:rsidRDefault="00621B71" w:rsidP="00176F1E">
    <w:pPr>
      <w:pBdr>
        <w:bottom w:val="single" w:sz="4" w:space="1" w:color="auto"/>
      </w:pBdr>
      <w:tabs>
        <w:tab w:val="center" w:pos="4680"/>
        <w:tab w:val="right" w:pos="9360"/>
      </w:tabs>
      <w:jc w:val="right"/>
      <w:rPr>
        <w:b/>
        <w:szCs w:val="22"/>
      </w:rPr>
    </w:pPr>
    <w:r w:rsidRPr="0012287E">
      <w:rPr>
        <w:b/>
        <w:szCs w:val="22"/>
      </w:rPr>
      <w:t>TRAC Proceedings 2019/001</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9BBAE" w14:textId="77777777" w:rsidR="00621B71" w:rsidRDefault="00621B7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F96500A"/>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4588066C"/>
    <w:lvl w:ilvl="0">
      <w:start w:val="1"/>
      <w:numFmt w:val="bullet"/>
      <w:pStyle w:val="ListBullet2"/>
      <w:lvlText w:val="o"/>
      <w:lvlJc w:val="left"/>
      <w:pPr>
        <w:ind w:left="643" w:hanging="360"/>
      </w:pPr>
      <w:rPr>
        <w:rFonts w:ascii="Courier New" w:hAnsi="Courier New" w:cs="Courier New" w:hint="default"/>
      </w:rPr>
    </w:lvl>
  </w:abstractNum>
  <w:abstractNum w:abstractNumId="2" w15:restartNumberingAfterBreak="0">
    <w:nsid w:val="FFFFFF88"/>
    <w:multiLevelType w:val="singleLevel"/>
    <w:tmpl w:val="794E3E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B9187C8C"/>
    <w:lvl w:ilvl="0">
      <w:start w:val="1"/>
      <w:numFmt w:val="bullet"/>
      <w:pStyle w:val="ListBullet"/>
      <w:lvlText w:val=""/>
      <w:lvlJc w:val="left"/>
      <w:pPr>
        <w:tabs>
          <w:tab w:val="num" w:pos="360"/>
        </w:tabs>
        <w:ind w:left="360" w:hanging="360"/>
      </w:pPr>
      <w:rPr>
        <w:rFonts w:ascii="Symbol" w:hAnsi="Symbol" w:hint="default"/>
        <w:lang w:val="en-CA"/>
      </w:rPr>
    </w:lvl>
  </w:abstractNum>
  <w:abstractNum w:abstractNumId="4" w15:restartNumberingAfterBreak="0">
    <w:nsid w:val="03155A78"/>
    <w:multiLevelType w:val="hybridMultilevel"/>
    <w:tmpl w:val="BEE627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8E41AA2"/>
    <w:multiLevelType w:val="hybridMultilevel"/>
    <w:tmpl w:val="D1D2175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5A56ABF"/>
    <w:multiLevelType w:val="hybridMultilevel"/>
    <w:tmpl w:val="CCA2FD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6F25BC7"/>
    <w:multiLevelType w:val="hybridMultilevel"/>
    <w:tmpl w:val="74B6F622"/>
    <w:lvl w:ilvl="0" w:tplc="10090001">
      <w:start w:val="1"/>
      <w:numFmt w:val="bullet"/>
      <w:lvlText w:val=""/>
      <w:lvlJc w:val="left"/>
      <w:pPr>
        <w:ind w:left="360" w:hanging="360"/>
      </w:pPr>
      <w:rPr>
        <w:rFonts w:ascii="Symbol" w:hAnsi="Symbol" w:hint="default"/>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3EC6785A"/>
    <w:multiLevelType w:val="hybridMultilevel"/>
    <w:tmpl w:val="BE9C06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47555FD"/>
    <w:multiLevelType w:val="hybridMultilevel"/>
    <w:tmpl w:val="240C3AD4"/>
    <w:lvl w:ilvl="0" w:tplc="556C915E">
      <w:numFmt w:val="bullet"/>
      <w:lvlText w:val=""/>
      <w:lvlJc w:val="left"/>
      <w:pPr>
        <w:ind w:left="480" w:hanging="360"/>
      </w:pPr>
      <w:rPr>
        <w:rFonts w:ascii="Symbol" w:eastAsia="Symbol" w:hAnsi="Symbol" w:cs="Symbol" w:hint="default"/>
        <w:w w:val="100"/>
        <w:sz w:val="22"/>
        <w:szCs w:val="22"/>
        <w:lang w:val="en-CA" w:eastAsia="en-CA" w:bidi="en-CA"/>
      </w:rPr>
    </w:lvl>
    <w:lvl w:ilvl="1" w:tplc="432677C8">
      <w:numFmt w:val="bullet"/>
      <w:lvlText w:val="•"/>
      <w:lvlJc w:val="left"/>
      <w:pPr>
        <w:ind w:left="1392" w:hanging="360"/>
      </w:pPr>
      <w:rPr>
        <w:rFonts w:hint="default"/>
        <w:lang w:val="en-CA" w:eastAsia="en-CA" w:bidi="en-CA"/>
      </w:rPr>
    </w:lvl>
    <w:lvl w:ilvl="2" w:tplc="B7E6A418">
      <w:numFmt w:val="bullet"/>
      <w:lvlText w:val="•"/>
      <w:lvlJc w:val="left"/>
      <w:pPr>
        <w:ind w:left="2304" w:hanging="360"/>
      </w:pPr>
      <w:rPr>
        <w:rFonts w:hint="default"/>
        <w:lang w:val="en-CA" w:eastAsia="en-CA" w:bidi="en-CA"/>
      </w:rPr>
    </w:lvl>
    <w:lvl w:ilvl="3" w:tplc="B3D2F3E2">
      <w:numFmt w:val="bullet"/>
      <w:lvlText w:val="•"/>
      <w:lvlJc w:val="left"/>
      <w:pPr>
        <w:ind w:left="3216" w:hanging="360"/>
      </w:pPr>
      <w:rPr>
        <w:rFonts w:hint="default"/>
        <w:lang w:val="en-CA" w:eastAsia="en-CA" w:bidi="en-CA"/>
      </w:rPr>
    </w:lvl>
    <w:lvl w:ilvl="4" w:tplc="CB66A5E6">
      <w:numFmt w:val="bullet"/>
      <w:lvlText w:val="•"/>
      <w:lvlJc w:val="left"/>
      <w:pPr>
        <w:ind w:left="4128" w:hanging="360"/>
      </w:pPr>
      <w:rPr>
        <w:rFonts w:hint="default"/>
        <w:lang w:val="en-CA" w:eastAsia="en-CA" w:bidi="en-CA"/>
      </w:rPr>
    </w:lvl>
    <w:lvl w:ilvl="5" w:tplc="08FACCDE">
      <w:numFmt w:val="bullet"/>
      <w:lvlText w:val="•"/>
      <w:lvlJc w:val="left"/>
      <w:pPr>
        <w:ind w:left="5040" w:hanging="360"/>
      </w:pPr>
      <w:rPr>
        <w:rFonts w:hint="default"/>
        <w:lang w:val="en-CA" w:eastAsia="en-CA" w:bidi="en-CA"/>
      </w:rPr>
    </w:lvl>
    <w:lvl w:ilvl="6" w:tplc="DC7CFF62">
      <w:numFmt w:val="bullet"/>
      <w:lvlText w:val="•"/>
      <w:lvlJc w:val="left"/>
      <w:pPr>
        <w:ind w:left="5952" w:hanging="360"/>
      </w:pPr>
      <w:rPr>
        <w:rFonts w:hint="default"/>
        <w:lang w:val="en-CA" w:eastAsia="en-CA" w:bidi="en-CA"/>
      </w:rPr>
    </w:lvl>
    <w:lvl w:ilvl="7" w:tplc="DF487EFA">
      <w:numFmt w:val="bullet"/>
      <w:lvlText w:val="•"/>
      <w:lvlJc w:val="left"/>
      <w:pPr>
        <w:ind w:left="6864" w:hanging="360"/>
      </w:pPr>
      <w:rPr>
        <w:rFonts w:hint="default"/>
        <w:lang w:val="en-CA" w:eastAsia="en-CA" w:bidi="en-CA"/>
      </w:rPr>
    </w:lvl>
    <w:lvl w:ilvl="8" w:tplc="DA7AF720">
      <w:numFmt w:val="bullet"/>
      <w:lvlText w:val="•"/>
      <w:lvlJc w:val="left"/>
      <w:pPr>
        <w:ind w:left="7776" w:hanging="360"/>
      </w:pPr>
      <w:rPr>
        <w:rFonts w:hint="default"/>
        <w:lang w:val="en-CA" w:eastAsia="en-CA" w:bidi="en-CA"/>
      </w:rPr>
    </w:lvl>
  </w:abstractNum>
  <w:abstractNum w:abstractNumId="10" w15:restartNumberingAfterBreak="0">
    <w:nsid w:val="5D2519C9"/>
    <w:multiLevelType w:val="hybridMultilevel"/>
    <w:tmpl w:val="F4FC1EC0"/>
    <w:lvl w:ilvl="0" w:tplc="10090001">
      <w:start w:val="1"/>
      <w:numFmt w:val="bullet"/>
      <w:lvlText w:val=""/>
      <w:lvlJc w:val="left"/>
      <w:pPr>
        <w:ind w:left="360" w:hanging="360"/>
      </w:pPr>
      <w:rPr>
        <w:rFonts w:ascii="Symbol" w:hAnsi="Symbol" w:hint="default"/>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62547FBD"/>
    <w:multiLevelType w:val="hybridMultilevel"/>
    <w:tmpl w:val="9B9C4D02"/>
    <w:lvl w:ilvl="0" w:tplc="10090001">
      <w:start w:val="1"/>
      <w:numFmt w:val="bullet"/>
      <w:lvlText w:val=""/>
      <w:lvlJc w:val="left"/>
      <w:pPr>
        <w:ind w:left="360" w:hanging="360"/>
      </w:pPr>
      <w:rPr>
        <w:rFonts w:ascii="Symbol" w:hAnsi="Symbol" w:hint="default"/>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6AF75F25"/>
    <w:multiLevelType w:val="hybridMultilevel"/>
    <w:tmpl w:val="A524C0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1F230F2"/>
    <w:multiLevelType w:val="hybridMultilevel"/>
    <w:tmpl w:val="E03C22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6"/>
  </w:num>
  <w:num w:numId="6">
    <w:abstractNumId w:val="5"/>
  </w:num>
  <w:num w:numId="7">
    <w:abstractNumId w:val="12"/>
  </w:num>
  <w:num w:numId="8">
    <w:abstractNumId w:val="8"/>
  </w:num>
  <w:num w:numId="9">
    <w:abstractNumId w:val="13"/>
  </w:num>
  <w:num w:numId="10">
    <w:abstractNumId w:val="4"/>
  </w:num>
  <w:num w:numId="11">
    <w:abstractNumId w:val="11"/>
  </w:num>
  <w:num w:numId="12">
    <w:abstractNumId w:val="7"/>
  </w:num>
  <w:num w:numId="13">
    <w:abstractNumId w:val="10"/>
  </w:num>
  <w:num w:numId="14">
    <w:abstractNumId w:val="9"/>
  </w:num>
  <w:num w:numId="15">
    <w:abstractNumId w:val="3"/>
  </w:num>
  <w:num w:numId="16">
    <w:abstractNumId w:val="3"/>
  </w:num>
  <w:num w:numId="17">
    <w:abstractNumId w:val="3"/>
  </w:num>
  <w:num w:numId="18">
    <w:abstractNumId w:val="3"/>
  </w:num>
  <w:num w:numId="19">
    <w:abstractNumId w:val="1"/>
  </w:num>
  <w:num w:numId="20">
    <w:abstractNumId w:val="2"/>
  </w:num>
  <w:num w:numId="2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132"/>
    <w:rsid w:val="000001F7"/>
    <w:rsid w:val="000012E9"/>
    <w:rsid w:val="00001E5C"/>
    <w:rsid w:val="00002C3B"/>
    <w:rsid w:val="00004F56"/>
    <w:rsid w:val="0000703B"/>
    <w:rsid w:val="0000754F"/>
    <w:rsid w:val="00010F6E"/>
    <w:rsid w:val="00014120"/>
    <w:rsid w:val="000161D7"/>
    <w:rsid w:val="00022FF3"/>
    <w:rsid w:val="00026043"/>
    <w:rsid w:val="00030735"/>
    <w:rsid w:val="00032884"/>
    <w:rsid w:val="000357C3"/>
    <w:rsid w:val="000358FD"/>
    <w:rsid w:val="00035C00"/>
    <w:rsid w:val="0003643F"/>
    <w:rsid w:val="00043BEC"/>
    <w:rsid w:val="00046D18"/>
    <w:rsid w:val="000601B8"/>
    <w:rsid w:val="00063488"/>
    <w:rsid w:val="000665EB"/>
    <w:rsid w:val="0006702F"/>
    <w:rsid w:val="00067AF0"/>
    <w:rsid w:val="00067E74"/>
    <w:rsid w:val="00072A36"/>
    <w:rsid w:val="000735F7"/>
    <w:rsid w:val="00073E36"/>
    <w:rsid w:val="00075780"/>
    <w:rsid w:val="00077E90"/>
    <w:rsid w:val="000813C7"/>
    <w:rsid w:val="00081E1F"/>
    <w:rsid w:val="00084EAB"/>
    <w:rsid w:val="000865DF"/>
    <w:rsid w:val="000905E3"/>
    <w:rsid w:val="00091360"/>
    <w:rsid w:val="00091CAA"/>
    <w:rsid w:val="00092B34"/>
    <w:rsid w:val="000940CC"/>
    <w:rsid w:val="000A59F7"/>
    <w:rsid w:val="000A6AEB"/>
    <w:rsid w:val="000B0C39"/>
    <w:rsid w:val="000B1447"/>
    <w:rsid w:val="000B1AEC"/>
    <w:rsid w:val="000B406D"/>
    <w:rsid w:val="000B42FF"/>
    <w:rsid w:val="000B450B"/>
    <w:rsid w:val="000B4A76"/>
    <w:rsid w:val="000B73FB"/>
    <w:rsid w:val="000C2C33"/>
    <w:rsid w:val="000C5F34"/>
    <w:rsid w:val="000D00B0"/>
    <w:rsid w:val="000D0AA3"/>
    <w:rsid w:val="000D2E20"/>
    <w:rsid w:val="000D3D75"/>
    <w:rsid w:val="000D575B"/>
    <w:rsid w:val="000D5A81"/>
    <w:rsid w:val="000E55E0"/>
    <w:rsid w:val="000E56C9"/>
    <w:rsid w:val="000E6551"/>
    <w:rsid w:val="000E7A9F"/>
    <w:rsid w:val="000F061E"/>
    <w:rsid w:val="000F1224"/>
    <w:rsid w:val="000F139B"/>
    <w:rsid w:val="000F2E12"/>
    <w:rsid w:val="00100E99"/>
    <w:rsid w:val="00101CBC"/>
    <w:rsid w:val="001020A2"/>
    <w:rsid w:val="00106F04"/>
    <w:rsid w:val="001115AC"/>
    <w:rsid w:val="00113C20"/>
    <w:rsid w:val="00114FDF"/>
    <w:rsid w:val="0012025E"/>
    <w:rsid w:val="00120C4A"/>
    <w:rsid w:val="00121A74"/>
    <w:rsid w:val="0012287E"/>
    <w:rsid w:val="00123698"/>
    <w:rsid w:val="001238B1"/>
    <w:rsid w:val="00124167"/>
    <w:rsid w:val="00124546"/>
    <w:rsid w:val="0012481A"/>
    <w:rsid w:val="00125304"/>
    <w:rsid w:val="00126310"/>
    <w:rsid w:val="0012732A"/>
    <w:rsid w:val="0014186E"/>
    <w:rsid w:val="001424ED"/>
    <w:rsid w:val="0015426F"/>
    <w:rsid w:val="001636B2"/>
    <w:rsid w:val="0016460E"/>
    <w:rsid w:val="00164B35"/>
    <w:rsid w:val="00164BA8"/>
    <w:rsid w:val="001652F0"/>
    <w:rsid w:val="001673FA"/>
    <w:rsid w:val="00170101"/>
    <w:rsid w:val="00170827"/>
    <w:rsid w:val="00171307"/>
    <w:rsid w:val="00176F1E"/>
    <w:rsid w:val="001775F2"/>
    <w:rsid w:val="001806A3"/>
    <w:rsid w:val="001822DA"/>
    <w:rsid w:val="001843E5"/>
    <w:rsid w:val="001877CB"/>
    <w:rsid w:val="00191661"/>
    <w:rsid w:val="001968AB"/>
    <w:rsid w:val="00196931"/>
    <w:rsid w:val="001A0B72"/>
    <w:rsid w:val="001A3735"/>
    <w:rsid w:val="001A7A99"/>
    <w:rsid w:val="001B22B9"/>
    <w:rsid w:val="001B283F"/>
    <w:rsid w:val="001B52CE"/>
    <w:rsid w:val="001B6B2E"/>
    <w:rsid w:val="001C14C9"/>
    <w:rsid w:val="001C3BA9"/>
    <w:rsid w:val="001C4731"/>
    <w:rsid w:val="001C645E"/>
    <w:rsid w:val="001D17E9"/>
    <w:rsid w:val="001D1948"/>
    <w:rsid w:val="001D2142"/>
    <w:rsid w:val="001D5809"/>
    <w:rsid w:val="001D7229"/>
    <w:rsid w:val="001E02EF"/>
    <w:rsid w:val="001E2C65"/>
    <w:rsid w:val="001E4ED0"/>
    <w:rsid w:val="001E4F92"/>
    <w:rsid w:val="001E593D"/>
    <w:rsid w:val="001F433E"/>
    <w:rsid w:val="0020159D"/>
    <w:rsid w:val="00205FAF"/>
    <w:rsid w:val="00205FF9"/>
    <w:rsid w:val="00207BF4"/>
    <w:rsid w:val="00210A96"/>
    <w:rsid w:val="00210CCE"/>
    <w:rsid w:val="0021188B"/>
    <w:rsid w:val="00213282"/>
    <w:rsid w:val="00214C3B"/>
    <w:rsid w:val="00215C7D"/>
    <w:rsid w:val="00215D68"/>
    <w:rsid w:val="00216C51"/>
    <w:rsid w:val="00220501"/>
    <w:rsid w:val="0022350A"/>
    <w:rsid w:val="00226E5D"/>
    <w:rsid w:val="00227691"/>
    <w:rsid w:val="00230C50"/>
    <w:rsid w:val="002339D5"/>
    <w:rsid w:val="00234B48"/>
    <w:rsid w:val="00234E86"/>
    <w:rsid w:val="002368DB"/>
    <w:rsid w:val="00241473"/>
    <w:rsid w:val="002434C4"/>
    <w:rsid w:val="00243725"/>
    <w:rsid w:val="0024388B"/>
    <w:rsid w:val="00245F6D"/>
    <w:rsid w:val="00246104"/>
    <w:rsid w:val="002469BE"/>
    <w:rsid w:val="00251C41"/>
    <w:rsid w:val="0025755C"/>
    <w:rsid w:val="00260758"/>
    <w:rsid w:val="0026298D"/>
    <w:rsid w:val="002663C9"/>
    <w:rsid w:val="0027092C"/>
    <w:rsid w:val="002735B7"/>
    <w:rsid w:val="00275310"/>
    <w:rsid w:val="002805E2"/>
    <w:rsid w:val="00281BE0"/>
    <w:rsid w:val="002836CC"/>
    <w:rsid w:val="0028393F"/>
    <w:rsid w:val="00284227"/>
    <w:rsid w:val="00285CAB"/>
    <w:rsid w:val="00286232"/>
    <w:rsid w:val="00291412"/>
    <w:rsid w:val="0029393D"/>
    <w:rsid w:val="00296AA7"/>
    <w:rsid w:val="002976D4"/>
    <w:rsid w:val="002A0C1C"/>
    <w:rsid w:val="002A5761"/>
    <w:rsid w:val="002A6C58"/>
    <w:rsid w:val="002A74B2"/>
    <w:rsid w:val="002B4E49"/>
    <w:rsid w:val="002B6AFF"/>
    <w:rsid w:val="002B6E20"/>
    <w:rsid w:val="002C004D"/>
    <w:rsid w:val="002C0262"/>
    <w:rsid w:val="002C0FE0"/>
    <w:rsid w:val="002C50AB"/>
    <w:rsid w:val="002C5157"/>
    <w:rsid w:val="002E23A6"/>
    <w:rsid w:val="002E2DE7"/>
    <w:rsid w:val="002E3283"/>
    <w:rsid w:val="002E4E4C"/>
    <w:rsid w:val="002E5828"/>
    <w:rsid w:val="002E650C"/>
    <w:rsid w:val="002F3D3B"/>
    <w:rsid w:val="002F44F6"/>
    <w:rsid w:val="002F45EB"/>
    <w:rsid w:val="00303F54"/>
    <w:rsid w:val="00307C12"/>
    <w:rsid w:val="00307F39"/>
    <w:rsid w:val="003143F0"/>
    <w:rsid w:val="00315120"/>
    <w:rsid w:val="00316727"/>
    <w:rsid w:val="00317F53"/>
    <w:rsid w:val="00320993"/>
    <w:rsid w:val="00321678"/>
    <w:rsid w:val="00322F65"/>
    <w:rsid w:val="003234BE"/>
    <w:rsid w:val="003238E3"/>
    <w:rsid w:val="003361A2"/>
    <w:rsid w:val="00336DED"/>
    <w:rsid w:val="003374D0"/>
    <w:rsid w:val="003409E9"/>
    <w:rsid w:val="0034350C"/>
    <w:rsid w:val="003461C2"/>
    <w:rsid w:val="0034759D"/>
    <w:rsid w:val="003477D6"/>
    <w:rsid w:val="00354146"/>
    <w:rsid w:val="00354626"/>
    <w:rsid w:val="00354A60"/>
    <w:rsid w:val="00356E51"/>
    <w:rsid w:val="00361A59"/>
    <w:rsid w:val="0036371F"/>
    <w:rsid w:val="0036643F"/>
    <w:rsid w:val="0037022A"/>
    <w:rsid w:val="0037394B"/>
    <w:rsid w:val="0037454F"/>
    <w:rsid w:val="0037461B"/>
    <w:rsid w:val="00375D25"/>
    <w:rsid w:val="00380BAF"/>
    <w:rsid w:val="00383410"/>
    <w:rsid w:val="00383C8D"/>
    <w:rsid w:val="00390B07"/>
    <w:rsid w:val="00393BAE"/>
    <w:rsid w:val="0039513E"/>
    <w:rsid w:val="0039556C"/>
    <w:rsid w:val="003A194B"/>
    <w:rsid w:val="003A438D"/>
    <w:rsid w:val="003B13CC"/>
    <w:rsid w:val="003B30AB"/>
    <w:rsid w:val="003B5A86"/>
    <w:rsid w:val="003B6E04"/>
    <w:rsid w:val="003B74EE"/>
    <w:rsid w:val="003C05CE"/>
    <w:rsid w:val="003C26DB"/>
    <w:rsid w:val="003D6738"/>
    <w:rsid w:val="003E0F97"/>
    <w:rsid w:val="003E13E7"/>
    <w:rsid w:val="003E14E7"/>
    <w:rsid w:val="003E3676"/>
    <w:rsid w:val="003E3F0C"/>
    <w:rsid w:val="003E7B27"/>
    <w:rsid w:val="003E7E9D"/>
    <w:rsid w:val="003F17C9"/>
    <w:rsid w:val="003F2BD6"/>
    <w:rsid w:val="003F7F62"/>
    <w:rsid w:val="0040338D"/>
    <w:rsid w:val="00403E9F"/>
    <w:rsid w:val="004046DA"/>
    <w:rsid w:val="00406C67"/>
    <w:rsid w:val="00414AC5"/>
    <w:rsid w:val="00422FE6"/>
    <w:rsid w:val="00430526"/>
    <w:rsid w:val="00434F4F"/>
    <w:rsid w:val="00435A96"/>
    <w:rsid w:val="00436CCA"/>
    <w:rsid w:val="00436F6A"/>
    <w:rsid w:val="00443E72"/>
    <w:rsid w:val="00443F21"/>
    <w:rsid w:val="00445466"/>
    <w:rsid w:val="00446E67"/>
    <w:rsid w:val="00471E9F"/>
    <w:rsid w:val="00475800"/>
    <w:rsid w:val="004768A7"/>
    <w:rsid w:val="00476D49"/>
    <w:rsid w:val="0047732C"/>
    <w:rsid w:val="004813AB"/>
    <w:rsid w:val="004841B4"/>
    <w:rsid w:val="0048580C"/>
    <w:rsid w:val="0048637A"/>
    <w:rsid w:val="004917D2"/>
    <w:rsid w:val="004A7C67"/>
    <w:rsid w:val="004B03B0"/>
    <w:rsid w:val="004B06AB"/>
    <w:rsid w:val="004C533C"/>
    <w:rsid w:val="004C6E09"/>
    <w:rsid w:val="004C6E40"/>
    <w:rsid w:val="004D08FB"/>
    <w:rsid w:val="004D2DF2"/>
    <w:rsid w:val="004D4A96"/>
    <w:rsid w:val="004D5AB0"/>
    <w:rsid w:val="004D637F"/>
    <w:rsid w:val="004E40A8"/>
    <w:rsid w:val="004E78CA"/>
    <w:rsid w:val="004F1A51"/>
    <w:rsid w:val="004F45E1"/>
    <w:rsid w:val="004F4893"/>
    <w:rsid w:val="004F4E44"/>
    <w:rsid w:val="00512115"/>
    <w:rsid w:val="005121C5"/>
    <w:rsid w:val="00512CD7"/>
    <w:rsid w:val="00513083"/>
    <w:rsid w:val="00513DE4"/>
    <w:rsid w:val="00517369"/>
    <w:rsid w:val="0052133E"/>
    <w:rsid w:val="00521B35"/>
    <w:rsid w:val="00521F63"/>
    <w:rsid w:val="005223A3"/>
    <w:rsid w:val="005226A4"/>
    <w:rsid w:val="005256A0"/>
    <w:rsid w:val="005264D4"/>
    <w:rsid w:val="005266B9"/>
    <w:rsid w:val="005275A7"/>
    <w:rsid w:val="0053211E"/>
    <w:rsid w:val="00534ABE"/>
    <w:rsid w:val="00536CA8"/>
    <w:rsid w:val="00536D1F"/>
    <w:rsid w:val="00537480"/>
    <w:rsid w:val="00540DC8"/>
    <w:rsid w:val="00541296"/>
    <w:rsid w:val="005433A1"/>
    <w:rsid w:val="0054398B"/>
    <w:rsid w:val="00543DDF"/>
    <w:rsid w:val="00544C8A"/>
    <w:rsid w:val="00545346"/>
    <w:rsid w:val="00546B59"/>
    <w:rsid w:val="005473AB"/>
    <w:rsid w:val="00552A37"/>
    <w:rsid w:val="00553C3A"/>
    <w:rsid w:val="00554688"/>
    <w:rsid w:val="00557E0F"/>
    <w:rsid w:val="0056049E"/>
    <w:rsid w:val="00564E34"/>
    <w:rsid w:val="00566B21"/>
    <w:rsid w:val="0056736A"/>
    <w:rsid w:val="00570612"/>
    <w:rsid w:val="00570795"/>
    <w:rsid w:val="00572F21"/>
    <w:rsid w:val="0057426A"/>
    <w:rsid w:val="005755CF"/>
    <w:rsid w:val="005758A3"/>
    <w:rsid w:val="0057728A"/>
    <w:rsid w:val="00580A75"/>
    <w:rsid w:val="005810DF"/>
    <w:rsid w:val="0058267A"/>
    <w:rsid w:val="00584F52"/>
    <w:rsid w:val="00585D19"/>
    <w:rsid w:val="0058677B"/>
    <w:rsid w:val="00594B91"/>
    <w:rsid w:val="00594C66"/>
    <w:rsid w:val="005A127E"/>
    <w:rsid w:val="005A2F39"/>
    <w:rsid w:val="005A3629"/>
    <w:rsid w:val="005A373A"/>
    <w:rsid w:val="005A54FD"/>
    <w:rsid w:val="005A746F"/>
    <w:rsid w:val="005A751C"/>
    <w:rsid w:val="005B7292"/>
    <w:rsid w:val="005B7C40"/>
    <w:rsid w:val="005C0C5B"/>
    <w:rsid w:val="005C12B5"/>
    <w:rsid w:val="005C262E"/>
    <w:rsid w:val="005C59B0"/>
    <w:rsid w:val="005C666F"/>
    <w:rsid w:val="005C6ED2"/>
    <w:rsid w:val="005C72E2"/>
    <w:rsid w:val="005C763A"/>
    <w:rsid w:val="005D0C29"/>
    <w:rsid w:val="005D30C4"/>
    <w:rsid w:val="005D5266"/>
    <w:rsid w:val="005D727B"/>
    <w:rsid w:val="005E1DA4"/>
    <w:rsid w:val="005E4206"/>
    <w:rsid w:val="005F13A3"/>
    <w:rsid w:val="005F5565"/>
    <w:rsid w:val="0060009B"/>
    <w:rsid w:val="00600420"/>
    <w:rsid w:val="0060463F"/>
    <w:rsid w:val="00604E89"/>
    <w:rsid w:val="006052DF"/>
    <w:rsid w:val="00605BA3"/>
    <w:rsid w:val="00606C90"/>
    <w:rsid w:val="006149A8"/>
    <w:rsid w:val="00616ECD"/>
    <w:rsid w:val="00617329"/>
    <w:rsid w:val="00621B71"/>
    <w:rsid w:val="00622A4F"/>
    <w:rsid w:val="00624C01"/>
    <w:rsid w:val="006257BA"/>
    <w:rsid w:val="00626D4F"/>
    <w:rsid w:val="006315DA"/>
    <w:rsid w:val="006323BD"/>
    <w:rsid w:val="006362DE"/>
    <w:rsid w:val="00637C35"/>
    <w:rsid w:val="00643377"/>
    <w:rsid w:val="00643772"/>
    <w:rsid w:val="00644AD2"/>
    <w:rsid w:val="006505F2"/>
    <w:rsid w:val="006506E3"/>
    <w:rsid w:val="00650ED3"/>
    <w:rsid w:val="00650F5A"/>
    <w:rsid w:val="00652F1A"/>
    <w:rsid w:val="0065392E"/>
    <w:rsid w:val="006547CF"/>
    <w:rsid w:val="00660062"/>
    <w:rsid w:val="00662955"/>
    <w:rsid w:val="00664D30"/>
    <w:rsid w:val="00670622"/>
    <w:rsid w:val="00671658"/>
    <w:rsid w:val="00673ED1"/>
    <w:rsid w:val="00673F8D"/>
    <w:rsid w:val="00676528"/>
    <w:rsid w:val="006769A1"/>
    <w:rsid w:val="00677A9F"/>
    <w:rsid w:val="00680B8D"/>
    <w:rsid w:val="00683ECF"/>
    <w:rsid w:val="0068617E"/>
    <w:rsid w:val="00690D82"/>
    <w:rsid w:val="00693905"/>
    <w:rsid w:val="006A0147"/>
    <w:rsid w:val="006A5636"/>
    <w:rsid w:val="006A7292"/>
    <w:rsid w:val="006B117D"/>
    <w:rsid w:val="006B149A"/>
    <w:rsid w:val="006B1BA8"/>
    <w:rsid w:val="006B2172"/>
    <w:rsid w:val="006B5D97"/>
    <w:rsid w:val="006C0BC3"/>
    <w:rsid w:val="006C1D8D"/>
    <w:rsid w:val="006C2139"/>
    <w:rsid w:val="006C59AD"/>
    <w:rsid w:val="006C6EF2"/>
    <w:rsid w:val="006D7AF7"/>
    <w:rsid w:val="006E1B83"/>
    <w:rsid w:val="006E3A63"/>
    <w:rsid w:val="006E7828"/>
    <w:rsid w:val="006E7CA3"/>
    <w:rsid w:val="006F0F4B"/>
    <w:rsid w:val="006F2878"/>
    <w:rsid w:val="006F4059"/>
    <w:rsid w:val="0070266A"/>
    <w:rsid w:val="007029BC"/>
    <w:rsid w:val="00702D6D"/>
    <w:rsid w:val="00704AAA"/>
    <w:rsid w:val="007060E1"/>
    <w:rsid w:val="00710B68"/>
    <w:rsid w:val="007112D9"/>
    <w:rsid w:val="00714D55"/>
    <w:rsid w:val="0071560B"/>
    <w:rsid w:val="007171FF"/>
    <w:rsid w:val="007174D0"/>
    <w:rsid w:val="00722F8A"/>
    <w:rsid w:val="00726FC9"/>
    <w:rsid w:val="007318AD"/>
    <w:rsid w:val="007400FF"/>
    <w:rsid w:val="00740185"/>
    <w:rsid w:val="00740512"/>
    <w:rsid w:val="00746D18"/>
    <w:rsid w:val="007508DD"/>
    <w:rsid w:val="00750988"/>
    <w:rsid w:val="007514A1"/>
    <w:rsid w:val="00754EF0"/>
    <w:rsid w:val="0075510A"/>
    <w:rsid w:val="0076049D"/>
    <w:rsid w:val="00762430"/>
    <w:rsid w:val="00762ED5"/>
    <w:rsid w:val="00765C1D"/>
    <w:rsid w:val="00766655"/>
    <w:rsid w:val="007673D6"/>
    <w:rsid w:val="00767AA3"/>
    <w:rsid w:val="00775288"/>
    <w:rsid w:val="00780120"/>
    <w:rsid w:val="00780B68"/>
    <w:rsid w:val="00781576"/>
    <w:rsid w:val="00782DD0"/>
    <w:rsid w:val="00784ACC"/>
    <w:rsid w:val="0078594A"/>
    <w:rsid w:val="00785C47"/>
    <w:rsid w:val="00785C6A"/>
    <w:rsid w:val="007865B7"/>
    <w:rsid w:val="00786A74"/>
    <w:rsid w:val="007917D4"/>
    <w:rsid w:val="00791ABE"/>
    <w:rsid w:val="00792B1E"/>
    <w:rsid w:val="007949A7"/>
    <w:rsid w:val="007962B6"/>
    <w:rsid w:val="00797F23"/>
    <w:rsid w:val="007A1C28"/>
    <w:rsid w:val="007A318E"/>
    <w:rsid w:val="007A5261"/>
    <w:rsid w:val="007A66FD"/>
    <w:rsid w:val="007A67AE"/>
    <w:rsid w:val="007B0D7A"/>
    <w:rsid w:val="007B14B3"/>
    <w:rsid w:val="007B1F76"/>
    <w:rsid w:val="007B25EA"/>
    <w:rsid w:val="007B2B09"/>
    <w:rsid w:val="007B3E4D"/>
    <w:rsid w:val="007B5635"/>
    <w:rsid w:val="007B6726"/>
    <w:rsid w:val="007B7530"/>
    <w:rsid w:val="007C1C30"/>
    <w:rsid w:val="007C460E"/>
    <w:rsid w:val="007C505A"/>
    <w:rsid w:val="007C60AF"/>
    <w:rsid w:val="007C7CF7"/>
    <w:rsid w:val="007D3BB0"/>
    <w:rsid w:val="007D4725"/>
    <w:rsid w:val="007D4736"/>
    <w:rsid w:val="007D7C91"/>
    <w:rsid w:val="007E03CE"/>
    <w:rsid w:val="007E0B32"/>
    <w:rsid w:val="007E2FEF"/>
    <w:rsid w:val="007E3054"/>
    <w:rsid w:val="007E6782"/>
    <w:rsid w:val="007F4CCA"/>
    <w:rsid w:val="007F5B8E"/>
    <w:rsid w:val="0080019E"/>
    <w:rsid w:val="008009DF"/>
    <w:rsid w:val="00801F0C"/>
    <w:rsid w:val="008042A4"/>
    <w:rsid w:val="008066FA"/>
    <w:rsid w:val="00806DAE"/>
    <w:rsid w:val="00810C3C"/>
    <w:rsid w:val="00811508"/>
    <w:rsid w:val="00820895"/>
    <w:rsid w:val="00822B4E"/>
    <w:rsid w:val="0082314E"/>
    <w:rsid w:val="008309D1"/>
    <w:rsid w:val="00830C40"/>
    <w:rsid w:val="00833F97"/>
    <w:rsid w:val="0083470C"/>
    <w:rsid w:val="0083495F"/>
    <w:rsid w:val="00834AD3"/>
    <w:rsid w:val="0083649A"/>
    <w:rsid w:val="008425C0"/>
    <w:rsid w:val="008431F2"/>
    <w:rsid w:val="00851D1C"/>
    <w:rsid w:val="00852E2C"/>
    <w:rsid w:val="00855E80"/>
    <w:rsid w:val="00860B38"/>
    <w:rsid w:val="008617C7"/>
    <w:rsid w:val="00861CD9"/>
    <w:rsid w:val="0086220D"/>
    <w:rsid w:val="00863168"/>
    <w:rsid w:val="00865DDC"/>
    <w:rsid w:val="00867CB9"/>
    <w:rsid w:val="008706A1"/>
    <w:rsid w:val="0087145F"/>
    <w:rsid w:val="00871D62"/>
    <w:rsid w:val="0087265C"/>
    <w:rsid w:val="008744A7"/>
    <w:rsid w:val="0087690C"/>
    <w:rsid w:val="00880760"/>
    <w:rsid w:val="008817FA"/>
    <w:rsid w:val="00883695"/>
    <w:rsid w:val="00885119"/>
    <w:rsid w:val="0089006E"/>
    <w:rsid w:val="00892470"/>
    <w:rsid w:val="00895525"/>
    <w:rsid w:val="008A0D1F"/>
    <w:rsid w:val="008A213A"/>
    <w:rsid w:val="008A2E24"/>
    <w:rsid w:val="008A4088"/>
    <w:rsid w:val="008A4DE7"/>
    <w:rsid w:val="008A56B0"/>
    <w:rsid w:val="008B04BB"/>
    <w:rsid w:val="008B6A58"/>
    <w:rsid w:val="008B7786"/>
    <w:rsid w:val="008B7C71"/>
    <w:rsid w:val="008C1921"/>
    <w:rsid w:val="008C5745"/>
    <w:rsid w:val="008D1763"/>
    <w:rsid w:val="008D4B07"/>
    <w:rsid w:val="008E3EE2"/>
    <w:rsid w:val="008E42DC"/>
    <w:rsid w:val="008F193B"/>
    <w:rsid w:val="008F252E"/>
    <w:rsid w:val="008F2999"/>
    <w:rsid w:val="008F3315"/>
    <w:rsid w:val="008F4032"/>
    <w:rsid w:val="008F4107"/>
    <w:rsid w:val="008F510C"/>
    <w:rsid w:val="008F57D0"/>
    <w:rsid w:val="00900237"/>
    <w:rsid w:val="009039BD"/>
    <w:rsid w:val="00904AA6"/>
    <w:rsid w:val="00904C80"/>
    <w:rsid w:val="0090523E"/>
    <w:rsid w:val="00905F53"/>
    <w:rsid w:val="009064D8"/>
    <w:rsid w:val="00906ED5"/>
    <w:rsid w:val="00911D34"/>
    <w:rsid w:val="00913237"/>
    <w:rsid w:val="0091473B"/>
    <w:rsid w:val="0092014B"/>
    <w:rsid w:val="009204C9"/>
    <w:rsid w:val="009318AA"/>
    <w:rsid w:val="00934132"/>
    <w:rsid w:val="009369CD"/>
    <w:rsid w:val="00936BFC"/>
    <w:rsid w:val="009411F2"/>
    <w:rsid w:val="009419BD"/>
    <w:rsid w:val="00943AD9"/>
    <w:rsid w:val="00951169"/>
    <w:rsid w:val="0095281D"/>
    <w:rsid w:val="00956166"/>
    <w:rsid w:val="009571BD"/>
    <w:rsid w:val="00963DC2"/>
    <w:rsid w:val="009641A8"/>
    <w:rsid w:val="00966D9B"/>
    <w:rsid w:val="00966F3E"/>
    <w:rsid w:val="009713B9"/>
    <w:rsid w:val="00973C00"/>
    <w:rsid w:val="00975827"/>
    <w:rsid w:val="009806E4"/>
    <w:rsid w:val="009811AD"/>
    <w:rsid w:val="00983666"/>
    <w:rsid w:val="00985685"/>
    <w:rsid w:val="00985D9A"/>
    <w:rsid w:val="00985F0C"/>
    <w:rsid w:val="00991347"/>
    <w:rsid w:val="009919DE"/>
    <w:rsid w:val="00993687"/>
    <w:rsid w:val="00994137"/>
    <w:rsid w:val="0099427E"/>
    <w:rsid w:val="00997601"/>
    <w:rsid w:val="009A29D5"/>
    <w:rsid w:val="009A4349"/>
    <w:rsid w:val="009B12E7"/>
    <w:rsid w:val="009B3957"/>
    <w:rsid w:val="009B4D33"/>
    <w:rsid w:val="009B671D"/>
    <w:rsid w:val="009B7D99"/>
    <w:rsid w:val="009C4718"/>
    <w:rsid w:val="009C4E79"/>
    <w:rsid w:val="009C7D2F"/>
    <w:rsid w:val="009D16A6"/>
    <w:rsid w:val="009D3406"/>
    <w:rsid w:val="009E2555"/>
    <w:rsid w:val="009E6256"/>
    <w:rsid w:val="009E71B5"/>
    <w:rsid w:val="009E7EF0"/>
    <w:rsid w:val="009F0311"/>
    <w:rsid w:val="009F04C4"/>
    <w:rsid w:val="009F0951"/>
    <w:rsid w:val="009F2C0D"/>
    <w:rsid w:val="009F587F"/>
    <w:rsid w:val="009F5A53"/>
    <w:rsid w:val="009F7E33"/>
    <w:rsid w:val="00A01C74"/>
    <w:rsid w:val="00A01E5A"/>
    <w:rsid w:val="00A03ED2"/>
    <w:rsid w:val="00A04D33"/>
    <w:rsid w:val="00A10C88"/>
    <w:rsid w:val="00A1126D"/>
    <w:rsid w:val="00A13396"/>
    <w:rsid w:val="00A15E14"/>
    <w:rsid w:val="00A167DC"/>
    <w:rsid w:val="00A21C83"/>
    <w:rsid w:val="00A22412"/>
    <w:rsid w:val="00A224E8"/>
    <w:rsid w:val="00A24171"/>
    <w:rsid w:val="00A24D6B"/>
    <w:rsid w:val="00A24F68"/>
    <w:rsid w:val="00A25DAA"/>
    <w:rsid w:val="00A271E1"/>
    <w:rsid w:val="00A31F43"/>
    <w:rsid w:val="00A36B35"/>
    <w:rsid w:val="00A40FF5"/>
    <w:rsid w:val="00A4159C"/>
    <w:rsid w:val="00A45371"/>
    <w:rsid w:val="00A47ED3"/>
    <w:rsid w:val="00A51ECC"/>
    <w:rsid w:val="00A55458"/>
    <w:rsid w:val="00A6259B"/>
    <w:rsid w:val="00A62BED"/>
    <w:rsid w:val="00A640DE"/>
    <w:rsid w:val="00A650EF"/>
    <w:rsid w:val="00A66AAA"/>
    <w:rsid w:val="00A67EAA"/>
    <w:rsid w:val="00A740E6"/>
    <w:rsid w:val="00A76FB9"/>
    <w:rsid w:val="00A80327"/>
    <w:rsid w:val="00A81118"/>
    <w:rsid w:val="00A86466"/>
    <w:rsid w:val="00A86722"/>
    <w:rsid w:val="00A87719"/>
    <w:rsid w:val="00A90AA9"/>
    <w:rsid w:val="00A90D2E"/>
    <w:rsid w:val="00A95C58"/>
    <w:rsid w:val="00AA4442"/>
    <w:rsid w:val="00AA65EA"/>
    <w:rsid w:val="00AA6A96"/>
    <w:rsid w:val="00AA71F4"/>
    <w:rsid w:val="00AB1341"/>
    <w:rsid w:val="00AB296D"/>
    <w:rsid w:val="00AB6B41"/>
    <w:rsid w:val="00AC5AD2"/>
    <w:rsid w:val="00AC74BD"/>
    <w:rsid w:val="00AD1CA4"/>
    <w:rsid w:val="00AD22BD"/>
    <w:rsid w:val="00AD3A44"/>
    <w:rsid w:val="00AD4871"/>
    <w:rsid w:val="00AD62BA"/>
    <w:rsid w:val="00AE28C7"/>
    <w:rsid w:val="00AF233A"/>
    <w:rsid w:val="00AF7287"/>
    <w:rsid w:val="00B026C2"/>
    <w:rsid w:val="00B02F97"/>
    <w:rsid w:val="00B03D81"/>
    <w:rsid w:val="00B040AF"/>
    <w:rsid w:val="00B1133A"/>
    <w:rsid w:val="00B1415B"/>
    <w:rsid w:val="00B14765"/>
    <w:rsid w:val="00B167DC"/>
    <w:rsid w:val="00B20D2A"/>
    <w:rsid w:val="00B238A3"/>
    <w:rsid w:val="00B24754"/>
    <w:rsid w:val="00B25226"/>
    <w:rsid w:val="00B25999"/>
    <w:rsid w:val="00B2618E"/>
    <w:rsid w:val="00B27026"/>
    <w:rsid w:val="00B31526"/>
    <w:rsid w:val="00B31A0A"/>
    <w:rsid w:val="00B31BB5"/>
    <w:rsid w:val="00B3413E"/>
    <w:rsid w:val="00B35595"/>
    <w:rsid w:val="00B466AF"/>
    <w:rsid w:val="00B4674F"/>
    <w:rsid w:val="00B46863"/>
    <w:rsid w:val="00B55170"/>
    <w:rsid w:val="00B560CF"/>
    <w:rsid w:val="00B60937"/>
    <w:rsid w:val="00B60DA5"/>
    <w:rsid w:val="00B61727"/>
    <w:rsid w:val="00B63F18"/>
    <w:rsid w:val="00B724FF"/>
    <w:rsid w:val="00B74D16"/>
    <w:rsid w:val="00B828AA"/>
    <w:rsid w:val="00B8433F"/>
    <w:rsid w:val="00B8484B"/>
    <w:rsid w:val="00B8553D"/>
    <w:rsid w:val="00B90D0E"/>
    <w:rsid w:val="00B92185"/>
    <w:rsid w:val="00B922A1"/>
    <w:rsid w:val="00B93148"/>
    <w:rsid w:val="00B93D03"/>
    <w:rsid w:val="00BA306D"/>
    <w:rsid w:val="00BA64AF"/>
    <w:rsid w:val="00BB183E"/>
    <w:rsid w:val="00BB5448"/>
    <w:rsid w:val="00BB64DF"/>
    <w:rsid w:val="00BB64F9"/>
    <w:rsid w:val="00BB6D88"/>
    <w:rsid w:val="00BC122E"/>
    <w:rsid w:val="00BC267D"/>
    <w:rsid w:val="00BC49BD"/>
    <w:rsid w:val="00BC520E"/>
    <w:rsid w:val="00BC5FCF"/>
    <w:rsid w:val="00BC6618"/>
    <w:rsid w:val="00BD15AF"/>
    <w:rsid w:val="00BD179A"/>
    <w:rsid w:val="00BD2DD5"/>
    <w:rsid w:val="00BD5FF1"/>
    <w:rsid w:val="00BE39CB"/>
    <w:rsid w:val="00BE41F6"/>
    <w:rsid w:val="00BE4F82"/>
    <w:rsid w:val="00BE657F"/>
    <w:rsid w:val="00BE789C"/>
    <w:rsid w:val="00BF20D8"/>
    <w:rsid w:val="00BF7A88"/>
    <w:rsid w:val="00C003F5"/>
    <w:rsid w:val="00C00673"/>
    <w:rsid w:val="00C00C74"/>
    <w:rsid w:val="00C023C3"/>
    <w:rsid w:val="00C02D29"/>
    <w:rsid w:val="00C12BB5"/>
    <w:rsid w:val="00C12CD6"/>
    <w:rsid w:val="00C13020"/>
    <w:rsid w:val="00C15913"/>
    <w:rsid w:val="00C178BC"/>
    <w:rsid w:val="00C20791"/>
    <w:rsid w:val="00C2200A"/>
    <w:rsid w:val="00C24C27"/>
    <w:rsid w:val="00C30B4B"/>
    <w:rsid w:val="00C319C9"/>
    <w:rsid w:val="00C338E3"/>
    <w:rsid w:val="00C33AA2"/>
    <w:rsid w:val="00C47C71"/>
    <w:rsid w:val="00C504E3"/>
    <w:rsid w:val="00C515A8"/>
    <w:rsid w:val="00C52A2F"/>
    <w:rsid w:val="00C53884"/>
    <w:rsid w:val="00C5425A"/>
    <w:rsid w:val="00C55D47"/>
    <w:rsid w:val="00C57893"/>
    <w:rsid w:val="00C60C45"/>
    <w:rsid w:val="00C63094"/>
    <w:rsid w:val="00C64BA8"/>
    <w:rsid w:val="00C66CF0"/>
    <w:rsid w:val="00C67A37"/>
    <w:rsid w:val="00C70828"/>
    <w:rsid w:val="00C71A3E"/>
    <w:rsid w:val="00C71C81"/>
    <w:rsid w:val="00C73DB1"/>
    <w:rsid w:val="00C750D8"/>
    <w:rsid w:val="00C75DC0"/>
    <w:rsid w:val="00C81F2B"/>
    <w:rsid w:val="00C82DA8"/>
    <w:rsid w:val="00C84E08"/>
    <w:rsid w:val="00C8546C"/>
    <w:rsid w:val="00C87BFF"/>
    <w:rsid w:val="00C94AD9"/>
    <w:rsid w:val="00C94BB3"/>
    <w:rsid w:val="00C94EE3"/>
    <w:rsid w:val="00C955AE"/>
    <w:rsid w:val="00C977A3"/>
    <w:rsid w:val="00C97AE0"/>
    <w:rsid w:val="00CA1626"/>
    <w:rsid w:val="00CA1F3C"/>
    <w:rsid w:val="00CA7260"/>
    <w:rsid w:val="00CA7C43"/>
    <w:rsid w:val="00CB01EB"/>
    <w:rsid w:val="00CB501D"/>
    <w:rsid w:val="00CB5CE7"/>
    <w:rsid w:val="00CB63E7"/>
    <w:rsid w:val="00CB7289"/>
    <w:rsid w:val="00CC0130"/>
    <w:rsid w:val="00CC138F"/>
    <w:rsid w:val="00CC1582"/>
    <w:rsid w:val="00CC2146"/>
    <w:rsid w:val="00CC30F7"/>
    <w:rsid w:val="00CC5E15"/>
    <w:rsid w:val="00CD068A"/>
    <w:rsid w:val="00CD1227"/>
    <w:rsid w:val="00CD1A2B"/>
    <w:rsid w:val="00CD6800"/>
    <w:rsid w:val="00CD7CA4"/>
    <w:rsid w:val="00CE7040"/>
    <w:rsid w:val="00CE7DF4"/>
    <w:rsid w:val="00CF35D5"/>
    <w:rsid w:val="00CF3C01"/>
    <w:rsid w:val="00CF655F"/>
    <w:rsid w:val="00CF6E34"/>
    <w:rsid w:val="00CF7213"/>
    <w:rsid w:val="00D04CFF"/>
    <w:rsid w:val="00D04EC3"/>
    <w:rsid w:val="00D05E97"/>
    <w:rsid w:val="00D071DB"/>
    <w:rsid w:val="00D07CE3"/>
    <w:rsid w:val="00D1260F"/>
    <w:rsid w:val="00D12C7A"/>
    <w:rsid w:val="00D1314A"/>
    <w:rsid w:val="00D16400"/>
    <w:rsid w:val="00D218C2"/>
    <w:rsid w:val="00D231F2"/>
    <w:rsid w:val="00D233BA"/>
    <w:rsid w:val="00D2367C"/>
    <w:rsid w:val="00D23C81"/>
    <w:rsid w:val="00D257EB"/>
    <w:rsid w:val="00D26197"/>
    <w:rsid w:val="00D26ADA"/>
    <w:rsid w:val="00D27104"/>
    <w:rsid w:val="00D27846"/>
    <w:rsid w:val="00D34424"/>
    <w:rsid w:val="00D344BA"/>
    <w:rsid w:val="00D36C30"/>
    <w:rsid w:val="00D37029"/>
    <w:rsid w:val="00D41D38"/>
    <w:rsid w:val="00D4398E"/>
    <w:rsid w:val="00D4423A"/>
    <w:rsid w:val="00D44B91"/>
    <w:rsid w:val="00D556E6"/>
    <w:rsid w:val="00D56225"/>
    <w:rsid w:val="00D5736D"/>
    <w:rsid w:val="00D5755E"/>
    <w:rsid w:val="00D60552"/>
    <w:rsid w:val="00D634CB"/>
    <w:rsid w:val="00D65335"/>
    <w:rsid w:val="00D703B9"/>
    <w:rsid w:val="00D71476"/>
    <w:rsid w:val="00D7481A"/>
    <w:rsid w:val="00D74F82"/>
    <w:rsid w:val="00D7790E"/>
    <w:rsid w:val="00D8190C"/>
    <w:rsid w:val="00D8265E"/>
    <w:rsid w:val="00D853EB"/>
    <w:rsid w:val="00D85746"/>
    <w:rsid w:val="00D90E79"/>
    <w:rsid w:val="00D944CD"/>
    <w:rsid w:val="00D944DE"/>
    <w:rsid w:val="00D94B76"/>
    <w:rsid w:val="00DA1EB7"/>
    <w:rsid w:val="00DA1F5B"/>
    <w:rsid w:val="00DA2789"/>
    <w:rsid w:val="00DA393B"/>
    <w:rsid w:val="00DA49F2"/>
    <w:rsid w:val="00DA4A50"/>
    <w:rsid w:val="00DA4BD1"/>
    <w:rsid w:val="00DA52B6"/>
    <w:rsid w:val="00DA68D4"/>
    <w:rsid w:val="00DB0F4C"/>
    <w:rsid w:val="00DB1862"/>
    <w:rsid w:val="00DC2575"/>
    <w:rsid w:val="00DC2792"/>
    <w:rsid w:val="00DC3800"/>
    <w:rsid w:val="00DC4BC1"/>
    <w:rsid w:val="00DC6A61"/>
    <w:rsid w:val="00DD1055"/>
    <w:rsid w:val="00DD56BF"/>
    <w:rsid w:val="00DE224D"/>
    <w:rsid w:val="00DE44CE"/>
    <w:rsid w:val="00DE48BF"/>
    <w:rsid w:val="00DE5499"/>
    <w:rsid w:val="00DE6122"/>
    <w:rsid w:val="00DE67DB"/>
    <w:rsid w:val="00DE6EE5"/>
    <w:rsid w:val="00DF3DCE"/>
    <w:rsid w:val="00DF502C"/>
    <w:rsid w:val="00DF7D35"/>
    <w:rsid w:val="00E0004D"/>
    <w:rsid w:val="00E008B4"/>
    <w:rsid w:val="00E00F8F"/>
    <w:rsid w:val="00E1036D"/>
    <w:rsid w:val="00E11E9E"/>
    <w:rsid w:val="00E2442C"/>
    <w:rsid w:val="00E260FE"/>
    <w:rsid w:val="00E31056"/>
    <w:rsid w:val="00E333AC"/>
    <w:rsid w:val="00E37E6E"/>
    <w:rsid w:val="00E44833"/>
    <w:rsid w:val="00E45C0B"/>
    <w:rsid w:val="00E523FC"/>
    <w:rsid w:val="00E5308B"/>
    <w:rsid w:val="00E5689B"/>
    <w:rsid w:val="00E6010E"/>
    <w:rsid w:val="00E6244C"/>
    <w:rsid w:val="00E63C97"/>
    <w:rsid w:val="00E64ABC"/>
    <w:rsid w:val="00E667C5"/>
    <w:rsid w:val="00E7092F"/>
    <w:rsid w:val="00E7125D"/>
    <w:rsid w:val="00E7503C"/>
    <w:rsid w:val="00E75EC8"/>
    <w:rsid w:val="00E8088F"/>
    <w:rsid w:val="00E82C64"/>
    <w:rsid w:val="00E82E3D"/>
    <w:rsid w:val="00E867C8"/>
    <w:rsid w:val="00E926ED"/>
    <w:rsid w:val="00E92F03"/>
    <w:rsid w:val="00E938C9"/>
    <w:rsid w:val="00EA0963"/>
    <w:rsid w:val="00EA1707"/>
    <w:rsid w:val="00EA2478"/>
    <w:rsid w:val="00EA32F9"/>
    <w:rsid w:val="00EB16A4"/>
    <w:rsid w:val="00EB4A94"/>
    <w:rsid w:val="00EB6579"/>
    <w:rsid w:val="00EB771C"/>
    <w:rsid w:val="00EC26FB"/>
    <w:rsid w:val="00EC4914"/>
    <w:rsid w:val="00EC5DA0"/>
    <w:rsid w:val="00ED18D6"/>
    <w:rsid w:val="00ED2539"/>
    <w:rsid w:val="00ED3FAB"/>
    <w:rsid w:val="00ED6B34"/>
    <w:rsid w:val="00ED7EBA"/>
    <w:rsid w:val="00EE0BBE"/>
    <w:rsid w:val="00EE1385"/>
    <w:rsid w:val="00EE4051"/>
    <w:rsid w:val="00EE45D6"/>
    <w:rsid w:val="00EE51B5"/>
    <w:rsid w:val="00EE62B8"/>
    <w:rsid w:val="00EF2D12"/>
    <w:rsid w:val="00EF3496"/>
    <w:rsid w:val="00EF3F63"/>
    <w:rsid w:val="00EF7679"/>
    <w:rsid w:val="00F01753"/>
    <w:rsid w:val="00F04304"/>
    <w:rsid w:val="00F05817"/>
    <w:rsid w:val="00F05FBF"/>
    <w:rsid w:val="00F12882"/>
    <w:rsid w:val="00F142E9"/>
    <w:rsid w:val="00F24325"/>
    <w:rsid w:val="00F25BF4"/>
    <w:rsid w:val="00F261D2"/>
    <w:rsid w:val="00F26EF5"/>
    <w:rsid w:val="00F278C3"/>
    <w:rsid w:val="00F30042"/>
    <w:rsid w:val="00F31B4D"/>
    <w:rsid w:val="00F37A1F"/>
    <w:rsid w:val="00F414E5"/>
    <w:rsid w:val="00F52C6F"/>
    <w:rsid w:val="00F53A54"/>
    <w:rsid w:val="00F56FF2"/>
    <w:rsid w:val="00F67090"/>
    <w:rsid w:val="00F7273D"/>
    <w:rsid w:val="00F7712A"/>
    <w:rsid w:val="00F77210"/>
    <w:rsid w:val="00F8190E"/>
    <w:rsid w:val="00F861DB"/>
    <w:rsid w:val="00F86469"/>
    <w:rsid w:val="00F902C2"/>
    <w:rsid w:val="00F93EA8"/>
    <w:rsid w:val="00F95646"/>
    <w:rsid w:val="00F96F01"/>
    <w:rsid w:val="00FA06EE"/>
    <w:rsid w:val="00FA0769"/>
    <w:rsid w:val="00FA2087"/>
    <w:rsid w:val="00FA422F"/>
    <w:rsid w:val="00FA488A"/>
    <w:rsid w:val="00FB48BC"/>
    <w:rsid w:val="00FB6C9D"/>
    <w:rsid w:val="00FC2D7E"/>
    <w:rsid w:val="00FC3DFA"/>
    <w:rsid w:val="00FC4303"/>
    <w:rsid w:val="00FD04FD"/>
    <w:rsid w:val="00FD0A71"/>
    <w:rsid w:val="00FD2952"/>
    <w:rsid w:val="00FD3DC2"/>
    <w:rsid w:val="00FD4747"/>
    <w:rsid w:val="00FD6157"/>
    <w:rsid w:val="00FD63E4"/>
    <w:rsid w:val="00FE4E8A"/>
    <w:rsid w:val="00FE672F"/>
    <w:rsid w:val="00FE78E5"/>
    <w:rsid w:val="00FF0ED2"/>
    <w:rsid w:val="00FF1FF7"/>
    <w:rsid w:val="00FF30EF"/>
    <w:rsid w:val="00FF374D"/>
    <w:rsid w:val="00FF4023"/>
    <w:rsid w:val="00FF5594"/>
    <w:rsid w:val="00FF7186"/>
    <w:rsid w:val="00FF73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13F3333"/>
  <w15:docId w15:val="{2AE180A7-92A4-48F7-AE13-09FE72AF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2A36"/>
    <w:pPr>
      <w:spacing w:before="120" w:after="120"/>
    </w:pPr>
    <w:rPr>
      <w:rFonts w:ascii="Arial" w:hAnsi="Arial"/>
      <w:sz w:val="22"/>
      <w:lang w:val="en-US" w:eastAsia="en-US"/>
    </w:rPr>
  </w:style>
  <w:style w:type="paragraph" w:styleId="Heading1">
    <w:name w:val="heading 1"/>
    <w:basedOn w:val="Normal"/>
    <w:next w:val="Normal"/>
    <w:link w:val="Heading1Char"/>
    <w:autoRedefine/>
    <w:qFormat/>
    <w:rsid w:val="00072A36"/>
    <w:pPr>
      <w:keepNext/>
      <w:spacing w:before="360"/>
      <w:jc w:val="center"/>
      <w:outlineLvl w:val="0"/>
    </w:pPr>
    <w:rPr>
      <w:b/>
      <w:caps/>
      <w:sz w:val="24"/>
      <w:szCs w:val="24"/>
      <w:lang w:val="en-CA"/>
    </w:rPr>
  </w:style>
  <w:style w:type="paragraph" w:styleId="Heading2">
    <w:name w:val="heading 2"/>
    <w:basedOn w:val="Normal"/>
    <w:next w:val="Normal"/>
    <w:link w:val="Heading2Char"/>
    <w:autoRedefine/>
    <w:qFormat/>
    <w:rsid w:val="00072A36"/>
    <w:pPr>
      <w:keepNext/>
      <w:spacing w:before="240"/>
      <w:outlineLvl w:val="1"/>
    </w:pPr>
    <w:rPr>
      <w:b/>
      <w:caps/>
      <w:sz w:val="24"/>
      <w:szCs w:val="24"/>
      <w:lang w:val="en-CA"/>
    </w:rPr>
  </w:style>
  <w:style w:type="paragraph" w:styleId="Heading3">
    <w:name w:val="heading 3"/>
    <w:basedOn w:val="Normal"/>
    <w:next w:val="Normal"/>
    <w:link w:val="Heading3Char"/>
    <w:autoRedefine/>
    <w:qFormat/>
    <w:rsid w:val="00072A36"/>
    <w:pPr>
      <w:keepNext/>
      <w:spacing w:before="240"/>
      <w:contextualSpacing/>
      <w:outlineLvl w:val="2"/>
    </w:pPr>
    <w:rPr>
      <w:b/>
      <w:sz w:val="24"/>
      <w:szCs w:val="22"/>
      <w:lang w:val="fr-CA"/>
    </w:rPr>
  </w:style>
  <w:style w:type="paragraph" w:styleId="Heading4">
    <w:name w:val="heading 4"/>
    <w:basedOn w:val="Normal"/>
    <w:next w:val="Normal"/>
    <w:link w:val="Heading4Char"/>
    <w:autoRedefine/>
    <w:qFormat/>
    <w:rsid w:val="00123698"/>
    <w:pPr>
      <w:keepNext/>
      <w:ind w:left="3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2A36"/>
    <w:pPr>
      <w:tabs>
        <w:tab w:val="center" w:pos="4320"/>
        <w:tab w:val="right" w:pos="8640"/>
      </w:tabs>
    </w:pPr>
  </w:style>
  <w:style w:type="paragraph" w:styleId="Footer">
    <w:name w:val="footer"/>
    <w:basedOn w:val="Normal"/>
    <w:link w:val="FooterChar"/>
    <w:rsid w:val="00072A36"/>
    <w:pPr>
      <w:tabs>
        <w:tab w:val="center" w:pos="4320"/>
        <w:tab w:val="right" w:pos="8640"/>
      </w:tabs>
    </w:pPr>
  </w:style>
  <w:style w:type="paragraph" w:customStyle="1" w:styleId="CoverPageHeaderCSAS">
    <w:name w:val="Cover Page: Header (CSAS)"/>
    <w:basedOn w:val="Normal"/>
    <w:rsid w:val="00072A36"/>
    <w:pPr>
      <w:pBdr>
        <w:bottom w:val="single" w:sz="4" w:space="1" w:color="auto"/>
      </w:pBdr>
    </w:pPr>
    <w:rPr>
      <w:b/>
      <w:szCs w:val="24"/>
    </w:rPr>
  </w:style>
  <w:style w:type="character" w:styleId="Hyperlink">
    <w:name w:val="Hyperlink"/>
    <w:uiPriority w:val="99"/>
    <w:rsid w:val="00072A36"/>
    <w:rPr>
      <w:rFonts w:ascii="Arial" w:hAnsi="Arial"/>
      <w:color w:val="0000FF"/>
      <w:sz w:val="22"/>
      <w:u w:val="single"/>
    </w:rPr>
  </w:style>
  <w:style w:type="paragraph" w:customStyle="1" w:styleId="CoverPageHeaderseries">
    <w:name w:val="Cover Page: Header (series"/>
    <w:aliases w:val="number,region)"/>
    <w:basedOn w:val="Normal"/>
    <w:rsid w:val="00072A36"/>
    <w:rPr>
      <w:b/>
      <w:szCs w:val="24"/>
    </w:rPr>
  </w:style>
  <w:style w:type="paragraph" w:customStyle="1" w:styleId="citation">
    <w:name w:val="citation"/>
    <w:basedOn w:val="Normal"/>
    <w:qFormat/>
    <w:rsid w:val="00072A36"/>
    <w:pPr>
      <w:keepLines/>
      <w:ind w:left="360" w:hanging="360"/>
    </w:pPr>
    <w:rPr>
      <w:szCs w:val="22"/>
      <w:lang w:val="en-CA"/>
    </w:rPr>
  </w:style>
  <w:style w:type="paragraph" w:customStyle="1" w:styleId="BodyTextBold">
    <w:name w:val="Body Text + Bold"/>
    <w:basedOn w:val="BodyText"/>
    <w:rsid w:val="00072A36"/>
    <w:rPr>
      <w:b/>
    </w:rPr>
  </w:style>
  <w:style w:type="paragraph" w:styleId="BalloonText">
    <w:name w:val="Balloon Text"/>
    <w:basedOn w:val="Normal"/>
    <w:link w:val="BalloonTextChar"/>
    <w:uiPriority w:val="99"/>
    <w:semiHidden/>
    <w:unhideWhenUsed/>
    <w:rsid w:val="00072A3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A36"/>
    <w:rPr>
      <w:rFonts w:ascii="Tahoma" w:hAnsi="Tahoma" w:cs="Tahoma"/>
      <w:sz w:val="16"/>
      <w:szCs w:val="16"/>
      <w:lang w:val="en-US" w:eastAsia="en-US"/>
    </w:rPr>
  </w:style>
  <w:style w:type="paragraph" w:styleId="FootnoteText">
    <w:name w:val="footnote text"/>
    <w:basedOn w:val="Normal"/>
    <w:link w:val="FootnoteTextChar"/>
    <w:uiPriority w:val="99"/>
    <w:semiHidden/>
    <w:unhideWhenUsed/>
    <w:rsid w:val="00072A36"/>
    <w:rPr>
      <w:sz w:val="20"/>
    </w:rPr>
  </w:style>
  <w:style w:type="character" w:customStyle="1" w:styleId="FootnoteTextChar">
    <w:name w:val="Footnote Text Char"/>
    <w:link w:val="FootnoteText"/>
    <w:uiPriority w:val="99"/>
    <w:semiHidden/>
    <w:rsid w:val="00072A36"/>
    <w:rPr>
      <w:rFonts w:ascii="Arial" w:hAnsi="Arial"/>
      <w:lang w:val="en-US" w:eastAsia="en-US"/>
    </w:rPr>
  </w:style>
  <w:style w:type="character" w:styleId="FootnoteReference">
    <w:name w:val="footnote reference"/>
    <w:uiPriority w:val="99"/>
    <w:semiHidden/>
    <w:unhideWhenUsed/>
    <w:rsid w:val="00072A36"/>
    <w:rPr>
      <w:vertAlign w:val="superscript"/>
    </w:rPr>
  </w:style>
  <w:style w:type="paragraph" w:styleId="ListBullet2">
    <w:name w:val="List Bullet 2"/>
    <w:basedOn w:val="Normal"/>
    <w:unhideWhenUsed/>
    <w:rsid w:val="00072A36"/>
    <w:pPr>
      <w:numPr>
        <w:numId w:val="19"/>
      </w:numPr>
      <w:tabs>
        <w:tab w:val="left" w:pos="720"/>
      </w:tabs>
      <w:spacing w:before="0"/>
      <w:contextualSpacing/>
    </w:pPr>
  </w:style>
  <w:style w:type="paragraph" w:styleId="TOC1">
    <w:name w:val="toc 1"/>
    <w:basedOn w:val="Normal"/>
    <w:next w:val="Normal"/>
    <w:autoRedefine/>
    <w:uiPriority w:val="39"/>
    <w:rsid w:val="00072A36"/>
    <w:pPr>
      <w:tabs>
        <w:tab w:val="right" w:leader="dot" w:pos="9350"/>
      </w:tabs>
    </w:pPr>
    <w:rPr>
      <w:caps/>
    </w:rPr>
  </w:style>
  <w:style w:type="paragraph" w:customStyle="1" w:styleId="CoverTitle">
    <w:name w:val="Cover: Title"/>
    <w:basedOn w:val="Normal"/>
    <w:qFormat/>
    <w:rsid w:val="00072A36"/>
    <w:pPr>
      <w:spacing w:before="480" w:after="480"/>
    </w:pPr>
    <w:rPr>
      <w:b/>
      <w:sz w:val="24"/>
      <w:szCs w:val="24"/>
    </w:rPr>
  </w:style>
  <w:style w:type="paragraph" w:styleId="TOC2">
    <w:name w:val="toc 2"/>
    <w:basedOn w:val="Normal"/>
    <w:next w:val="Normal"/>
    <w:autoRedefine/>
    <w:uiPriority w:val="39"/>
    <w:rsid w:val="00072A36"/>
    <w:pPr>
      <w:spacing w:before="60" w:after="60"/>
      <w:ind w:left="240"/>
    </w:pPr>
    <w:rPr>
      <w:caps/>
    </w:rPr>
  </w:style>
  <w:style w:type="paragraph" w:customStyle="1" w:styleId="CoverMtgDate">
    <w:name w:val="Cover: Mtg Date"/>
    <w:basedOn w:val="Normal"/>
    <w:link w:val="CoverMtgDateChar"/>
    <w:qFormat/>
    <w:rsid w:val="00072A36"/>
    <w:pPr>
      <w:spacing w:before="480" w:after="0"/>
    </w:pPr>
    <w:rPr>
      <w:b/>
    </w:rPr>
  </w:style>
  <w:style w:type="character" w:customStyle="1" w:styleId="CoverMtgDateChar">
    <w:name w:val="Cover: Mtg Date Char"/>
    <w:link w:val="CoverMtgDate"/>
    <w:rsid w:val="00072A36"/>
    <w:rPr>
      <w:rFonts w:ascii="Arial" w:hAnsi="Arial"/>
      <w:b/>
      <w:sz w:val="22"/>
      <w:lang w:val="en-US" w:eastAsia="en-US"/>
    </w:rPr>
  </w:style>
  <w:style w:type="paragraph" w:customStyle="1" w:styleId="CoverChairperson">
    <w:name w:val="Cover: Chairperson"/>
    <w:basedOn w:val="Normal"/>
    <w:link w:val="CoverChairpersonChar"/>
    <w:rsid w:val="00072A36"/>
    <w:pPr>
      <w:spacing w:before="480" w:after="0"/>
    </w:pPr>
    <w:rPr>
      <w:b/>
    </w:rPr>
  </w:style>
  <w:style w:type="character" w:customStyle="1" w:styleId="CoverChairpersonChar">
    <w:name w:val="Cover: Chairperson Char"/>
    <w:link w:val="CoverChairperson"/>
    <w:rsid w:val="00072A36"/>
    <w:rPr>
      <w:rFonts w:ascii="Arial" w:hAnsi="Arial"/>
      <w:b/>
      <w:sz w:val="22"/>
      <w:lang w:val="en-US" w:eastAsia="en-US"/>
    </w:rPr>
  </w:style>
  <w:style w:type="paragraph" w:customStyle="1" w:styleId="CoverEditor">
    <w:name w:val="Cover: Editor"/>
    <w:basedOn w:val="Normal"/>
    <w:link w:val="CoverEditorChar"/>
    <w:qFormat/>
    <w:rsid w:val="00072A36"/>
    <w:pPr>
      <w:spacing w:before="0" w:after="480"/>
    </w:pPr>
    <w:rPr>
      <w:b/>
    </w:rPr>
  </w:style>
  <w:style w:type="character" w:customStyle="1" w:styleId="CoverEditorChar">
    <w:name w:val="Cover: Editor Char"/>
    <w:link w:val="CoverEditor"/>
    <w:rsid w:val="00072A36"/>
    <w:rPr>
      <w:rFonts w:ascii="Arial" w:hAnsi="Arial"/>
      <w:b/>
      <w:sz w:val="22"/>
      <w:lang w:val="en-US" w:eastAsia="en-US"/>
    </w:rPr>
  </w:style>
  <w:style w:type="paragraph" w:customStyle="1" w:styleId="CoverMailingAddress">
    <w:name w:val="Cover: Mailing Address"/>
    <w:basedOn w:val="Normal"/>
    <w:link w:val="CoverMailingAddressChar"/>
    <w:qFormat/>
    <w:rsid w:val="00072A36"/>
  </w:style>
  <w:style w:type="character" w:customStyle="1" w:styleId="CoverMailingAddressChar">
    <w:name w:val="Cover: Mailing Address Char"/>
    <w:link w:val="CoverMailingAddress"/>
    <w:rsid w:val="00072A36"/>
    <w:rPr>
      <w:rFonts w:ascii="Arial" w:hAnsi="Arial"/>
      <w:sz w:val="22"/>
      <w:lang w:val="en-US" w:eastAsia="en-US"/>
    </w:rPr>
  </w:style>
  <w:style w:type="paragraph" w:customStyle="1" w:styleId="ForewordPublishedby2ndpage">
    <w:name w:val="Foreword &amp; Published by (2nd page)"/>
    <w:basedOn w:val="Normal"/>
    <w:rsid w:val="00072A36"/>
    <w:pPr>
      <w:spacing w:before="360"/>
      <w:jc w:val="center"/>
    </w:pPr>
    <w:rPr>
      <w:b/>
      <w:bCs/>
      <w:szCs w:val="22"/>
    </w:rPr>
  </w:style>
  <w:style w:type="paragraph" w:styleId="BodyText">
    <w:name w:val="Body Text"/>
    <w:basedOn w:val="Normal"/>
    <w:link w:val="BodyTextChar"/>
    <w:qFormat/>
    <w:rsid w:val="00072A36"/>
  </w:style>
  <w:style w:type="paragraph" w:styleId="ListBullet">
    <w:name w:val="List Bullet"/>
    <w:basedOn w:val="Normal"/>
    <w:rsid w:val="00072A36"/>
    <w:pPr>
      <w:numPr>
        <w:numId w:val="18"/>
      </w:numPr>
      <w:spacing w:before="0"/>
    </w:pPr>
  </w:style>
  <w:style w:type="paragraph" w:customStyle="1" w:styleId="citation-translated">
    <w:name w:val="citation - translated"/>
    <w:basedOn w:val="citation"/>
    <w:qFormat/>
    <w:rsid w:val="00072A36"/>
    <w:rPr>
      <w:i/>
    </w:rPr>
  </w:style>
  <w:style w:type="paragraph" w:customStyle="1" w:styleId="BodyTextBoldItallics">
    <w:name w:val="Body Text + Bold + Itallics"/>
    <w:basedOn w:val="BodyText"/>
    <w:rsid w:val="00072A36"/>
    <w:rPr>
      <w:b/>
      <w:i/>
    </w:rPr>
  </w:style>
  <w:style w:type="paragraph" w:customStyle="1" w:styleId="CoverLocation">
    <w:name w:val="Cover: Location"/>
    <w:basedOn w:val="CoverMailingAddress"/>
    <w:link w:val="CoverLocationChar"/>
    <w:qFormat/>
    <w:rsid w:val="00072A36"/>
    <w:pPr>
      <w:spacing w:before="0" w:after="480"/>
    </w:pPr>
    <w:rPr>
      <w:b/>
    </w:rPr>
  </w:style>
  <w:style w:type="character" w:customStyle="1" w:styleId="CoverLocationChar">
    <w:name w:val="Cover: Location Char"/>
    <w:link w:val="CoverLocation"/>
    <w:rsid w:val="00072A36"/>
    <w:rPr>
      <w:rFonts w:ascii="Arial" w:hAnsi="Arial"/>
      <w:b/>
      <w:sz w:val="22"/>
      <w:lang w:val="en-US" w:eastAsia="en-US"/>
    </w:rPr>
  </w:style>
  <w:style w:type="paragraph" w:styleId="TOC3">
    <w:name w:val="toc 3"/>
    <w:basedOn w:val="Normal"/>
    <w:next w:val="Normal"/>
    <w:autoRedefine/>
    <w:uiPriority w:val="39"/>
    <w:rsid w:val="00072A36"/>
    <w:pPr>
      <w:spacing w:before="0" w:after="0"/>
      <w:ind w:left="480"/>
    </w:pPr>
    <w:rPr>
      <w:szCs w:val="22"/>
    </w:rPr>
  </w:style>
  <w:style w:type="character" w:styleId="FollowedHyperlink">
    <w:name w:val="FollowedHyperlink"/>
    <w:rsid w:val="00072A36"/>
    <w:rPr>
      <w:rFonts w:ascii="Arial" w:hAnsi="Arial"/>
      <w:color w:val="606420"/>
      <w:sz w:val="22"/>
      <w:u w:val="single"/>
    </w:rPr>
  </w:style>
  <w:style w:type="paragraph" w:customStyle="1" w:styleId="Caption-Table">
    <w:name w:val="Caption - Table"/>
    <w:basedOn w:val="Normal"/>
    <w:qFormat/>
    <w:rsid w:val="00072A36"/>
    <w:pPr>
      <w:keepNext/>
      <w:spacing w:before="240"/>
    </w:pPr>
    <w:rPr>
      <w:i/>
      <w:sz w:val="20"/>
      <w:lang w:val="en-CA"/>
    </w:rPr>
  </w:style>
  <w:style w:type="paragraph" w:customStyle="1" w:styleId="TranslatedTitle">
    <w:name w:val="Translated Title"/>
    <w:basedOn w:val="Normal"/>
    <w:qFormat/>
    <w:rsid w:val="00072A36"/>
    <w:pPr>
      <w:spacing w:before="240"/>
      <w:jc w:val="center"/>
    </w:pPr>
    <w:rPr>
      <w:b/>
      <w:sz w:val="24"/>
      <w:lang w:val="en-CA"/>
    </w:rPr>
  </w:style>
  <w:style w:type="paragraph" w:customStyle="1" w:styleId="Caption-Figure">
    <w:name w:val="Caption - Figure"/>
    <w:basedOn w:val="Normal"/>
    <w:qFormat/>
    <w:rsid w:val="00072A36"/>
    <w:pPr>
      <w:spacing w:after="240"/>
    </w:pPr>
    <w:rPr>
      <w:i/>
      <w:sz w:val="20"/>
    </w:rPr>
  </w:style>
  <w:style w:type="character" w:customStyle="1" w:styleId="BodyTextChar">
    <w:name w:val="Body Text Char"/>
    <w:basedOn w:val="DefaultParagraphFont"/>
    <w:link w:val="BodyText"/>
    <w:rsid w:val="00072A36"/>
    <w:rPr>
      <w:rFonts w:ascii="Arial" w:hAnsi="Arial"/>
      <w:sz w:val="22"/>
      <w:lang w:val="en-US" w:eastAsia="en-US"/>
    </w:rPr>
  </w:style>
  <w:style w:type="character" w:customStyle="1" w:styleId="Heading1Char">
    <w:name w:val="Heading 1 Char"/>
    <w:basedOn w:val="DefaultParagraphFont"/>
    <w:link w:val="Heading1"/>
    <w:rsid w:val="00072A36"/>
    <w:rPr>
      <w:rFonts w:ascii="Arial" w:hAnsi="Arial"/>
      <w:b/>
      <w:caps/>
      <w:sz w:val="24"/>
      <w:szCs w:val="24"/>
      <w:lang w:eastAsia="en-US"/>
    </w:rPr>
  </w:style>
  <w:style w:type="character" w:customStyle="1" w:styleId="Heading2Char">
    <w:name w:val="Heading 2 Char"/>
    <w:basedOn w:val="DefaultParagraphFont"/>
    <w:link w:val="Heading2"/>
    <w:rsid w:val="00072A36"/>
    <w:rPr>
      <w:rFonts w:ascii="Arial" w:hAnsi="Arial"/>
      <w:b/>
      <w:caps/>
      <w:sz w:val="24"/>
      <w:szCs w:val="24"/>
      <w:lang w:eastAsia="en-US"/>
    </w:rPr>
  </w:style>
  <w:style w:type="character" w:customStyle="1" w:styleId="Heading3Char">
    <w:name w:val="Heading 3 Char"/>
    <w:basedOn w:val="DefaultParagraphFont"/>
    <w:link w:val="Heading3"/>
    <w:rsid w:val="00072A36"/>
    <w:rPr>
      <w:rFonts w:ascii="Arial" w:hAnsi="Arial"/>
      <w:b/>
      <w:sz w:val="24"/>
      <w:szCs w:val="22"/>
      <w:lang w:val="fr-CA" w:eastAsia="en-US"/>
    </w:rPr>
  </w:style>
  <w:style w:type="character" w:customStyle="1" w:styleId="Heading4Char">
    <w:name w:val="Heading 4 Char"/>
    <w:basedOn w:val="DefaultParagraphFont"/>
    <w:link w:val="Heading4"/>
    <w:rsid w:val="00123698"/>
    <w:rPr>
      <w:rFonts w:ascii="Arial" w:hAnsi="Arial"/>
      <w:b/>
      <w:bCs/>
      <w:sz w:val="22"/>
      <w:szCs w:val="28"/>
      <w:lang w:val="en-US" w:eastAsia="en-US"/>
    </w:rPr>
  </w:style>
  <w:style w:type="paragraph" w:styleId="ListNumber">
    <w:name w:val="List Number"/>
    <w:basedOn w:val="Normal"/>
    <w:unhideWhenUsed/>
    <w:rsid w:val="00072A36"/>
    <w:pPr>
      <w:numPr>
        <w:numId w:val="20"/>
      </w:numPr>
      <w:spacing w:before="0"/>
    </w:pPr>
  </w:style>
  <w:style w:type="paragraph" w:styleId="ListNumber2">
    <w:name w:val="List Number 2"/>
    <w:basedOn w:val="Normal"/>
    <w:unhideWhenUsed/>
    <w:rsid w:val="00072A36"/>
    <w:pPr>
      <w:numPr>
        <w:numId w:val="21"/>
      </w:numPr>
      <w:spacing w:before="0"/>
    </w:pPr>
  </w:style>
  <w:style w:type="paragraph" w:customStyle="1" w:styleId="Blockquote">
    <w:name w:val="Blockquote"/>
    <w:basedOn w:val="Normal"/>
    <w:rsid w:val="00072A36"/>
    <w:pPr>
      <w:ind w:left="720"/>
    </w:pPr>
  </w:style>
  <w:style w:type="paragraph" w:customStyle="1" w:styleId="TableofContents">
    <w:name w:val="Table of Contents"/>
    <w:basedOn w:val="ForewordPublishedby2ndpage"/>
    <w:rsid w:val="00072A36"/>
    <w:rPr>
      <w:caps/>
      <w:sz w:val="24"/>
    </w:rPr>
  </w:style>
  <w:style w:type="paragraph" w:customStyle="1" w:styleId="BodyTextcentered">
    <w:name w:val="Body Text + centered"/>
    <w:basedOn w:val="BodyText"/>
    <w:link w:val="BodyTextcenteredChar"/>
    <w:rsid w:val="00072A36"/>
    <w:pPr>
      <w:jc w:val="center"/>
    </w:pPr>
  </w:style>
  <w:style w:type="character" w:customStyle="1" w:styleId="BodyTextcenteredChar">
    <w:name w:val="Body Text + centered Char"/>
    <w:basedOn w:val="BodyTextChar"/>
    <w:link w:val="BodyTextcentered"/>
    <w:rsid w:val="00072A36"/>
    <w:rPr>
      <w:rFonts w:ascii="Arial" w:hAnsi="Arial"/>
      <w:sz w:val="22"/>
      <w:lang w:val="en-US" w:eastAsia="en-US"/>
    </w:rPr>
  </w:style>
  <w:style w:type="paragraph" w:customStyle="1" w:styleId="CoverAddress">
    <w:name w:val="Cover: Address"/>
    <w:basedOn w:val="Normal"/>
    <w:link w:val="CoverAddressChar"/>
    <w:qFormat/>
    <w:rsid w:val="00072A36"/>
    <w:pPr>
      <w:jc w:val="center"/>
    </w:pPr>
  </w:style>
  <w:style w:type="character" w:customStyle="1" w:styleId="CoverAddressChar">
    <w:name w:val="Cover: Address Char"/>
    <w:link w:val="CoverAddress"/>
    <w:rsid w:val="00072A36"/>
    <w:rPr>
      <w:rFonts w:ascii="Arial" w:hAnsi="Arial"/>
      <w:sz w:val="22"/>
      <w:lang w:val="en-US" w:eastAsia="en-US"/>
    </w:rPr>
  </w:style>
  <w:style w:type="paragraph" w:styleId="ListParagraph">
    <w:name w:val="List Paragraph"/>
    <w:basedOn w:val="Normal"/>
    <w:uiPriority w:val="1"/>
    <w:qFormat/>
    <w:rsid w:val="001877CB"/>
    <w:pPr>
      <w:ind w:left="720"/>
      <w:contextualSpacing/>
    </w:pPr>
  </w:style>
  <w:style w:type="paragraph" w:customStyle="1" w:styleId="Default">
    <w:name w:val="Default"/>
    <w:rsid w:val="0036371F"/>
    <w:pPr>
      <w:autoSpaceDE w:val="0"/>
      <w:autoSpaceDN w:val="0"/>
      <w:adjustRightInd w:val="0"/>
    </w:pPr>
    <w:rPr>
      <w:rFonts w:ascii="Arial" w:hAnsi="Arial" w:cs="Arial"/>
      <w:color w:val="000000"/>
      <w:sz w:val="24"/>
      <w:szCs w:val="24"/>
    </w:rPr>
  </w:style>
  <w:style w:type="paragraph" w:styleId="NoSpacing">
    <w:name w:val="No Spacing"/>
    <w:uiPriority w:val="1"/>
    <w:qFormat/>
    <w:rsid w:val="004A7C67"/>
    <w:rPr>
      <w:rFonts w:asciiTheme="minorHAnsi" w:eastAsiaTheme="minorHAnsi" w:hAnsiTheme="minorHAnsi" w:cstheme="minorBidi"/>
      <w:sz w:val="22"/>
      <w:szCs w:val="22"/>
      <w:lang w:eastAsia="en-US"/>
    </w:rPr>
  </w:style>
  <w:style w:type="character" w:customStyle="1" w:styleId="BodyTextChar3">
    <w:name w:val="Body Text Char3"/>
    <w:aliases w:val="Body Text Char2 Char,Body Text Char1 Char Char,Body Text Char Char Char Char,Body Text Char Char1 Char,Body Text Char1 Char1,Body Text Char Char Char1,Body Text Char Char2"/>
    <w:rsid w:val="00D26197"/>
    <w:rPr>
      <w:sz w:val="24"/>
      <w:szCs w:val="24"/>
      <w:lang w:val="en-US" w:eastAsia="en-US" w:bidi="ar-SA"/>
    </w:rPr>
  </w:style>
  <w:style w:type="table" w:styleId="TableGrid">
    <w:name w:val="Table Grid"/>
    <w:basedOn w:val="TableNormal"/>
    <w:uiPriority w:val="59"/>
    <w:rsid w:val="00E45C0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6B41"/>
    <w:rPr>
      <w:sz w:val="16"/>
      <w:szCs w:val="16"/>
    </w:rPr>
  </w:style>
  <w:style w:type="paragraph" w:styleId="CommentText">
    <w:name w:val="annotation text"/>
    <w:basedOn w:val="Normal"/>
    <w:link w:val="CommentTextChar"/>
    <w:uiPriority w:val="99"/>
    <w:semiHidden/>
    <w:unhideWhenUsed/>
    <w:rsid w:val="00AB6B41"/>
    <w:rPr>
      <w:sz w:val="20"/>
    </w:rPr>
  </w:style>
  <w:style w:type="character" w:customStyle="1" w:styleId="CommentTextChar">
    <w:name w:val="Comment Text Char"/>
    <w:basedOn w:val="DefaultParagraphFont"/>
    <w:link w:val="CommentText"/>
    <w:uiPriority w:val="99"/>
    <w:semiHidden/>
    <w:rsid w:val="00AB6B41"/>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AB6B41"/>
    <w:rPr>
      <w:b/>
      <w:bCs/>
    </w:rPr>
  </w:style>
  <w:style w:type="character" w:customStyle="1" w:styleId="CommentSubjectChar">
    <w:name w:val="Comment Subject Char"/>
    <w:basedOn w:val="CommentTextChar"/>
    <w:link w:val="CommentSubject"/>
    <w:uiPriority w:val="99"/>
    <w:semiHidden/>
    <w:rsid w:val="00AB6B41"/>
    <w:rPr>
      <w:rFonts w:ascii="Arial" w:hAnsi="Arial"/>
      <w:b/>
      <w:bCs/>
      <w:lang w:val="en-US" w:eastAsia="en-US"/>
    </w:rPr>
  </w:style>
  <w:style w:type="paragraph" w:styleId="TOCHeading">
    <w:name w:val="TOC Heading"/>
    <w:basedOn w:val="Heading1"/>
    <w:next w:val="Normal"/>
    <w:uiPriority w:val="39"/>
    <w:unhideWhenUsed/>
    <w:qFormat/>
    <w:rsid w:val="00354A60"/>
    <w:pPr>
      <w:keepLines/>
      <w:spacing w:before="240" w:line="259" w:lineRule="auto"/>
      <w:jc w:val="left"/>
      <w:outlineLvl w:val="9"/>
    </w:pPr>
    <w:rPr>
      <w:rFonts w:asciiTheme="majorHAnsi" w:eastAsiaTheme="majorEastAsia" w:hAnsiTheme="majorHAnsi" w:cstheme="majorBidi"/>
      <w:b w:val="0"/>
      <w:bCs/>
      <w:color w:val="365F91" w:themeColor="accent1" w:themeShade="BF"/>
      <w:sz w:val="32"/>
      <w:szCs w:val="32"/>
      <w:lang w:val="en-US"/>
    </w:rPr>
  </w:style>
  <w:style w:type="character" w:customStyle="1" w:styleId="FooterChar">
    <w:name w:val="Footer Char"/>
    <w:basedOn w:val="DefaultParagraphFont"/>
    <w:link w:val="Footer"/>
    <w:uiPriority w:val="99"/>
    <w:rsid w:val="00072A36"/>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378525">
      <w:bodyDiv w:val="1"/>
      <w:marLeft w:val="0"/>
      <w:marRight w:val="0"/>
      <w:marTop w:val="0"/>
      <w:marBottom w:val="0"/>
      <w:divBdr>
        <w:top w:val="none" w:sz="0" w:space="0" w:color="auto"/>
        <w:left w:val="none" w:sz="0" w:space="0" w:color="auto"/>
        <w:bottom w:val="none" w:sz="0" w:space="0" w:color="auto"/>
        <w:right w:val="none" w:sz="0" w:space="0" w:color="auto"/>
      </w:divBdr>
    </w:div>
    <w:div w:id="445807949">
      <w:bodyDiv w:val="1"/>
      <w:marLeft w:val="0"/>
      <w:marRight w:val="0"/>
      <w:marTop w:val="0"/>
      <w:marBottom w:val="0"/>
      <w:divBdr>
        <w:top w:val="none" w:sz="0" w:space="0" w:color="auto"/>
        <w:left w:val="none" w:sz="0" w:space="0" w:color="auto"/>
        <w:bottom w:val="none" w:sz="0" w:space="0" w:color="auto"/>
        <w:right w:val="none" w:sz="0" w:space="0" w:color="auto"/>
      </w:divBdr>
    </w:div>
    <w:div w:id="669793890">
      <w:bodyDiv w:val="1"/>
      <w:marLeft w:val="0"/>
      <w:marRight w:val="0"/>
      <w:marTop w:val="0"/>
      <w:marBottom w:val="0"/>
      <w:divBdr>
        <w:top w:val="none" w:sz="0" w:space="0" w:color="auto"/>
        <w:left w:val="none" w:sz="0" w:space="0" w:color="auto"/>
        <w:bottom w:val="none" w:sz="0" w:space="0" w:color="auto"/>
        <w:right w:val="none" w:sz="0" w:space="0" w:color="auto"/>
      </w:divBdr>
    </w:div>
    <w:div w:id="939289248">
      <w:bodyDiv w:val="1"/>
      <w:marLeft w:val="0"/>
      <w:marRight w:val="0"/>
      <w:marTop w:val="0"/>
      <w:marBottom w:val="0"/>
      <w:divBdr>
        <w:top w:val="none" w:sz="0" w:space="0" w:color="auto"/>
        <w:left w:val="none" w:sz="0" w:space="0" w:color="auto"/>
        <w:bottom w:val="none" w:sz="0" w:space="0" w:color="auto"/>
        <w:right w:val="none" w:sz="0" w:space="0" w:color="auto"/>
      </w:divBdr>
    </w:div>
    <w:div w:id="1104377649">
      <w:bodyDiv w:val="1"/>
      <w:marLeft w:val="0"/>
      <w:marRight w:val="0"/>
      <w:marTop w:val="0"/>
      <w:marBottom w:val="0"/>
      <w:divBdr>
        <w:top w:val="none" w:sz="0" w:space="0" w:color="auto"/>
        <w:left w:val="none" w:sz="0" w:space="0" w:color="auto"/>
        <w:bottom w:val="none" w:sz="0" w:space="0" w:color="auto"/>
        <w:right w:val="none" w:sz="0" w:space="0" w:color="auto"/>
      </w:divBdr>
    </w:div>
    <w:div w:id="1229997213">
      <w:bodyDiv w:val="1"/>
      <w:marLeft w:val="0"/>
      <w:marRight w:val="0"/>
      <w:marTop w:val="0"/>
      <w:marBottom w:val="0"/>
      <w:divBdr>
        <w:top w:val="none" w:sz="0" w:space="0" w:color="auto"/>
        <w:left w:val="none" w:sz="0" w:space="0" w:color="auto"/>
        <w:bottom w:val="none" w:sz="0" w:space="0" w:color="auto"/>
        <w:right w:val="none" w:sz="0" w:space="0" w:color="auto"/>
      </w:divBdr>
    </w:div>
    <w:div w:id="1349260766">
      <w:bodyDiv w:val="1"/>
      <w:marLeft w:val="0"/>
      <w:marRight w:val="0"/>
      <w:marTop w:val="0"/>
      <w:marBottom w:val="0"/>
      <w:divBdr>
        <w:top w:val="none" w:sz="0" w:space="0" w:color="auto"/>
        <w:left w:val="none" w:sz="0" w:space="0" w:color="auto"/>
        <w:bottom w:val="none" w:sz="0" w:space="0" w:color="auto"/>
        <w:right w:val="none" w:sz="0" w:space="0" w:color="auto"/>
      </w:divBdr>
    </w:div>
    <w:div w:id="1469014800">
      <w:bodyDiv w:val="1"/>
      <w:marLeft w:val="0"/>
      <w:marRight w:val="0"/>
      <w:marTop w:val="0"/>
      <w:marBottom w:val="0"/>
      <w:divBdr>
        <w:top w:val="none" w:sz="0" w:space="0" w:color="auto"/>
        <w:left w:val="none" w:sz="0" w:space="0" w:color="auto"/>
        <w:bottom w:val="none" w:sz="0" w:space="0" w:color="auto"/>
        <w:right w:val="none" w:sz="0" w:space="0" w:color="auto"/>
      </w:divBdr>
    </w:div>
    <w:div w:id="1533421190">
      <w:bodyDiv w:val="1"/>
      <w:marLeft w:val="0"/>
      <w:marRight w:val="0"/>
      <w:marTop w:val="0"/>
      <w:marBottom w:val="0"/>
      <w:divBdr>
        <w:top w:val="none" w:sz="0" w:space="0" w:color="auto"/>
        <w:left w:val="none" w:sz="0" w:space="0" w:color="auto"/>
        <w:bottom w:val="none" w:sz="0" w:space="0" w:color="auto"/>
        <w:right w:val="none" w:sz="0" w:space="0" w:color="auto"/>
      </w:divBdr>
    </w:div>
    <w:div w:id="1869639289">
      <w:bodyDiv w:val="1"/>
      <w:marLeft w:val="0"/>
      <w:marRight w:val="0"/>
      <w:marTop w:val="0"/>
      <w:marBottom w:val="0"/>
      <w:divBdr>
        <w:top w:val="none" w:sz="0" w:space="0" w:color="auto"/>
        <w:left w:val="none" w:sz="0" w:space="0" w:color="auto"/>
        <w:bottom w:val="none" w:sz="0" w:space="0" w:color="auto"/>
        <w:right w:val="none" w:sz="0" w:space="0" w:color="auto"/>
      </w:divBdr>
    </w:div>
    <w:div w:id="1885555683">
      <w:bodyDiv w:val="1"/>
      <w:marLeft w:val="0"/>
      <w:marRight w:val="0"/>
      <w:marTop w:val="0"/>
      <w:marBottom w:val="0"/>
      <w:divBdr>
        <w:top w:val="none" w:sz="0" w:space="0" w:color="auto"/>
        <w:left w:val="none" w:sz="0" w:space="0" w:color="auto"/>
        <w:bottom w:val="none" w:sz="0" w:space="0" w:color="auto"/>
        <w:right w:val="none" w:sz="0" w:space="0" w:color="auto"/>
      </w:divBdr>
      <w:divsChild>
        <w:div w:id="1852716455">
          <w:marLeft w:val="0"/>
          <w:marRight w:val="0"/>
          <w:marTop w:val="0"/>
          <w:marBottom w:val="0"/>
          <w:divBdr>
            <w:top w:val="none" w:sz="0" w:space="0" w:color="auto"/>
            <w:left w:val="none" w:sz="0" w:space="0" w:color="auto"/>
            <w:bottom w:val="none" w:sz="0" w:space="0" w:color="auto"/>
            <w:right w:val="none" w:sz="0" w:space="0" w:color="auto"/>
          </w:divBdr>
          <w:divsChild>
            <w:div w:id="878468676">
              <w:marLeft w:val="0"/>
              <w:marRight w:val="0"/>
              <w:marTop w:val="0"/>
              <w:marBottom w:val="0"/>
              <w:divBdr>
                <w:top w:val="none" w:sz="0" w:space="0" w:color="auto"/>
                <w:left w:val="none" w:sz="0" w:space="0" w:color="auto"/>
                <w:bottom w:val="none" w:sz="0" w:space="0" w:color="auto"/>
                <w:right w:val="none" w:sz="0" w:space="0" w:color="auto"/>
              </w:divBdr>
              <w:divsChild>
                <w:div w:id="1974408909">
                  <w:marLeft w:val="0"/>
                  <w:marRight w:val="0"/>
                  <w:marTop w:val="0"/>
                  <w:marBottom w:val="0"/>
                  <w:divBdr>
                    <w:top w:val="none" w:sz="0" w:space="0" w:color="auto"/>
                    <w:left w:val="none" w:sz="0" w:space="0" w:color="auto"/>
                    <w:bottom w:val="none" w:sz="0" w:space="0" w:color="auto"/>
                    <w:right w:val="none" w:sz="0" w:space="0" w:color="auto"/>
                  </w:divBdr>
                  <w:divsChild>
                    <w:div w:id="99977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yperlink" Target="https://nefsc.noaa.gov/saw/trac/" TargetMode="External"/><Relationship Id="rId3" Type="http://schemas.openxmlformats.org/officeDocument/2006/relationships/styles" Target="styles.xml"/><Relationship Id="rId21" Type="http://schemas.openxmlformats.org/officeDocument/2006/relationships/hyperlink" Target="http://www.bio.gc.ca/info/intercol/trac-cert/index-en.php"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yperlink" Target="https://seagrant.unh.edu/cod-population-symposium"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dfo-mpo.gc.ca/fisheries-peches/ifmp-gmp/flounder-limande/2018/index-eng.html" TargetMode="External"/><Relationship Id="rId5" Type="http://schemas.openxmlformats.org/officeDocument/2006/relationships/webSettings" Target="webSettings.xml"/><Relationship Id="rId15" Type="http://schemas.openxmlformats.org/officeDocument/2006/relationships/hyperlink" Target="mailto:csas-sccs@dfo-mpo.gc.ca" TargetMode="External"/><Relationship Id="rId23" Type="http://schemas.openxmlformats.org/officeDocument/2006/relationships/hyperlink" Target="https://www.nefsc.noaa.gov/nefsc/saw/pdfs/2019-aop-docs/nrcc20-process-doc-dec-2018-final.pdf"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dfo-mpo.gc.ca/csas-sccs/" TargetMode="External"/><Relationship Id="rId22" Type="http://schemas.openxmlformats.org/officeDocument/2006/relationships/hyperlink" Target="https://www.nefsc.noaa.gov/saw/trac/2018%20TMGC%20Guidance%20Document_FINAL.pdf" TargetMode="External"/><Relationship Id="rId27" Type="http://schemas.openxmlformats.org/officeDocument/2006/relationships/hyperlink" Target="http://www.bio.gc.ca/info/intercol/trac-cert/index-en.php"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bio.gc.ca/info/intercol/index-en.php"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ndeauI\Desktop\Templates\2014\PRO2014_nnn-e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A919F-8796-44F4-A42B-671BC87D3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PRO2014_nnn-eng.dotx</Template>
  <TotalTime>20</TotalTime>
  <Pages>31</Pages>
  <Words>12636</Words>
  <Characters>67607</Characters>
  <Application>Microsoft Office Word</Application>
  <DocSecurity>0</DocSecurity>
  <Lines>563</Lines>
  <Paragraphs>160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Proceedings template</vt:lpstr>
      <vt:lpstr>Proceedings template</vt:lpstr>
    </vt:vector>
  </TitlesOfParts>
  <Company>DFO</Company>
  <LinksUpToDate>false</LinksUpToDate>
  <CharactersWithSpaces>80083</CharactersWithSpaces>
  <SharedDoc>false</SharedDoc>
  <HLinks>
    <vt:vector size="150" baseType="variant">
      <vt:variant>
        <vt:i4>6553707</vt:i4>
      </vt:variant>
      <vt:variant>
        <vt:i4>126</vt:i4>
      </vt:variant>
      <vt:variant>
        <vt:i4>0</vt:i4>
      </vt:variant>
      <vt:variant>
        <vt:i4>5</vt:i4>
      </vt:variant>
      <vt:variant>
        <vt:lpwstr>http://www.dfo-mpo.gc.ca/Library/333125.pdf</vt:lpwstr>
      </vt:variant>
      <vt:variant>
        <vt:lpwstr/>
      </vt:variant>
      <vt:variant>
        <vt:i4>4325450</vt:i4>
      </vt:variant>
      <vt:variant>
        <vt:i4>123</vt:i4>
      </vt:variant>
      <vt:variant>
        <vt:i4>0</vt:i4>
      </vt:variant>
      <vt:variant>
        <vt:i4>5</vt:i4>
      </vt:variant>
      <vt:variant>
        <vt:lpwstr>http://webaim.org/techniques/alttext/</vt:lpwstr>
      </vt:variant>
      <vt:variant>
        <vt:lpwstr/>
      </vt:variant>
      <vt:variant>
        <vt:i4>655429</vt:i4>
      </vt:variant>
      <vt:variant>
        <vt:i4>120</vt:i4>
      </vt:variant>
      <vt:variant>
        <vt:i4>0</vt:i4>
      </vt:variant>
      <vt:variant>
        <vt:i4>5</vt:i4>
      </vt:variant>
      <vt:variant>
        <vt:lpwstr>http://www.dfo-mpo.gc.ca/</vt:lpwstr>
      </vt:variant>
      <vt:variant>
        <vt:lpwstr/>
      </vt:variant>
      <vt:variant>
        <vt:i4>5505050</vt:i4>
      </vt:variant>
      <vt:variant>
        <vt:i4>117</vt:i4>
      </vt:variant>
      <vt:variant>
        <vt:i4>0</vt:i4>
      </vt:variant>
      <vt:variant>
        <vt:i4>5</vt:i4>
      </vt:variant>
      <vt:variant>
        <vt:lpwstr>http://www.shaunakelly.com/word/styles/tipsonstyles.html</vt:lpwstr>
      </vt:variant>
      <vt:variant>
        <vt:lpwstr/>
      </vt:variant>
      <vt:variant>
        <vt:i4>6881385</vt:i4>
      </vt:variant>
      <vt:variant>
        <vt:i4>114</vt:i4>
      </vt:variant>
      <vt:variant>
        <vt:i4>0</vt:i4>
      </vt:variant>
      <vt:variant>
        <vt:i4>5</vt:i4>
      </vt:variant>
      <vt:variant>
        <vt:lpwstr>http://office.microsoft.com/en-us/word-help/creating-accessible-word-documents-HA101999993.aspx</vt:lpwstr>
      </vt:variant>
      <vt:variant>
        <vt:lpwstr/>
      </vt:variant>
      <vt:variant>
        <vt:i4>6619253</vt:i4>
      </vt:variant>
      <vt:variant>
        <vt:i4>111</vt:i4>
      </vt:variant>
      <vt:variant>
        <vt:i4>0</vt:i4>
      </vt:variant>
      <vt:variant>
        <vt:i4>5</vt:i4>
      </vt:variant>
      <vt:variant>
        <vt:lpwstr>http://www.tbs-sct.gc.ca/ws-nw/wa-aw/index-eng.asp</vt:lpwstr>
      </vt:variant>
      <vt:variant>
        <vt:lpwstr/>
      </vt:variant>
      <vt:variant>
        <vt:i4>4718609</vt:i4>
      </vt:variant>
      <vt:variant>
        <vt:i4>108</vt:i4>
      </vt:variant>
      <vt:variant>
        <vt:i4>0</vt:i4>
      </vt:variant>
      <vt:variant>
        <vt:i4>5</vt:i4>
      </vt:variant>
      <vt:variant>
        <vt:lpwstr>http://www.dfo-mpo.gc.ca/csas-sccs/process-processus/Translation-Traduction-eng.html</vt:lpwstr>
      </vt:variant>
      <vt:variant>
        <vt:lpwstr/>
      </vt:variant>
      <vt:variant>
        <vt:i4>1900600</vt:i4>
      </vt:variant>
      <vt:variant>
        <vt:i4>101</vt:i4>
      </vt:variant>
      <vt:variant>
        <vt:i4>0</vt:i4>
      </vt:variant>
      <vt:variant>
        <vt:i4>5</vt:i4>
      </vt:variant>
      <vt:variant>
        <vt:lpwstr/>
      </vt:variant>
      <vt:variant>
        <vt:lpwstr>_Toc343592195</vt:lpwstr>
      </vt:variant>
      <vt:variant>
        <vt:i4>1900600</vt:i4>
      </vt:variant>
      <vt:variant>
        <vt:i4>95</vt:i4>
      </vt:variant>
      <vt:variant>
        <vt:i4>0</vt:i4>
      </vt:variant>
      <vt:variant>
        <vt:i4>5</vt:i4>
      </vt:variant>
      <vt:variant>
        <vt:lpwstr/>
      </vt:variant>
      <vt:variant>
        <vt:lpwstr>_Toc343592194</vt:lpwstr>
      </vt:variant>
      <vt:variant>
        <vt:i4>1900600</vt:i4>
      </vt:variant>
      <vt:variant>
        <vt:i4>89</vt:i4>
      </vt:variant>
      <vt:variant>
        <vt:i4>0</vt:i4>
      </vt:variant>
      <vt:variant>
        <vt:i4>5</vt:i4>
      </vt:variant>
      <vt:variant>
        <vt:lpwstr/>
      </vt:variant>
      <vt:variant>
        <vt:lpwstr>_Toc343592193</vt:lpwstr>
      </vt:variant>
      <vt:variant>
        <vt:i4>1900600</vt:i4>
      </vt:variant>
      <vt:variant>
        <vt:i4>83</vt:i4>
      </vt:variant>
      <vt:variant>
        <vt:i4>0</vt:i4>
      </vt:variant>
      <vt:variant>
        <vt:i4>5</vt:i4>
      </vt:variant>
      <vt:variant>
        <vt:lpwstr/>
      </vt:variant>
      <vt:variant>
        <vt:lpwstr>_Toc343592192</vt:lpwstr>
      </vt:variant>
      <vt:variant>
        <vt:i4>1900600</vt:i4>
      </vt:variant>
      <vt:variant>
        <vt:i4>77</vt:i4>
      </vt:variant>
      <vt:variant>
        <vt:i4>0</vt:i4>
      </vt:variant>
      <vt:variant>
        <vt:i4>5</vt:i4>
      </vt:variant>
      <vt:variant>
        <vt:lpwstr/>
      </vt:variant>
      <vt:variant>
        <vt:lpwstr>_Toc343592191</vt:lpwstr>
      </vt:variant>
      <vt:variant>
        <vt:i4>1900600</vt:i4>
      </vt:variant>
      <vt:variant>
        <vt:i4>71</vt:i4>
      </vt:variant>
      <vt:variant>
        <vt:i4>0</vt:i4>
      </vt:variant>
      <vt:variant>
        <vt:i4>5</vt:i4>
      </vt:variant>
      <vt:variant>
        <vt:lpwstr/>
      </vt:variant>
      <vt:variant>
        <vt:lpwstr>_Toc343592190</vt:lpwstr>
      </vt:variant>
      <vt:variant>
        <vt:i4>1835064</vt:i4>
      </vt:variant>
      <vt:variant>
        <vt:i4>65</vt:i4>
      </vt:variant>
      <vt:variant>
        <vt:i4>0</vt:i4>
      </vt:variant>
      <vt:variant>
        <vt:i4>5</vt:i4>
      </vt:variant>
      <vt:variant>
        <vt:lpwstr/>
      </vt:variant>
      <vt:variant>
        <vt:lpwstr>_Toc343592189</vt:lpwstr>
      </vt:variant>
      <vt:variant>
        <vt:i4>1835064</vt:i4>
      </vt:variant>
      <vt:variant>
        <vt:i4>59</vt:i4>
      </vt:variant>
      <vt:variant>
        <vt:i4>0</vt:i4>
      </vt:variant>
      <vt:variant>
        <vt:i4>5</vt:i4>
      </vt:variant>
      <vt:variant>
        <vt:lpwstr/>
      </vt:variant>
      <vt:variant>
        <vt:lpwstr>_Toc343592188</vt:lpwstr>
      </vt:variant>
      <vt:variant>
        <vt:i4>1835064</vt:i4>
      </vt:variant>
      <vt:variant>
        <vt:i4>53</vt:i4>
      </vt:variant>
      <vt:variant>
        <vt:i4>0</vt:i4>
      </vt:variant>
      <vt:variant>
        <vt:i4>5</vt:i4>
      </vt:variant>
      <vt:variant>
        <vt:lpwstr/>
      </vt:variant>
      <vt:variant>
        <vt:lpwstr>_Toc343592187</vt:lpwstr>
      </vt:variant>
      <vt:variant>
        <vt:i4>1835064</vt:i4>
      </vt:variant>
      <vt:variant>
        <vt:i4>47</vt:i4>
      </vt:variant>
      <vt:variant>
        <vt:i4>0</vt:i4>
      </vt:variant>
      <vt:variant>
        <vt:i4>5</vt:i4>
      </vt:variant>
      <vt:variant>
        <vt:lpwstr/>
      </vt:variant>
      <vt:variant>
        <vt:lpwstr>_Toc343592186</vt:lpwstr>
      </vt:variant>
      <vt:variant>
        <vt:i4>1835064</vt:i4>
      </vt:variant>
      <vt:variant>
        <vt:i4>41</vt:i4>
      </vt:variant>
      <vt:variant>
        <vt:i4>0</vt:i4>
      </vt:variant>
      <vt:variant>
        <vt:i4>5</vt:i4>
      </vt:variant>
      <vt:variant>
        <vt:lpwstr/>
      </vt:variant>
      <vt:variant>
        <vt:lpwstr>_Toc343592185</vt:lpwstr>
      </vt:variant>
      <vt:variant>
        <vt:i4>1835064</vt:i4>
      </vt:variant>
      <vt:variant>
        <vt:i4>35</vt:i4>
      </vt:variant>
      <vt:variant>
        <vt:i4>0</vt:i4>
      </vt:variant>
      <vt:variant>
        <vt:i4>5</vt:i4>
      </vt:variant>
      <vt:variant>
        <vt:lpwstr/>
      </vt:variant>
      <vt:variant>
        <vt:lpwstr>_Toc343592184</vt:lpwstr>
      </vt:variant>
      <vt:variant>
        <vt:i4>1835064</vt:i4>
      </vt:variant>
      <vt:variant>
        <vt:i4>29</vt:i4>
      </vt:variant>
      <vt:variant>
        <vt:i4>0</vt:i4>
      </vt:variant>
      <vt:variant>
        <vt:i4>5</vt:i4>
      </vt:variant>
      <vt:variant>
        <vt:lpwstr/>
      </vt:variant>
      <vt:variant>
        <vt:lpwstr>_Toc343592183</vt:lpwstr>
      </vt:variant>
      <vt:variant>
        <vt:i4>1835064</vt:i4>
      </vt:variant>
      <vt:variant>
        <vt:i4>23</vt:i4>
      </vt:variant>
      <vt:variant>
        <vt:i4>0</vt:i4>
      </vt:variant>
      <vt:variant>
        <vt:i4>5</vt:i4>
      </vt:variant>
      <vt:variant>
        <vt:lpwstr/>
      </vt:variant>
      <vt:variant>
        <vt:lpwstr>_Toc343592182</vt:lpwstr>
      </vt:variant>
      <vt:variant>
        <vt:i4>1835064</vt:i4>
      </vt:variant>
      <vt:variant>
        <vt:i4>17</vt:i4>
      </vt:variant>
      <vt:variant>
        <vt:i4>0</vt:i4>
      </vt:variant>
      <vt:variant>
        <vt:i4>5</vt:i4>
      </vt:variant>
      <vt:variant>
        <vt:lpwstr/>
      </vt:variant>
      <vt:variant>
        <vt:lpwstr>_Toc343592181</vt:lpwstr>
      </vt:variant>
      <vt:variant>
        <vt:i4>1835064</vt:i4>
      </vt:variant>
      <vt:variant>
        <vt:i4>11</vt:i4>
      </vt:variant>
      <vt:variant>
        <vt:i4>0</vt:i4>
      </vt:variant>
      <vt:variant>
        <vt:i4>5</vt:i4>
      </vt:variant>
      <vt:variant>
        <vt:lpwstr/>
      </vt:variant>
      <vt:variant>
        <vt:lpwstr>_Toc343592180</vt:lpwstr>
      </vt:variant>
      <vt:variant>
        <vt:i4>8126479</vt:i4>
      </vt:variant>
      <vt:variant>
        <vt:i4>3</vt:i4>
      </vt:variant>
      <vt:variant>
        <vt:i4>0</vt:i4>
      </vt:variant>
      <vt:variant>
        <vt:i4>5</vt:i4>
      </vt:variant>
      <vt:variant>
        <vt:lpwstr>mailto:csas-sccs@dfo-mpo.gc.ca</vt:lpwstr>
      </vt:variant>
      <vt:variant>
        <vt:lpwstr/>
      </vt:variant>
      <vt:variant>
        <vt:i4>3473530</vt:i4>
      </vt:variant>
      <vt:variant>
        <vt:i4>0</vt:i4>
      </vt:variant>
      <vt:variant>
        <vt:i4>0</vt:i4>
      </vt:variant>
      <vt:variant>
        <vt:i4>5</vt:i4>
      </vt:variant>
      <vt:variant>
        <vt:lpwstr>http://www.dfo-mpo.gc.ca/csas-sccs/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dc:title>
  <dc:creator>DFO-MPO</dc:creator>
  <cp:keywords>Fisheries and Oceans Canada;Canadian Science Advisory Secretariat;Proceedings</cp:keywords>
  <cp:lastModifiedBy>Smith, Charlotte</cp:lastModifiedBy>
  <cp:revision>4</cp:revision>
  <cp:lastPrinted>2018-07-02T14:29:00Z</cp:lastPrinted>
  <dcterms:created xsi:type="dcterms:W3CDTF">2020-06-25T17:20:00Z</dcterms:created>
  <dcterms:modified xsi:type="dcterms:W3CDTF">2020-06-26T13:58:00Z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RunPrepV4.3.5">
    <vt:lpwstr>09/02/2015 12:37:52 PM</vt:lpwstr>
  </property>
  <property fmtid="{D5CDD505-2E9C-101B-9397-08002B2CF9AE}" pid="4" name="MSIP_Label_1bfb733f-faef-464c-9b6d-731b56f94973_Enabled">
    <vt:lpwstr>true</vt:lpwstr>
  </property>
  <property fmtid="{D5CDD505-2E9C-101B-9397-08002B2CF9AE}" pid="5" name="MSIP_Label_1bfb733f-faef-464c-9b6d-731b56f94973_SetDate">
    <vt:lpwstr>2020-06-09T18:13:19Z</vt:lpwstr>
  </property>
  <property fmtid="{D5CDD505-2E9C-101B-9397-08002B2CF9AE}" pid="6" name="MSIP_Label_1bfb733f-faef-464c-9b6d-731b56f94973_Method">
    <vt:lpwstr>Standard</vt:lpwstr>
  </property>
  <property fmtid="{D5CDD505-2E9C-101B-9397-08002B2CF9AE}" pid="7" name="MSIP_Label_1bfb733f-faef-464c-9b6d-731b56f94973_Name">
    <vt:lpwstr>Unclass - Non-Classifié</vt:lpwstr>
  </property>
  <property fmtid="{D5CDD505-2E9C-101B-9397-08002B2CF9AE}" pid="8" name="MSIP_Label_1bfb733f-faef-464c-9b6d-731b56f94973_SiteId">
    <vt:lpwstr>1594fdae-a1d9-4405-915d-011467234338</vt:lpwstr>
  </property>
  <property fmtid="{D5CDD505-2E9C-101B-9397-08002B2CF9AE}" pid="9" name="MSIP_Label_1bfb733f-faef-464c-9b6d-731b56f94973_ActionId">
    <vt:lpwstr>61f6bf07-b9c8-4716-ac7f-00001e10b077</vt:lpwstr>
  </property>
</Properties>
</file>