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2"/>
        <w:gridCol w:w="4311"/>
      </w:tblGrid>
      <w:tr w:rsidR="00923EFF" w:rsidRPr="00A54B0B">
        <w:tblPrEx>
          <w:tblCellMar>
            <w:top w:w="0" w:type="dxa"/>
            <w:bottom w:w="0" w:type="dxa"/>
          </w:tblCellMar>
        </w:tblPrEx>
        <w:tc>
          <w:tcPr>
            <w:tcW w:w="4752" w:type="dxa"/>
          </w:tcPr>
          <w:p w:rsidR="00923EFF" w:rsidRPr="00A54B0B" w:rsidRDefault="00923EFF" w:rsidP="00793FF2">
            <w:pPr>
              <w:pStyle w:val="Cov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Comptes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rendus</w:t>
            </w:r>
            <w:proofErr w:type="spellEnd"/>
            <w:r w:rsidRPr="00A54B0B">
              <w:rPr>
                <w:b/>
                <w:bCs/>
                <w:sz w:val="20"/>
                <w:szCs w:val="20"/>
              </w:rPr>
              <w:t xml:space="preserve">  20</w:t>
            </w:r>
            <w:r w:rsidR="00B102EB">
              <w:rPr>
                <w:b/>
                <w:bCs/>
                <w:sz w:val="20"/>
                <w:szCs w:val="20"/>
              </w:rPr>
              <w:t>1</w:t>
            </w:r>
            <w:r w:rsidR="00793FF2">
              <w:rPr>
                <w:b/>
                <w:bCs/>
                <w:sz w:val="20"/>
                <w:szCs w:val="20"/>
              </w:rPr>
              <w:t>2</w:t>
            </w:r>
            <w:r w:rsidRPr="00A54B0B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AF68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1" w:type="dxa"/>
          </w:tcPr>
          <w:p w:rsidR="00923EFF" w:rsidRPr="00A54B0B" w:rsidRDefault="00923EFF">
            <w:pPr>
              <w:pStyle w:val="Cov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Proceedings</w:t>
            </w:r>
            <w:r w:rsidRPr="00A54B0B">
              <w:rPr>
                <w:b/>
                <w:bCs/>
                <w:sz w:val="20"/>
                <w:szCs w:val="20"/>
              </w:rPr>
              <w:t xml:space="preserve">  20</w:t>
            </w:r>
            <w:r w:rsidR="00B102EB">
              <w:rPr>
                <w:b/>
                <w:bCs/>
                <w:sz w:val="20"/>
                <w:szCs w:val="20"/>
              </w:rPr>
              <w:t>1</w:t>
            </w:r>
            <w:r w:rsidR="00793FF2">
              <w:rPr>
                <w:b/>
                <w:bCs/>
                <w:sz w:val="20"/>
                <w:szCs w:val="20"/>
              </w:rPr>
              <w:t>2</w:t>
            </w:r>
            <w:r w:rsidRPr="00A54B0B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AF68E6">
              <w:rPr>
                <w:b/>
                <w:bCs/>
                <w:sz w:val="20"/>
                <w:szCs w:val="20"/>
              </w:rPr>
              <w:t>1</w:t>
            </w:r>
          </w:p>
          <w:p w:rsidR="00923EFF" w:rsidRPr="00A54B0B" w:rsidRDefault="00923EFF">
            <w:pPr>
              <w:pStyle w:val="Cover"/>
              <w:rPr>
                <w:b/>
                <w:bCs/>
                <w:sz w:val="20"/>
                <w:szCs w:val="20"/>
              </w:rPr>
            </w:pPr>
          </w:p>
        </w:tc>
      </w:tr>
    </w:tbl>
    <w:p w:rsidR="00923EFF" w:rsidRDefault="00923EFF">
      <w:pPr>
        <w:jc w:val="center"/>
        <w:rPr>
          <w:rFonts w:ascii="Arial" w:hAnsi="Arial" w:cs="Arial"/>
          <w:b/>
        </w:rPr>
      </w:pPr>
    </w:p>
    <w:p w:rsidR="00022A0D" w:rsidRPr="00022A0D" w:rsidRDefault="00022A0D" w:rsidP="00022A0D">
      <w:pPr>
        <w:pStyle w:val="Cover"/>
        <w:jc w:val="center"/>
        <w:rPr>
          <w:b/>
        </w:rPr>
      </w:pPr>
      <w:r w:rsidRPr="00022A0D">
        <w:rPr>
          <w:b/>
        </w:rPr>
        <w:t xml:space="preserve">Proceedings of the </w:t>
      </w:r>
      <w:proofErr w:type="spellStart"/>
      <w:r w:rsidRPr="00022A0D">
        <w:rPr>
          <w:b/>
        </w:rPr>
        <w:t>Transboundary</w:t>
      </w:r>
      <w:proofErr w:type="spellEnd"/>
      <w:r w:rsidRPr="00022A0D">
        <w:rPr>
          <w:b/>
        </w:rPr>
        <w:t xml:space="preserve"> Resources Assessment Committee for</w:t>
      </w:r>
    </w:p>
    <w:p w:rsidR="00022A0D" w:rsidRPr="00022A0D" w:rsidRDefault="00022A0D" w:rsidP="00022A0D">
      <w:pPr>
        <w:pStyle w:val="Cover"/>
        <w:jc w:val="center"/>
        <w:rPr>
          <w:b/>
        </w:rPr>
      </w:pPr>
    </w:p>
    <w:p w:rsidR="00022A0D" w:rsidRPr="00022A0D" w:rsidRDefault="00022A0D" w:rsidP="00022A0D">
      <w:pPr>
        <w:pStyle w:val="Cover"/>
        <w:jc w:val="center"/>
        <w:rPr>
          <w:b/>
        </w:rPr>
      </w:pPr>
      <w:smartTag w:uri="urn:schemas-microsoft-com:office:smarttags" w:element="place">
        <w:r w:rsidRPr="00022A0D">
          <w:rPr>
            <w:b/>
          </w:rPr>
          <w:t>Eastern Georges Bank</w:t>
        </w:r>
      </w:smartTag>
      <w:r w:rsidRPr="00022A0D">
        <w:rPr>
          <w:b/>
        </w:rPr>
        <w:t xml:space="preserve"> Cod and Haddock, and </w:t>
      </w:r>
      <w:smartTag w:uri="urn:schemas-microsoft-com:office:smarttags" w:element="place">
        <w:r w:rsidRPr="00022A0D">
          <w:rPr>
            <w:b/>
          </w:rPr>
          <w:t>Georges Bank</w:t>
        </w:r>
      </w:smartTag>
      <w:r w:rsidRPr="00022A0D">
        <w:rPr>
          <w:b/>
        </w:rPr>
        <w:t xml:space="preserve"> Yellowtail Flounder</w:t>
      </w:r>
    </w:p>
    <w:p w:rsidR="00022A0D" w:rsidRPr="00022A0D" w:rsidRDefault="00022A0D" w:rsidP="00022A0D">
      <w:pPr>
        <w:pStyle w:val="Cover"/>
        <w:jc w:val="center"/>
        <w:rPr>
          <w:b/>
        </w:rPr>
      </w:pPr>
    </w:p>
    <w:p w:rsidR="00022A0D" w:rsidRPr="00022A0D" w:rsidRDefault="00022A0D" w:rsidP="00022A0D">
      <w:pPr>
        <w:pStyle w:val="Cover"/>
        <w:jc w:val="center"/>
        <w:rPr>
          <w:b/>
        </w:rPr>
      </w:pPr>
      <w:r w:rsidRPr="00022A0D">
        <w:rPr>
          <w:b/>
        </w:rPr>
        <w:t>Report of Meeting held</w:t>
      </w:r>
    </w:p>
    <w:p w:rsidR="00022A0D" w:rsidRPr="00022A0D" w:rsidRDefault="00793FF2" w:rsidP="00022A0D">
      <w:pPr>
        <w:pStyle w:val="Cover"/>
        <w:jc w:val="center"/>
        <w:rPr>
          <w:b/>
        </w:rPr>
      </w:pPr>
      <w:r>
        <w:rPr>
          <w:b/>
        </w:rPr>
        <w:t xml:space="preserve">26-29 </w:t>
      </w:r>
      <w:r w:rsidR="00022A0D" w:rsidRPr="00022A0D">
        <w:rPr>
          <w:b/>
        </w:rPr>
        <w:t>June 201</w:t>
      </w:r>
      <w:r>
        <w:rPr>
          <w:b/>
        </w:rPr>
        <w:t>2</w:t>
      </w:r>
    </w:p>
    <w:p w:rsidR="00022A0D" w:rsidRPr="00022A0D" w:rsidRDefault="00022A0D" w:rsidP="00022A0D">
      <w:pPr>
        <w:pStyle w:val="Cover"/>
        <w:jc w:val="center"/>
        <w:rPr>
          <w:b/>
          <w:sz w:val="20"/>
          <w:szCs w:val="20"/>
        </w:rPr>
      </w:pPr>
    </w:p>
    <w:p w:rsidR="00022A0D" w:rsidRPr="00022A0D" w:rsidRDefault="00022A0D" w:rsidP="00022A0D">
      <w:pPr>
        <w:pStyle w:val="Cover"/>
        <w:jc w:val="center"/>
        <w:rPr>
          <w:b/>
          <w:sz w:val="20"/>
          <w:szCs w:val="20"/>
        </w:rPr>
      </w:pPr>
    </w:p>
    <w:p w:rsidR="00022A0D" w:rsidRPr="00022A0D" w:rsidRDefault="00022A0D" w:rsidP="00022A0D">
      <w:pPr>
        <w:pStyle w:val="Cover"/>
        <w:jc w:val="center"/>
        <w:rPr>
          <w:b/>
          <w:sz w:val="20"/>
          <w:szCs w:val="20"/>
        </w:rPr>
      </w:pPr>
      <w:r w:rsidRPr="00022A0D">
        <w:rPr>
          <w:b/>
          <w:sz w:val="20"/>
          <w:szCs w:val="20"/>
        </w:rPr>
        <w:t>Meeting Chairpersons</w:t>
      </w:r>
    </w:p>
    <w:p w:rsidR="00022A0D" w:rsidRPr="00022A0D" w:rsidRDefault="00022A0D" w:rsidP="00022A0D">
      <w:pPr>
        <w:pStyle w:val="Cover"/>
        <w:jc w:val="center"/>
        <w:rPr>
          <w:b/>
          <w:sz w:val="20"/>
          <w:szCs w:val="20"/>
        </w:rPr>
      </w:pPr>
    </w:p>
    <w:p w:rsidR="00022A0D" w:rsidRPr="00022A0D" w:rsidRDefault="00022A0D" w:rsidP="00022A0D">
      <w:pPr>
        <w:pStyle w:val="Cover"/>
        <w:jc w:val="center"/>
        <w:rPr>
          <w:sz w:val="20"/>
          <w:szCs w:val="20"/>
        </w:rPr>
      </w:pPr>
      <w:r w:rsidRPr="00022A0D">
        <w:rPr>
          <w:sz w:val="20"/>
          <w:szCs w:val="20"/>
        </w:rPr>
        <w:t>L. O’Brien</w:t>
      </w:r>
    </w:p>
    <w:p w:rsidR="00022A0D" w:rsidRPr="00022A0D" w:rsidRDefault="00022A0D" w:rsidP="00022A0D">
      <w:pPr>
        <w:pStyle w:val="Cover"/>
        <w:jc w:val="center"/>
        <w:rPr>
          <w:sz w:val="20"/>
          <w:szCs w:val="20"/>
        </w:rPr>
      </w:pPr>
      <w:r w:rsidRPr="00022A0D">
        <w:rPr>
          <w:sz w:val="20"/>
          <w:szCs w:val="20"/>
        </w:rPr>
        <w:t>National Marine Fisheries Service</w:t>
      </w:r>
    </w:p>
    <w:p w:rsidR="00022A0D" w:rsidRPr="00022A0D" w:rsidRDefault="00022A0D" w:rsidP="00022A0D">
      <w:pPr>
        <w:pStyle w:val="Cover"/>
        <w:jc w:val="center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022A0D">
            <w:rPr>
              <w:sz w:val="20"/>
              <w:szCs w:val="20"/>
            </w:rPr>
            <w:t>Northeast</w:t>
          </w:r>
        </w:smartTag>
        <w:r w:rsidRPr="00022A0D">
          <w:rPr>
            <w:sz w:val="20"/>
            <w:szCs w:val="20"/>
          </w:rPr>
          <w:t xml:space="preserve"> </w:t>
        </w:r>
        <w:smartTag w:uri="urn:schemas-microsoft-com:office:smarttags" w:element="PlaceName">
          <w:r w:rsidRPr="00022A0D">
            <w:rPr>
              <w:sz w:val="20"/>
              <w:szCs w:val="20"/>
            </w:rPr>
            <w:t>Fisheries</w:t>
          </w:r>
        </w:smartTag>
        <w:r w:rsidRPr="00022A0D">
          <w:rPr>
            <w:sz w:val="20"/>
            <w:szCs w:val="20"/>
          </w:rPr>
          <w:t xml:space="preserve"> </w:t>
        </w:r>
        <w:smartTag w:uri="urn:schemas-microsoft-com:office:smarttags" w:element="PlaceName">
          <w:r w:rsidRPr="00022A0D">
            <w:rPr>
              <w:sz w:val="20"/>
              <w:szCs w:val="20"/>
            </w:rPr>
            <w:t>Science</w:t>
          </w:r>
        </w:smartTag>
        <w:r w:rsidRPr="00022A0D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022A0D">
            <w:rPr>
              <w:sz w:val="20"/>
              <w:szCs w:val="20"/>
            </w:rPr>
            <w:t>Center</w:t>
          </w:r>
        </w:smartTag>
      </w:smartTag>
    </w:p>
    <w:p w:rsidR="00022A0D" w:rsidRDefault="00022A0D" w:rsidP="00022A0D">
      <w:pPr>
        <w:pStyle w:val="Cover"/>
        <w:jc w:val="center"/>
        <w:rPr>
          <w:sz w:val="20"/>
          <w:szCs w:val="20"/>
        </w:rPr>
      </w:pPr>
      <w:r w:rsidRPr="00022A0D">
        <w:rPr>
          <w:sz w:val="20"/>
          <w:szCs w:val="20"/>
        </w:rPr>
        <w:t xml:space="preserve">Woods </w:t>
      </w:r>
      <w:smartTag w:uri="urn:schemas-microsoft-com:office:smarttags" w:element="City">
        <w:r w:rsidRPr="00022A0D">
          <w:rPr>
            <w:sz w:val="20"/>
            <w:szCs w:val="20"/>
          </w:rPr>
          <w:t>Hole</w:t>
        </w:r>
      </w:smartTag>
      <w:r w:rsidRPr="00022A0D">
        <w:rPr>
          <w:sz w:val="20"/>
          <w:szCs w:val="20"/>
        </w:rPr>
        <w:t xml:space="preserve">, </w:t>
      </w:r>
      <w:smartTag w:uri="urn:schemas-microsoft-com:office:smarttags" w:element="State">
        <w:r w:rsidRPr="00022A0D">
          <w:rPr>
            <w:sz w:val="20"/>
            <w:szCs w:val="20"/>
          </w:rPr>
          <w:t>Massachusetts</w:t>
        </w:r>
      </w:smartTag>
      <w:r w:rsidRPr="00022A0D">
        <w:rPr>
          <w:sz w:val="20"/>
          <w:szCs w:val="20"/>
        </w:rPr>
        <w:t>, USA</w:t>
      </w:r>
    </w:p>
    <w:p w:rsidR="00793FF2" w:rsidRPr="00022A0D" w:rsidRDefault="00793FF2" w:rsidP="00022A0D">
      <w:pPr>
        <w:pStyle w:val="Cover"/>
        <w:jc w:val="center"/>
        <w:rPr>
          <w:sz w:val="20"/>
          <w:szCs w:val="20"/>
        </w:rPr>
      </w:pPr>
    </w:p>
    <w:p w:rsidR="00793FF2" w:rsidRPr="00022A0D" w:rsidRDefault="00793FF2" w:rsidP="00793FF2">
      <w:pPr>
        <w:pStyle w:val="Cover"/>
        <w:jc w:val="center"/>
        <w:rPr>
          <w:sz w:val="20"/>
          <w:szCs w:val="20"/>
        </w:rPr>
      </w:pPr>
      <w:r>
        <w:rPr>
          <w:sz w:val="20"/>
          <w:szCs w:val="20"/>
        </w:rPr>
        <w:t>T. Worcester</w:t>
      </w:r>
    </w:p>
    <w:p w:rsidR="00793FF2" w:rsidRPr="00022A0D" w:rsidRDefault="00793FF2" w:rsidP="00793FF2">
      <w:pPr>
        <w:pStyle w:val="Cover"/>
        <w:jc w:val="center"/>
        <w:rPr>
          <w:sz w:val="20"/>
          <w:szCs w:val="20"/>
        </w:rPr>
      </w:pPr>
      <w:r w:rsidRPr="00022A0D">
        <w:rPr>
          <w:sz w:val="20"/>
          <w:szCs w:val="20"/>
        </w:rPr>
        <w:t xml:space="preserve">Fisheries and Oceans </w:t>
      </w:r>
      <w:smartTag w:uri="urn:schemas-microsoft-com:office:smarttags" w:element="country-region">
        <w:smartTag w:uri="urn:schemas-microsoft-com:office:smarttags" w:element="place">
          <w:r w:rsidRPr="00022A0D">
            <w:rPr>
              <w:sz w:val="20"/>
              <w:szCs w:val="20"/>
            </w:rPr>
            <w:t>Canada</w:t>
          </w:r>
        </w:smartTag>
      </w:smartTag>
    </w:p>
    <w:p w:rsidR="00793FF2" w:rsidRPr="00022A0D" w:rsidRDefault="00793FF2" w:rsidP="00793FF2">
      <w:pPr>
        <w:pStyle w:val="Cover"/>
        <w:jc w:val="center"/>
        <w:rPr>
          <w:sz w:val="20"/>
          <w:szCs w:val="20"/>
        </w:rPr>
      </w:pPr>
      <w:r>
        <w:rPr>
          <w:sz w:val="20"/>
          <w:szCs w:val="20"/>
        </w:rPr>
        <w:t>Bedford Institute of Oceanography</w:t>
      </w:r>
    </w:p>
    <w:p w:rsidR="00793FF2" w:rsidRPr="00022A0D" w:rsidRDefault="00793FF2" w:rsidP="00793FF2">
      <w:pPr>
        <w:pStyle w:val="Cover"/>
        <w:jc w:val="center"/>
        <w:rPr>
          <w:sz w:val="20"/>
          <w:szCs w:val="20"/>
        </w:rPr>
      </w:pPr>
      <w:r>
        <w:rPr>
          <w:sz w:val="20"/>
          <w:szCs w:val="20"/>
        </w:rPr>
        <w:t>Dartmouth, Nova Scotia</w:t>
      </w:r>
      <w:r w:rsidRPr="00022A0D">
        <w:rPr>
          <w:sz w:val="20"/>
          <w:szCs w:val="20"/>
        </w:rPr>
        <w:t>, Canada</w:t>
      </w:r>
    </w:p>
    <w:p w:rsidR="00793FF2" w:rsidRPr="00022A0D" w:rsidRDefault="00793FF2" w:rsidP="00793FF2">
      <w:pPr>
        <w:pStyle w:val="Cover"/>
        <w:jc w:val="center"/>
        <w:rPr>
          <w:sz w:val="20"/>
          <w:szCs w:val="20"/>
        </w:rPr>
      </w:pPr>
    </w:p>
    <w:p w:rsidR="00022A0D" w:rsidRPr="00022A0D" w:rsidRDefault="00022A0D" w:rsidP="00022A0D">
      <w:pPr>
        <w:pStyle w:val="Cover"/>
        <w:jc w:val="center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8"/>
        <w:gridCol w:w="236"/>
        <w:gridCol w:w="4732"/>
      </w:tblGrid>
      <w:tr w:rsidR="00923EFF" w:rsidRPr="009178D5">
        <w:tc>
          <w:tcPr>
            <w:tcW w:w="4608" w:type="dxa"/>
          </w:tcPr>
          <w:p w:rsidR="00923EFF" w:rsidRPr="009178D5" w:rsidRDefault="00AE2C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Toc176669258"/>
            <w:bookmarkStart w:id="1" w:name="_Toc260756997"/>
            <w:bookmarkStart w:id="2" w:name="_Toc269821677"/>
            <w:r w:rsidRPr="009178D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bookmarkEnd w:id="0"/>
            <w:bookmarkEnd w:id="1"/>
            <w:bookmarkEnd w:id="2"/>
          </w:p>
        </w:tc>
        <w:tc>
          <w:tcPr>
            <w:tcW w:w="236" w:type="dxa"/>
          </w:tcPr>
          <w:p w:rsidR="00923EFF" w:rsidRPr="009178D5" w:rsidRDefault="00923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32" w:type="dxa"/>
          </w:tcPr>
          <w:p w:rsidR="00923EFF" w:rsidRPr="009178D5" w:rsidRDefault="00AE2C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Toc77666985"/>
            <w:bookmarkStart w:id="4" w:name="_Toc109526177"/>
            <w:bookmarkStart w:id="5" w:name="_Toc109526313"/>
            <w:bookmarkStart w:id="6" w:name="_Toc109526354"/>
            <w:bookmarkStart w:id="7" w:name="_Toc114289379"/>
            <w:bookmarkStart w:id="8" w:name="_Toc114289683"/>
            <w:bookmarkStart w:id="9" w:name="_Toc114289894"/>
            <w:bookmarkStart w:id="10" w:name="_Toc169502057"/>
            <w:bookmarkStart w:id="11" w:name="_Toc169502209"/>
            <w:bookmarkStart w:id="12" w:name="_Toc170278106"/>
            <w:bookmarkStart w:id="13" w:name="_Toc170278171"/>
            <w:bookmarkStart w:id="14" w:name="_Toc176669259"/>
            <w:bookmarkStart w:id="15" w:name="_Toc231869604"/>
            <w:bookmarkStart w:id="16" w:name="_Toc233456933"/>
            <w:bookmarkStart w:id="17" w:name="_Toc233773590"/>
            <w:bookmarkStart w:id="18" w:name="_Toc233773698"/>
            <w:bookmarkStart w:id="19" w:name="_Toc237939991"/>
            <w:bookmarkStart w:id="20" w:name="_Toc260756998"/>
            <w:bookmarkStart w:id="21" w:name="_Toc269821678"/>
            <w:r w:rsidRPr="009178D5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RÉSUMÉ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  <w:tr w:rsidR="00923EFF" w:rsidRPr="007A6186">
        <w:tc>
          <w:tcPr>
            <w:tcW w:w="4608" w:type="dxa"/>
          </w:tcPr>
          <w:p w:rsidR="00923EFF" w:rsidRPr="007A6186" w:rsidRDefault="0092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923EFF" w:rsidRPr="007A6186" w:rsidRDefault="0092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2" w:type="dxa"/>
          </w:tcPr>
          <w:p w:rsidR="00923EFF" w:rsidRPr="007A6186" w:rsidRDefault="00923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EFF" w:rsidRPr="007A6186">
        <w:tc>
          <w:tcPr>
            <w:tcW w:w="4608" w:type="dxa"/>
          </w:tcPr>
          <w:p w:rsidR="007A6186" w:rsidRPr="007A6186" w:rsidRDefault="007A6186" w:rsidP="007A61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6186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7A6186">
              <w:rPr>
                <w:rFonts w:ascii="Arial" w:hAnsi="Arial" w:cs="Arial"/>
                <w:sz w:val="20"/>
                <w:szCs w:val="20"/>
              </w:rPr>
              <w:t>Transboundary</w:t>
            </w:r>
            <w:proofErr w:type="spellEnd"/>
            <w:r w:rsidRPr="007A6186">
              <w:rPr>
                <w:rFonts w:ascii="Arial" w:hAnsi="Arial" w:cs="Arial"/>
                <w:sz w:val="20"/>
                <w:szCs w:val="20"/>
              </w:rPr>
              <w:t xml:space="preserve"> Resources Assessment Committee (</w:t>
            </w:r>
            <w:smartTag w:uri="urn:schemas-microsoft-com:office:smarttags" w:element="stockticker">
              <w:r w:rsidRPr="007A6186">
                <w:rPr>
                  <w:rFonts w:ascii="Arial" w:hAnsi="Arial" w:cs="Arial"/>
                  <w:sz w:val="20"/>
                  <w:szCs w:val="20"/>
                </w:rPr>
                <w:t>TRAC</w:t>
              </w:r>
            </w:smartTag>
            <w:r w:rsidRPr="007A6186">
              <w:rPr>
                <w:rFonts w:ascii="Arial" w:hAnsi="Arial" w:cs="Arial"/>
                <w:sz w:val="20"/>
                <w:szCs w:val="20"/>
              </w:rPr>
              <w:t>) met during 26-29 June 2012 in Woods Ho</w:t>
            </w:r>
            <w:bookmarkStart w:id="22" w:name="_GoBack"/>
            <w:bookmarkEnd w:id="22"/>
            <w:r w:rsidRPr="007A6186">
              <w:rPr>
                <w:rFonts w:ascii="Arial" w:hAnsi="Arial" w:cs="Arial"/>
                <w:sz w:val="20"/>
                <w:szCs w:val="20"/>
              </w:rPr>
              <w:t xml:space="preserve">le, Massachusetts, </w:t>
            </w:r>
            <w:proofErr w:type="gramStart"/>
            <w:r w:rsidRPr="007A6186">
              <w:rPr>
                <w:rFonts w:ascii="Arial" w:hAnsi="Arial" w:cs="Arial"/>
                <w:sz w:val="20"/>
                <w:szCs w:val="20"/>
              </w:rPr>
              <w:t>USA</w:t>
            </w:r>
            <w:proofErr w:type="gramEnd"/>
            <w:r w:rsidRPr="007A6186">
              <w:rPr>
                <w:rFonts w:ascii="Arial" w:hAnsi="Arial" w:cs="Arial"/>
                <w:sz w:val="20"/>
                <w:szCs w:val="20"/>
              </w:rPr>
              <w:t xml:space="preserve">, to review updated assessments (through 2011) of Eastern Georges Bank cod, Eastern Georges Bank haddock, and Georges Bank yellowtail flounder and to consider a number of related scientific issues. Results of these assessments will be used by the </w:t>
            </w:r>
            <w:proofErr w:type="spellStart"/>
            <w:r w:rsidRPr="007A6186">
              <w:rPr>
                <w:rFonts w:ascii="Arial" w:hAnsi="Arial" w:cs="Arial"/>
                <w:sz w:val="20"/>
                <w:szCs w:val="20"/>
              </w:rPr>
              <w:t>Transboundary</w:t>
            </w:r>
            <w:proofErr w:type="spellEnd"/>
            <w:r w:rsidRPr="007A6186">
              <w:rPr>
                <w:rFonts w:ascii="Arial" w:hAnsi="Arial" w:cs="Arial"/>
                <w:sz w:val="20"/>
                <w:szCs w:val="20"/>
              </w:rPr>
              <w:t xml:space="preserve"> Management Guidance Committee (TMGC) in developing management guidance for the 2013 fishing year for these </w:t>
            </w:r>
            <w:proofErr w:type="spellStart"/>
            <w:r w:rsidRPr="007A6186">
              <w:rPr>
                <w:rFonts w:ascii="Arial" w:hAnsi="Arial" w:cs="Arial"/>
                <w:sz w:val="20"/>
                <w:szCs w:val="20"/>
              </w:rPr>
              <w:t>transboundary</w:t>
            </w:r>
            <w:proofErr w:type="spellEnd"/>
            <w:r w:rsidRPr="007A6186">
              <w:rPr>
                <w:rFonts w:ascii="Arial" w:hAnsi="Arial" w:cs="Arial"/>
                <w:sz w:val="20"/>
                <w:szCs w:val="20"/>
              </w:rPr>
              <w:t xml:space="preserve"> resources.</w:t>
            </w:r>
          </w:p>
          <w:p w:rsidR="00923EFF" w:rsidRPr="007A6186" w:rsidRDefault="00923E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923EFF" w:rsidRPr="007A6186" w:rsidRDefault="0092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2" w:type="dxa"/>
          </w:tcPr>
          <w:p w:rsidR="007A6186" w:rsidRPr="007A6186" w:rsidRDefault="007A6186" w:rsidP="007A61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A6186">
              <w:rPr>
                <w:rFonts w:ascii="Arial" w:hAnsi="Arial" w:cs="Arial"/>
                <w:sz w:val="20"/>
                <w:szCs w:val="20"/>
                <w:lang w:val="fr-FR"/>
              </w:rPr>
              <w:t xml:space="preserve">Le Comité d’évaluation des ressources transfrontalières (CERT) s’est réuni du 26 au 29 juin 2012 à </w:t>
            </w:r>
            <w:proofErr w:type="spellStart"/>
            <w:r w:rsidRPr="007A6186">
              <w:rPr>
                <w:rFonts w:ascii="Arial" w:hAnsi="Arial" w:cs="Arial"/>
                <w:sz w:val="20"/>
                <w:szCs w:val="20"/>
                <w:lang w:val="fr-FR"/>
              </w:rPr>
              <w:t>Woods</w:t>
            </w:r>
            <w:proofErr w:type="spellEnd"/>
            <w:r w:rsidRPr="007A618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6186">
              <w:rPr>
                <w:rFonts w:ascii="Arial" w:hAnsi="Arial" w:cs="Arial"/>
                <w:sz w:val="20"/>
                <w:szCs w:val="20"/>
                <w:lang w:val="fr-FR"/>
              </w:rPr>
              <w:t>Hole</w:t>
            </w:r>
            <w:proofErr w:type="spellEnd"/>
            <w:r w:rsidRPr="007A6186">
              <w:rPr>
                <w:rFonts w:ascii="Arial" w:hAnsi="Arial" w:cs="Arial"/>
                <w:sz w:val="20"/>
                <w:szCs w:val="20"/>
                <w:lang w:val="fr-FR"/>
              </w:rPr>
              <w:t xml:space="preserve"> (Massachusetts), aux États-Unis, pour examiner les évaluations actualisées (jusqu’en 2011) concernant la morue de l’est du banc Georges, l’aiglefin de l’est du banc Georges et la limande à queue jaune du banc Georges, et pour étudier diverses questions</w:t>
            </w:r>
            <w:r w:rsidRPr="007A618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7A6186">
              <w:rPr>
                <w:rFonts w:ascii="Arial" w:hAnsi="Arial" w:cs="Arial"/>
                <w:sz w:val="20"/>
                <w:szCs w:val="20"/>
                <w:lang w:val="fr-FR"/>
              </w:rPr>
              <w:t>scientifiques connexes. Les résultats de ces évaluations seront utilisés par le Comité l’orientation de la gestion des stocks transfrontaliers (COGST) pour formuler un avis sur l’orientation à donner à la gestion de ces ressources transfrontalières pour l’année de pêche 2013.</w:t>
            </w:r>
          </w:p>
          <w:p w:rsidR="00923EFF" w:rsidRPr="007A6186" w:rsidRDefault="00923EFF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9178D5" w:rsidRPr="007A6186" w:rsidRDefault="009178D5">
      <w:pPr>
        <w:rPr>
          <w:lang w:val="fr-CA"/>
        </w:rPr>
      </w:pPr>
    </w:p>
    <w:sectPr w:rsidR="009178D5" w:rsidRPr="007A618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080" w:left="144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6186">
      <w:r>
        <w:separator/>
      </w:r>
    </w:p>
  </w:endnote>
  <w:endnote w:type="continuationSeparator" w:id="0">
    <w:p w:rsidR="00000000" w:rsidRDefault="007A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0D" w:rsidRDefault="00022A0D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2" w:type="dxa"/>
      <w:tblInd w:w="81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536"/>
      <w:gridCol w:w="243"/>
      <w:gridCol w:w="4743"/>
    </w:tblGrid>
    <w:tr w:rsidR="00022A0D" w:rsidRPr="000004FB">
      <w:tblPrEx>
        <w:tblCellMar>
          <w:top w:w="0" w:type="dxa"/>
          <w:bottom w:w="0" w:type="dxa"/>
        </w:tblCellMar>
      </w:tblPrEx>
      <w:tc>
        <w:tcPr>
          <w:tcW w:w="4536" w:type="dxa"/>
          <w:tcBorders>
            <w:top w:val="single" w:sz="4" w:space="0" w:color="auto"/>
          </w:tcBorders>
        </w:tcPr>
        <w:p w:rsidR="00022A0D" w:rsidRPr="000004FB" w:rsidRDefault="00022A0D">
          <w:pPr>
            <w:pStyle w:val="Footer"/>
            <w:rPr>
              <w:spacing w:val="-3"/>
            </w:rPr>
          </w:pPr>
        </w:p>
        <w:p w:rsidR="00022A0D" w:rsidRPr="000004FB" w:rsidRDefault="00793FF2">
          <w:pPr>
            <w:pStyle w:val="Footer"/>
            <w:rPr>
              <w:spacing w:val="-3"/>
            </w:rPr>
          </w:pPr>
          <w:r>
            <w:rPr>
              <w:noProof/>
            </w:rPr>
            <w:drawing>
              <wp:inline distT="0" distB="0" distL="0" distR="0">
                <wp:extent cx="796925" cy="184785"/>
                <wp:effectExtent l="0" t="0" r="3175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" w:type="dxa"/>
          <w:tcBorders>
            <w:top w:val="single" w:sz="4" w:space="0" w:color="auto"/>
          </w:tcBorders>
        </w:tcPr>
        <w:p w:rsidR="00022A0D" w:rsidRPr="000004FB" w:rsidRDefault="00022A0D">
          <w:pPr>
            <w:pStyle w:val="Footer"/>
            <w:jc w:val="center"/>
            <w:rPr>
              <w:spacing w:val="-3"/>
            </w:rPr>
          </w:pPr>
        </w:p>
        <w:p w:rsidR="00022A0D" w:rsidRPr="000004FB" w:rsidRDefault="00022A0D">
          <w:pPr>
            <w:pStyle w:val="Footer"/>
            <w:jc w:val="center"/>
            <w:rPr>
              <w:spacing w:val="-3"/>
            </w:rPr>
          </w:pPr>
        </w:p>
      </w:tc>
      <w:tc>
        <w:tcPr>
          <w:tcW w:w="4743" w:type="dxa"/>
          <w:tcBorders>
            <w:top w:val="single" w:sz="4" w:space="0" w:color="auto"/>
          </w:tcBorders>
        </w:tcPr>
        <w:p w:rsidR="00022A0D" w:rsidRPr="000004FB" w:rsidRDefault="00793FF2">
          <w:pPr>
            <w:pStyle w:val="Footer"/>
            <w:jc w:val="right"/>
            <w:rPr>
              <w:spacing w:val="-3"/>
            </w:rPr>
          </w:pPr>
          <w:r>
            <w:rPr>
              <w:noProof/>
              <w:spacing w:val="-3"/>
            </w:rPr>
            <w:drawing>
              <wp:inline distT="0" distB="0" distL="0" distR="0">
                <wp:extent cx="386080" cy="377190"/>
                <wp:effectExtent l="0" t="0" r="0" b="381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08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22A0D" w:rsidRDefault="00022A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A6186">
      <w:r>
        <w:separator/>
      </w:r>
    </w:p>
  </w:footnote>
  <w:footnote w:type="continuationSeparator" w:id="0">
    <w:p w:rsidR="00000000" w:rsidRDefault="007A6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A0D" w:rsidRDefault="00022A0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6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752"/>
      <w:gridCol w:w="18"/>
      <w:gridCol w:w="4293"/>
    </w:tblGrid>
    <w:tr w:rsidR="00022A0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752" w:type="dxa"/>
        </w:tcPr>
        <w:p w:rsidR="00022A0D" w:rsidRDefault="00022A0D">
          <w:pPr>
            <w:pStyle w:val="Header"/>
            <w:rPr>
              <w:b/>
              <w:bCs/>
            </w:rPr>
          </w:pPr>
          <w:r>
            <w:object w:dxaOrig="4769" w:dyaOrig="44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1.3pt;height:21.15pt" o:ole="" fillcolor="window">
                <v:imagedata r:id="rId1" o:title=""/>
              </v:shape>
              <o:OLEObject Type="Embed" ProgID="Word.Picture.8" ShapeID="_x0000_i1025" DrawAspect="Content" ObjectID="_1429519552" r:id="rId2"/>
            </w:object>
          </w:r>
        </w:p>
      </w:tc>
      <w:tc>
        <w:tcPr>
          <w:tcW w:w="4311" w:type="dxa"/>
          <w:gridSpan w:val="2"/>
        </w:tcPr>
        <w:p w:rsidR="00022A0D" w:rsidRDefault="00793FF2">
          <w:pPr>
            <w:pStyle w:val="Header"/>
            <w:jc w:val="right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>
                <wp:extent cx="2726690" cy="268605"/>
                <wp:effectExtent l="0" t="0" r="0" b="0"/>
                <wp:docPr id="2" name="Picture 2" descr="fixed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xed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669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2A0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770" w:type="dxa"/>
          <w:gridSpan w:val="2"/>
        </w:tcPr>
        <w:p w:rsidR="00022A0D" w:rsidRDefault="00022A0D">
          <w:pPr>
            <w:pStyle w:val="Header"/>
            <w:rPr>
              <w:rFonts w:ascii="Arial" w:hAnsi="Arial" w:cs="Arial"/>
              <w:b/>
              <w:bCs/>
              <w:sz w:val="22"/>
              <w:szCs w:val="22"/>
            </w:rPr>
          </w:pPr>
        </w:p>
        <w:p w:rsidR="00022A0D" w:rsidRDefault="00022A0D">
          <w:pPr>
            <w:pStyle w:val="Header"/>
            <w:rPr>
              <w:rFonts w:ascii="Arial" w:hAnsi="Arial" w:cs="Arial"/>
              <w:b/>
              <w:bCs/>
              <w:i/>
              <w:iCs/>
              <w:sz w:val="30"/>
              <w:szCs w:val="30"/>
              <w:lang w:val="fr-CA"/>
            </w:rPr>
          </w:pPr>
          <w:smartTag w:uri="urn:schemas-microsoft-com:office:smarttags" w:element="stockticker">
            <w:r>
              <w:rPr>
                <w:rFonts w:ascii="Arial" w:hAnsi="Arial" w:cs="Arial"/>
                <w:b/>
                <w:bCs/>
                <w:i/>
                <w:iCs/>
                <w:sz w:val="30"/>
                <w:szCs w:val="30"/>
                <w:lang w:val="fr-CA"/>
              </w:rPr>
              <w:t>CERT</w:t>
            </w:r>
          </w:smartTag>
        </w:p>
        <w:p w:rsidR="00022A0D" w:rsidRDefault="00022A0D">
          <w:pPr>
            <w:pStyle w:val="Header"/>
            <w:rPr>
              <w:rFonts w:ascii="Arial" w:hAnsi="Arial" w:cs="Arial"/>
              <w:b/>
              <w:bCs/>
              <w:sz w:val="22"/>
              <w:szCs w:val="22"/>
              <w:lang w:val="fr-CA"/>
            </w:rPr>
          </w:pPr>
        </w:p>
        <w:p w:rsidR="00022A0D" w:rsidRDefault="00022A0D">
          <w:pPr>
            <w:pStyle w:val="Header"/>
            <w:tabs>
              <w:tab w:val="clear" w:pos="4320"/>
              <w:tab w:val="center" w:pos="4428"/>
            </w:tabs>
            <w:rPr>
              <w:rFonts w:ascii="Arial" w:hAnsi="Arial" w:cs="Arial"/>
              <w:b/>
              <w:bCs/>
              <w:sz w:val="22"/>
              <w:szCs w:val="22"/>
              <w:lang w:val="fr-CA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fr-CA"/>
            </w:rPr>
            <w:t>Comité d'évaluation des</w:t>
          </w:r>
        </w:p>
        <w:p w:rsidR="00022A0D" w:rsidRDefault="00022A0D">
          <w:pPr>
            <w:pStyle w:val="Header"/>
            <w:rPr>
              <w:rFonts w:ascii="Arial" w:hAnsi="Arial" w:cs="Arial"/>
              <w:b/>
              <w:bCs/>
              <w:sz w:val="22"/>
              <w:szCs w:val="22"/>
              <w:lang w:val="fr-CA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fr-CA"/>
            </w:rPr>
            <w:t xml:space="preserve">ressources transfrontalières </w:t>
          </w:r>
        </w:p>
      </w:tc>
      <w:tc>
        <w:tcPr>
          <w:tcW w:w="4293" w:type="dxa"/>
        </w:tcPr>
        <w:p w:rsidR="00022A0D" w:rsidRDefault="00022A0D">
          <w:pPr>
            <w:pStyle w:val="Header"/>
            <w:rPr>
              <w:rFonts w:ascii="Arial" w:hAnsi="Arial" w:cs="Arial"/>
              <w:b/>
              <w:bCs/>
              <w:sz w:val="22"/>
              <w:szCs w:val="22"/>
              <w:lang w:val="fr-CA"/>
            </w:rPr>
          </w:pPr>
        </w:p>
        <w:p w:rsidR="00022A0D" w:rsidRDefault="00022A0D">
          <w:pPr>
            <w:pStyle w:val="Header"/>
            <w:rPr>
              <w:rFonts w:ascii="Arial" w:hAnsi="Arial" w:cs="Arial"/>
              <w:b/>
              <w:bCs/>
              <w:i/>
              <w:iCs/>
              <w:sz w:val="30"/>
              <w:szCs w:val="30"/>
            </w:rPr>
          </w:pPr>
          <w:smartTag w:uri="urn:schemas-microsoft-com:office:smarttags" w:element="stockticker">
            <w:r>
              <w:rPr>
                <w:rFonts w:ascii="Arial" w:hAnsi="Arial" w:cs="Arial"/>
                <w:b/>
                <w:bCs/>
                <w:i/>
                <w:iCs/>
                <w:sz w:val="30"/>
                <w:szCs w:val="30"/>
              </w:rPr>
              <w:t>TRAC</w:t>
            </w:r>
          </w:smartTag>
        </w:p>
        <w:p w:rsidR="00022A0D" w:rsidRDefault="00022A0D">
          <w:pPr>
            <w:pStyle w:val="Header"/>
            <w:rPr>
              <w:rFonts w:ascii="Arial" w:hAnsi="Arial" w:cs="Arial"/>
              <w:b/>
              <w:bCs/>
              <w:sz w:val="22"/>
              <w:szCs w:val="22"/>
            </w:rPr>
          </w:pPr>
        </w:p>
        <w:p w:rsidR="00022A0D" w:rsidRDefault="00022A0D">
          <w:pPr>
            <w:pStyle w:val="Header"/>
            <w:rPr>
              <w:rFonts w:ascii="Arial" w:hAnsi="Arial" w:cs="Arial"/>
              <w:b/>
              <w:bCs/>
              <w:sz w:val="22"/>
              <w:szCs w:val="22"/>
            </w:rPr>
          </w:pPr>
          <w:proofErr w:type="spellStart"/>
          <w:r>
            <w:rPr>
              <w:rFonts w:ascii="Arial" w:hAnsi="Arial" w:cs="Arial"/>
              <w:b/>
              <w:bCs/>
              <w:sz w:val="22"/>
              <w:szCs w:val="22"/>
            </w:rPr>
            <w:t>Transboundary</w:t>
          </w:r>
          <w:proofErr w:type="spellEnd"/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Resources</w:t>
          </w:r>
        </w:p>
        <w:p w:rsidR="00022A0D" w:rsidRDefault="00022A0D">
          <w:pPr>
            <w:pStyle w:val="Header"/>
            <w:rPr>
              <w:rFonts w:ascii="Arial" w:hAnsi="Arial" w:cs="Arial"/>
              <w:b/>
              <w:bCs/>
              <w:sz w:val="12"/>
              <w:szCs w:val="1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Assessment Committee</w:t>
          </w:r>
        </w:p>
      </w:tc>
    </w:tr>
  </w:tbl>
  <w:p w:rsidR="00022A0D" w:rsidRDefault="00022A0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0468"/>
    <w:multiLevelType w:val="hybridMultilevel"/>
    <w:tmpl w:val="0F3CE0D8"/>
    <w:lvl w:ilvl="0" w:tplc="34A051D6">
      <w:start w:val="2543"/>
      <w:numFmt w:val="decimalZero"/>
      <w:lvlText w:val="%1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2C"/>
    <w:rsid w:val="00022A0D"/>
    <w:rsid w:val="004F1DC9"/>
    <w:rsid w:val="005C5F8F"/>
    <w:rsid w:val="00793FF2"/>
    <w:rsid w:val="007A6186"/>
    <w:rsid w:val="009178D5"/>
    <w:rsid w:val="00923EFF"/>
    <w:rsid w:val="009F4B84"/>
    <w:rsid w:val="00A6132C"/>
    <w:rsid w:val="00AE2C82"/>
    <w:rsid w:val="00AF68E6"/>
    <w:rsid w:val="00B102EB"/>
    <w:rsid w:val="00C64344"/>
    <w:rsid w:val="00CE2FCB"/>
    <w:rsid w:val="00DD2920"/>
    <w:rsid w:val="00E169B8"/>
    <w:rsid w:val="00FA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Heading1TimesNewRoman">
    <w:name w:val="Style Heading 1 + Times New Roman"/>
    <w:basedOn w:val="Heading1"/>
    <w:pPr>
      <w:spacing w:before="280" w:after="240"/>
      <w:jc w:val="center"/>
    </w:pPr>
    <w:rPr>
      <w:rFonts w:ascii="Times New Roman" w:hAnsi="Times New Roman" w:cs="Times New Roman"/>
      <w:kern w:val="0"/>
      <w:sz w:val="28"/>
      <w:szCs w:val="20"/>
      <w:lang w:val="en-US" w:eastAsia="en-US"/>
    </w:rPr>
  </w:style>
  <w:style w:type="paragraph" w:customStyle="1" w:styleId="StyleBodyTextTimesNewRoman">
    <w:name w:val="Style Body Text + Times New Roman"/>
    <w:basedOn w:val="BodyText"/>
    <w:rPr>
      <w:szCs w:val="20"/>
      <w:lang w:val="en-US"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54">
    <w:name w:val="CM54"/>
    <w:basedOn w:val="Default"/>
    <w:next w:val="Default"/>
    <w:pPr>
      <w:spacing w:after="255"/>
    </w:pPr>
    <w:rPr>
      <w:color w:val="auto"/>
    </w:rPr>
  </w:style>
  <w:style w:type="paragraph" w:styleId="BodyText">
    <w:name w:val="Body Text"/>
    <w:basedOn w:val="Normal"/>
    <w:pPr>
      <w:spacing w:after="120"/>
    </w:pPr>
  </w:style>
  <w:style w:type="paragraph" w:customStyle="1" w:styleId="Cover">
    <w:name w:val="Cover"/>
    <w:basedOn w:val="Normal"/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E2C82"/>
    <w:rPr>
      <w:rFonts w:ascii="Arial" w:hAnsi="Arial" w:cs="Arial"/>
      <w:b/>
      <w:bCs/>
      <w:kern w:val="32"/>
      <w:sz w:val="32"/>
      <w:szCs w:val="32"/>
      <w:lang w:val="en-CA" w:eastAsia="en-C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Heading1TimesNewRoman">
    <w:name w:val="Style Heading 1 + Times New Roman"/>
    <w:basedOn w:val="Heading1"/>
    <w:pPr>
      <w:spacing w:before="280" w:after="240"/>
      <w:jc w:val="center"/>
    </w:pPr>
    <w:rPr>
      <w:rFonts w:ascii="Times New Roman" w:hAnsi="Times New Roman" w:cs="Times New Roman"/>
      <w:kern w:val="0"/>
      <w:sz w:val="28"/>
      <w:szCs w:val="20"/>
      <w:lang w:val="en-US" w:eastAsia="en-US"/>
    </w:rPr>
  </w:style>
  <w:style w:type="paragraph" w:customStyle="1" w:styleId="StyleBodyTextTimesNewRoman">
    <w:name w:val="Style Body Text + Times New Roman"/>
    <w:basedOn w:val="BodyText"/>
    <w:rPr>
      <w:szCs w:val="20"/>
      <w:lang w:val="en-US"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54">
    <w:name w:val="CM54"/>
    <w:basedOn w:val="Default"/>
    <w:next w:val="Default"/>
    <w:pPr>
      <w:spacing w:after="255"/>
    </w:pPr>
    <w:rPr>
      <w:color w:val="auto"/>
    </w:rPr>
  </w:style>
  <w:style w:type="paragraph" w:styleId="BodyText">
    <w:name w:val="Body Text"/>
    <w:basedOn w:val="Normal"/>
    <w:pPr>
      <w:spacing w:after="120"/>
    </w:pPr>
  </w:style>
  <w:style w:type="paragraph" w:customStyle="1" w:styleId="Cover">
    <w:name w:val="Cover"/>
    <w:basedOn w:val="Normal"/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E2C82"/>
    <w:rPr>
      <w:rFonts w:ascii="Arial" w:hAnsi="Arial" w:cs="Arial"/>
      <w:b/>
      <w:bCs/>
      <w:kern w:val="32"/>
      <w:sz w:val="32"/>
      <w:szCs w:val="32"/>
      <w:lang w:val="en-CA" w:eastAsia="en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Canadian Stock Assessment Secretariat</vt:lpstr>
    </vt:vector>
  </TitlesOfParts>
  <Company>DFO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Stock Assessment Secretariat</dc:title>
  <dc:creator>MyraV</dc:creator>
  <cp:lastModifiedBy>DFO-MPO</cp:lastModifiedBy>
  <cp:revision>2</cp:revision>
  <cp:lastPrinted>2006-07-13T15:08:00Z</cp:lastPrinted>
  <dcterms:created xsi:type="dcterms:W3CDTF">2013-05-08T14:59:00Z</dcterms:created>
  <dcterms:modified xsi:type="dcterms:W3CDTF">2013-05-08T14:59:00Z</dcterms:modified>
</cp:coreProperties>
</file>