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84A" w:rsidRPr="003276AF" w:rsidRDefault="00FA1484" w:rsidP="003276AF">
      <w:pPr>
        <w:pStyle w:val="Heading1"/>
      </w:pPr>
      <w:r w:rsidRPr="003276AF">
        <w:t xml:space="preserve">Cadre de </w:t>
      </w:r>
      <w:proofErr w:type="spellStart"/>
      <w:r w:rsidRPr="003276AF">
        <w:t>référence</w:t>
      </w:r>
      <w:proofErr w:type="spellEnd"/>
    </w:p>
    <w:p w:rsidR="0095484A" w:rsidRPr="00210087" w:rsidRDefault="00210087" w:rsidP="00210087">
      <w:pPr>
        <w:pStyle w:val="Heading2"/>
        <w:rPr>
          <w:lang w:val="fr-FR"/>
        </w:rPr>
      </w:pPr>
      <w:r w:rsidRPr="00210087">
        <w:rPr>
          <w:lang w:val="fr-FR"/>
        </w:rPr>
        <w:t>Rapport du Comité d'évaluation des ressources transfrontalières (CERT</w:t>
      </w:r>
      <w:proofErr w:type="gramStart"/>
      <w:r w:rsidRPr="00210087">
        <w:rPr>
          <w:lang w:val="fr-FR"/>
        </w:rPr>
        <w:t>)</w:t>
      </w:r>
      <w:proofErr w:type="gramEnd"/>
      <w:r>
        <w:rPr>
          <w:lang w:val="fr-FR"/>
        </w:rPr>
        <w:br/>
      </w:r>
      <w:r w:rsidRPr="00210087">
        <w:rPr>
          <w:lang w:val="fr-FR"/>
        </w:rPr>
        <w:t>Évaluation de la morue et de l'aiglefin de l'est du banc de Georges et de</w:t>
      </w:r>
      <w:r>
        <w:rPr>
          <w:lang w:val="fr-FR"/>
        </w:rPr>
        <w:br/>
      </w:r>
      <w:r w:rsidRPr="00210087">
        <w:rPr>
          <w:lang w:val="fr-FR"/>
        </w:rPr>
        <w:t>la limande à queue jaune du banc de Georges</w:t>
      </w:r>
    </w:p>
    <w:p w:rsidR="0095484A" w:rsidRPr="003276AF" w:rsidRDefault="00210087" w:rsidP="003276AF">
      <w:pPr>
        <w:pStyle w:val="BodyText"/>
        <w:rPr>
          <w:b/>
          <w:lang w:val="fr-CA"/>
        </w:rPr>
      </w:pPr>
      <w:r w:rsidRPr="00210087">
        <w:rPr>
          <w:b/>
          <w:lang w:val="fr-CA"/>
        </w:rPr>
        <w:t>Du 7 au 9 juillet 2015</w:t>
      </w:r>
      <w:r w:rsidR="007075CF" w:rsidRPr="003276AF">
        <w:rPr>
          <w:b/>
          <w:lang w:val="fr-CA"/>
        </w:rPr>
        <w:br/>
      </w:r>
      <w:r>
        <w:rPr>
          <w:b/>
          <w:lang w:val="fr-CA"/>
        </w:rPr>
        <w:t>St. Andrews (N.-B.)</w:t>
      </w:r>
      <w:r>
        <w:rPr>
          <w:b/>
          <w:lang w:val="fr-CA"/>
        </w:rPr>
        <w:br/>
        <w:t>Canada</w:t>
      </w:r>
    </w:p>
    <w:p w:rsidR="0095484A" w:rsidRPr="00DE49D4" w:rsidRDefault="0095484A" w:rsidP="003276AF">
      <w:pPr>
        <w:pStyle w:val="BodyText"/>
        <w:rPr>
          <w:lang w:val="fr-CA"/>
        </w:rPr>
      </w:pPr>
      <w:r w:rsidRPr="00DE49D4">
        <w:rPr>
          <w:lang w:val="fr-CA"/>
        </w:rPr>
        <w:t>Président</w:t>
      </w:r>
      <w:r w:rsidR="00210087">
        <w:rPr>
          <w:lang w:val="fr-CA"/>
        </w:rPr>
        <w:t>s</w:t>
      </w:r>
      <w:r w:rsidRPr="00DE49D4">
        <w:rPr>
          <w:lang w:val="fr-CA"/>
        </w:rPr>
        <w:t> :</w:t>
      </w:r>
      <w:r w:rsidR="00210087">
        <w:rPr>
          <w:lang w:val="fr-CA"/>
        </w:rPr>
        <w:t xml:space="preserve"> Liz Brooks (É.-U.</w:t>
      </w:r>
      <w:bookmarkStart w:id="0" w:name="_GoBack"/>
      <w:bookmarkEnd w:id="0"/>
      <w:r w:rsidR="00210087">
        <w:rPr>
          <w:lang w:val="fr-CA"/>
        </w:rPr>
        <w:t xml:space="preserve">) </w:t>
      </w:r>
      <w:proofErr w:type="gramStart"/>
      <w:r w:rsidR="00210087">
        <w:rPr>
          <w:lang w:val="fr-CA"/>
        </w:rPr>
        <w:t>et</w:t>
      </w:r>
      <w:proofErr w:type="gramEnd"/>
      <w:r w:rsidR="00210087">
        <w:rPr>
          <w:lang w:val="fr-CA"/>
        </w:rPr>
        <w:t xml:space="preserve"> Kristian Curran (Canada)</w:t>
      </w:r>
    </w:p>
    <w:p w:rsidR="0095484A" w:rsidRPr="00210087" w:rsidRDefault="0095484A" w:rsidP="003276AF">
      <w:pPr>
        <w:pStyle w:val="Heading4"/>
        <w:rPr>
          <w:lang w:val="fr-FR"/>
        </w:rPr>
      </w:pPr>
      <w:r w:rsidRPr="00210087">
        <w:rPr>
          <w:lang w:val="fr-FR"/>
        </w:rPr>
        <w:t>Objectifs</w:t>
      </w:r>
    </w:p>
    <w:p w:rsidR="00210087" w:rsidRPr="00210087" w:rsidRDefault="00210087" w:rsidP="00210087">
      <w:pPr>
        <w:pStyle w:val="BodyText"/>
        <w:rPr>
          <w:lang w:val="fr-FR"/>
        </w:rPr>
      </w:pPr>
      <w:r w:rsidRPr="00210087">
        <w:rPr>
          <w:lang w:val="fr-FR"/>
        </w:rPr>
        <w:t>Le Comité d'évaluation des ressources transfrontalières reçoit chaque année des demandes de conseils liées à la récolte de ressources transfrontalières de la part du Comité d'orientation de la gestion des stocks transfrontaliers.</w:t>
      </w:r>
    </w:p>
    <w:p w:rsidR="00210087" w:rsidRPr="00210087" w:rsidRDefault="00210087" w:rsidP="00210087">
      <w:pPr>
        <w:pStyle w:val="BodyText"/>
        <w:rPr>
          <w:lang w:val="fr-FR"/>
        </w:rPr>
      </w:pPr>
      <w:r w:rsidRPr="00210087">
        <w:rPr>
          <w:lang w:val="fr-FR"/>
        </w:rPr>
        <w:t>Pour les ressources suivantes, notamment la morue de l'est du banc de Georges, l'aiglefin de l'est du banc de Georges et limande à queue jaune du banc de Georges :</w:t>
      </w:r>
    </w:p>
    <w:p w:rsidR="00210087" w:rsidRPr="00210087" w:rsidRDefault="00210087" w:rsidP="00210087">
      <w:pPr>
        <w:pStyle w:val="ListBullet"/>
        <w:rPr>
          <w:lang w:val="fr-FR"/>
        </w:rPr>
      </w:pPr>
      <w:r w:rsidRPr="00210087">
        <w:rPr>
          <w:lang w:val="fr-FR"/>
        </w:rPr>
        <w:t xml:space="preserve">Appliquer les évaluations de référence (analyse de population virtuelle pour la morue et l'aiglefin et approche empirique pour la limande à queue jaune) pour faire état des stocks, mettre à jour les résultats concernant les renseignements les plus récents découlant des pêches, y compris les estimations de rejets et les relevés de recherche, et caractériser les incertitudes relatives aux estimations. </w:t>
      </w:r>
    </w:p>
    <w:p w:rsidR="00210087" w:rsidRPr="00210087" w:rsidRDefault="00210087" w:rsidP="00210087">
      <w:pPr>
        <w:pStyle w:val="ListBullet"/>
        <w:rPr>
          <w:lang w:val="fr-FR"/>
        </w:rPr>
      </w:pPr>
      <w:r w:rsidRPr="00210087">
        <w:rPr>
          <w:lang w:val="fr-FR"/>
        </w:rPr>
        <w:t>Décrire toute modification des modèles d'évaluation de référence qui a été apportée lors des réunions du Comité d'évaluation des ressources transfrontalières, ce qui comprend les incidences sur les conseils prodigués au Comité d'orientation de la gestion des stocks transfrontaliers.</w:t>
      </w:r>
    </w:p>
    <w:p w:rsidR="00210087" w:rsidRPr="00210087" w:rsidRDefault="00210087" w:rsidP="00210087">
      <w:pPr>
        <w:pStyle w:val="ListBullet"/>
        <w:rPr>
          <w:lang w:val="fr-FR"/>
        </w:rPr>
      </w:pPr>
      <w:r w:rsidRPr="00210087">
        <w:rPr>
          <w:lang w:val="fr-FR"/>
        </w:rPr>
        <w:t xml:space="preserve">Évaluer et quantifier, dans la mesure du possible, l'incertitude scientifique des résultats de l'évaluation (détermination de l'état du stock et projection des prises), </w:t>
      </w:r>
      <w:proofErr w:type="gramStart"/>
      <w:r w:rsidRPr="00210087">
        <w:rPr>
          <w:lang w:val="fr-FR"/>
        </w:rPr>
        <w:t>discuter</w:t>
      </w:r>
      <w:proofErr w:type="gramEnd"/>
      <w:r w:rsidRPr="00210087">
        <w:rPr>
          <w:lang w:val="fr-FR"/>
        </w:rPr>
        <w:t xml:space="preserve"> des pratiques actuelles de caractérisation et des méthodes d'évaluation de rechange. </w:t>
      </w:r>
    </w:p>
    <w:p w:rsidR="00210087" w:rsidRPr="00210087" w:rsidRDefault="00210087" w:rsidP="00210087">
      <w:pPr>
        <w:pStyle w:val="ListBullet"/>
        <w:rPr>
          <w:lang w:val="fr-FR"/>
        </w:rPr>
      </w:pPr>
      <w:r w:rsidRPr="00210087">
        <w:rPr>
          <w:lang w:val="fr-FR"/>
        </w:rPr>
        <w:t xml:space="preserve">Fournir des analyses de sensibilité pour tenir compte du biais rétrospectif sur la biomasse du stock ainsi que des estimations de la mortalité par pêche dans le cas de la morue et de l'aiglefin, le cas échéant. </w:t>
      </w:r>
    </w:p>
    <w:p w:rsidR="00210087" w:rsidRPr="00210087" w:rsidRDefault="00210087" w:rsidP="00210087">
      <w:pPr>
        <w:pStyle w:val="ListBullet"/>
        <w:rPr>
          <w:lang w:val="fr-FR"/>
        </w:rPr>
      </w:pPr>
      <w:r w:rsidRPr="00210087">
        <w:rPr>
          <w:lang w:val="fr-FR"/>
        </w:rPr>
        <w:t xml:space="preserve">Pour un éventail de valeurs de prises totales de 2016 et 2017, estimer le risque que le taux de mortalité par pêche respectif dépasse les valeurs </w:t>
      </w:r>
      <w:proofErr w:type="spellStart"/>
      <w:r w:rsidRPr="00210087">
        <w:rPr>
          <w:lang w:val="fr-FR"/>
        </w:rPr>
        <w:t>F</w:t>
      </w:r>
      <w:r w:rsidRPr="00210087">
        <w:rPr>
          <w:vertAlign w:val="subscript"/>
          <w:lang w:val="fr-FR"/>
        </w:rPr>
        <w:t>réf</w:t>
      </w:r>
      <w:proofErr w:type="spellEnd"/>
      <w:r w:rsidRPr="00210087">
        <w:rPr>
          <w:lang w:val="fr-FR"/>
        </w:rPr>
        <w:t xml:space="preserve"> </w:t>
      </w:r>
      <w:r>
        <w:rPr>
          <w:lang w:val="fr-FR"/>
        </w:rPr>
        <w:t xml:space="preserve">= </w:t>
      </w:r>
      <w:r w:rsidRPr="00210087">
        <w:rPr>
          <w:lang w:val="fr-FR"/>
        </w:rPr>
        <w:t xml:space="preserve">0,26 (aiglefin) et F = 0,11 (morue). Inclure un tableau illustrant les prises de 2016 et 2017 qui correspondent à une probabilité faible (25 %), neutre (50 %) et élevée (75 %) que la mortalité par pêche dépasse la valeur </w:t>
      </w:r>
      <w:proofErr w:type="spellStart"/>
      <w:r w:rsidRPr="00210087">
        <w:rPr>
          <w:lang w:val="fr-FR"/>
        </w:rPr>
        <w:t>F</w:t>
      </w:r>
      <w:r w:rsidRPr="00210087">
        <w:rPr>
          <w:vertAlign w:val="subscript"/>
          <w:lang w:val="fr-FR"/>
        </w:rPr>
        <w:t>réf</w:t>
      </w:r>
      <w:proofErr w:type="spellEnd"/>
      <w:r>
        <w:rPr>
          <w:lang w:val="fr-FR"/>
        </w:rPr>
        <w:t> </w:t>
      </w:r>
      <w:r w:rsidRPr="00210087">
        <w:rPr>
          <w:lang w:val="fr-FR"/>
        </w:rPr>
        <w:t>0,26 (aiglefin) et F = 0,11 (morue).</w:t>
      </w:r>
    </w:p>
    <w:p w:rsidR="00210087" w:rsidRPr="00210087" w:rsidRDefault="00210087" w:rsidP="00210087">
      <w:pPr>
        <w:pStyle w:val="ListBullet"/>
        <w:rPr>
          <w:lang w:val="fr-FR"/>
        </w:rPr>
      </w:pPr>
      <w:r w:rsidRPr="00210087">
        <w:rPr>
          <w:lang w:val="fr-FR"/>
        </w:rPr>
        <w:t>Pour un éventail de valeurs de prises totales de 2016 et 2017, estimer le risque que la biomasse au début des années 2017 et 2018 n'atteigne pas une augmentation de 0 %, de 10 % ou de 20 % comparativement au début des années 2016 et 2017 pour ce qui est de la morue et de l'aiglefin.</w:t>
      </w:r>
    </w:p>
    <w:p w:rsidR="00210087" w:rsidRPr="00210087" w:rsidRDefault="00210087" w:rsidP="00210087">
      <w:pPr>
        <w:pStyle w:val="ListBullet"/>
        <w:rPr>
          <w:lang w:val="fr-FR"/>
        </w:rPr>
      </w:pPr>
      <w:r w:rsidRPr="00210087">
        <w:rPr>
          <w:lang w:val="fr-FR"/>
        </w:rPr>
        <w:t xml:space="preserve">Pour la limande à queue jaune, fournir des recommandations de prises pour 2016 reposant sur l'approche empirique liée à l'éventail de taux d'exploitation et, le cas échéant, sur toute autre approche (p. ex. quota constant) qui comprend des recommandations de prises pour 2016 et 2017. Les recommandations de prises fondées sur l'approche empirique devraient tenir compte des renseignements sur la </w:t>
      </w:r>
      <w:proofErr w:type="spellStart"/>
      <w:r w:rsidRPr="00210087">
        <w:rPr>
          <w:lang w:val="fr-FR"/>
        </w:rPr>
        <w:t>capturabilité</w:t>
      </w:r>
      <w:proofErr w:type="spellEnd"/>
      <w:r w:rsidRPr="00210087">
        <w:rPr>
          <w:lang w:val="fr-FR"/>
        </w:rPr>
        <w:t xml:space="preserve"> des relevés, si ces derniers sont disponibles.</w:t>
      </w:r>
    </w:p>
    <w:p w:rsidR="00210087" w:rsidRPr="00210087" w:rsidRDefault="00210087" w:rsidP="00210087">
      <w:pPr>
        <w:pStyle w:val="ListBullet"/>
        <w:rPr>
          <w:lang w:val="fr-FR"/>
        </w:rPr>
      </w:pPr>
      <w:r w:rsidRPr="00210087">
        <w:rPr>
          <w:lang w:val="fr-FR"/>
        </w:rPr>
        <w:t>Examiner la répartition de la biomasse relative à la frontière Canada-États-Unis, mettre à jour les résultats avec les renseignements du relevé de 2014 et appliquer la formule relative aux parts allouées.</w:t>
      </w:r>
    </w:p>
    <w:p w:rsidR="00210087" w:rsidRPr="00210087" w:rsidRDefault="00210087" w:rsidP="00210087">
      <w:pPr>
        <w:pStyle w:val="ListBullet"/>
        <w:rPr>
          <w:lang w:val="fr-FR"/>
        </w:rPr>
      </w:pPr>
      <w:r w:rsidRPr="00210087">
        <w:rPr>
          <w:lang w:val="fr-FR"/>
        </w:rPr>
        <w:t xml:space="preserve">Pour la limande à queue jaune, élaborer un éventail de règles de contrôle des prises pour déterminer l'efficacité des stratégies potentielles de pêche (c.-à-d. le quota constant ou le taux d'exploitation constant) et lancer une évaluation de la stratégie de gestion. </w:t>
      </w:r>
    </w:p>
    <w:p w:rsidR="00210087" w:rsidRPr="00210087" w:rsidRDefault="00210087" w:rsidP="00210087">
      <w:pPr>
        <w:pStyle w:val="ListBullet"/>
        <w:rPr>
          <w:lang w:val="fr-FR"/>
        </w:rPr>
      </w:pPr>
      <w:r w:rsidRPr="00210087">
        <w:rPr>
          <w:lang w:val="fr-FR"/>
        </w:rPr>
        <w:t xml:space="preserve">Ébauche du cadre de référence dans le cadre de l'évaluation de 2016 du Comité d'évaluation des ressources transfrontalières sur la morue franche de l'est du banc de Georges, sur l'aiglefin de l'est du banc Georges et sur la limande à queue jaune du banc de Georges. </w:t>
      </w:r>
    </w:p>
    <w:p w:rsidR="00210087" w:rsidRDefault="00210087" w:rsidP="00210087">
      <w:pPr>
        <w:pStyle w:val="ListBullet"/>
        <w:rPr>
          <w:lang w:val="fr-FR"/>
        </w:rPr>
      </w:pPr>
      <w:r w:rsidRPr="00210087">
        <w:rPr>
          <w:lang w:val="fr-FR"/>
        </w:rPr>
        <w:t>Autres sujets.</w:t>
      </w:r>
    </w:p>
    <w:p w:rsidR="0095484A" w:rsidRPr="003276AF" w:rsidRDefault="003B005D" w:rsidP="003276AF">
      <w:pPr>
        <w:pStyle w:val="Heading4"/>
      </w:pPr>
      <w:r w:rsidRPr="003276AF">
        <w:t xml:space="preserve">Publications </w:t>
      </w:r>
      <w:proofErr w:type="spellStart"/>
      <w:r w:rsidRPr="003276AF">
        <w:t>prévues</w:t>
      </w:r>
      <w:proofErr w:type="spellEnd"/>
    </w:p>
    <w:p w:rsidR="00210087" w:rsidRPr="00210087" w:rsidRDefault="00210087" w:rsidP="00210087">
      <w:pPr>
        <w:pStyle w:val="ListBullet"/>
        <w:rPr>
          <w:lang w:val="fr-CA"/>
        </w:rPr>
      </w:pPr>
      <w:r w:rsidRPr="00210087">
        <w:rPr>
          <w:b/>
          <w:lang w:val="fr-CA"/>
        </w:rPr>
        <w:t>Comité d'évaluation des ressources transfrontalières</w:t>
      </w:r>
      <w:r w:rsidRPr="00210087">
        <w:rPr>
          <w:lang w:val="fr-CA"/>
        </w:rPr>
        <w:t xml:space="preserve"> – Rapport sur l'état des stocks transfrontaliers de morue franche et d'aiglefin de l'est du banc de Georges et de limande à queue jaune du banc de Georges (zones de gestion)</w:t>
      </w:r>
    </w:p>
    <w:p w:rsidR="00210087" w:rsidRPr="00210087" w:rsidRDefault="00210087" w:rsidP="00210087">
      <w:pPr>
        <w:pStyle w:val="ListBullet"/>
        <w:rPr>
          <w:lang w:val="fr-CA"/>
        </w:rPr>
      </w:pPr>
      <w:r w:rsidRPr="00210087">
        <w:rPr>
          <w:b/>
          <w:lang w:val="fr-CA"/>
        </w:rPr>
        <w:t>Comité d'évaluation des ressources transfrontalières</w:t>
      </w:r>
      <w:r w:rsidRPr="00210087">
        <w:rPr>
          <w:lang w:val="fr-CA"/>
        </w:rPr>
        <w:t xml:space="preserve"> – Documents de référence sur les zones de gestion de la morue franche et de l'aiglefin de l'est du banc de Georges et de la limande à queue jaune du banc de Georges et sur les parts allouées</w:t>
      </w:r>
    </w:p>
    <w:p w:rsidR="00E02181" w:rsidRPr="00210087" w:rsidRDefault="00210087" w:rsidP="003276AF">
      <w:pPr>
        <w:pStyle w:val="ListBullet"/>
        <w:rPr>
          <w:lang w:val="fr-CA"/>
        </w:rPr>
      </w:pPr>
      <w:r w:rsidRPr="00210087">
        <w:rPr>
          <w:b/>
          <w:lang w:val="fr-CA"/>
        </w:rPr>
        <w:t>Compte rendu des discussions</w:t>
      </w:r>
      <w:r w:rsidRPr="00210087">
        <w:rPr>
          <w:lang w:val="fr-CA"/>
        </w:rPr>
        <w:t xml:space="preserve"> ouvertes par le Comité d'évaluation des ressources transfrontalières durant ses réunions</w:t>
      </w:r>
    </w:p>
    <w:p w:rsidR="0095484A" w:rsidRPr="003276AF" w:rsidRDefault="0095484A" w:rsidP="003276AF">
      <w:pPr>
        <w:pStyle w:val="Heading4"/>
      </w:pPr>
      <w:r w:rsidRPr="003276AF">
        <w:t>Participation</w:t>
      </w:r>
    </w:p>
    <w:p w:rsidR="00210087" w:rsidRPr="00210087" w:rsidRDefault="00210087" w:rsidP="00210087">
      <w:pPr>
        <w:pStyle w:val="ListBullet"/>
        <w:rPr>
          <w:lang w:val="fr-CA"/>
        </w:rPr>
      </w:pPr>
      <w:r w:rsidRPr="00210087">
        <w:rPr>
          <w:lang w:val="fr-CA"/>
        </w:rPr>
        <w:t>Travailleurs scientifiques et gestionnaires du MPO, région des Maritimes</w:t>
      </w:r>
    </w:p>
    <w:p w:rsidR="00210087" w:rsidRPr="00210087" w:rsidRDefault="00210087" w:rsidP="00210087">
      <w:pPr>
        <w:pStyle w:val="ListBullet"/>
        <w:rPr>
          <w:lang w:val="fr-CA"/>
        </w:rPr>
      </w:pPr>
      <w:r w:rsidRPr="00210087">
        <w:rPr>
          <w:lang w:val="fr-CA"/>
        </w:rPr>
        <w:t xml:space="preserve">Travailleurs scientifiques et gestionnaires de la région du nord-est, National Marine </w:t>
      </w:r>
      <w:proofErr w:type="spellStart"/>
      <w:r w:rsidRPr="00210087">
        <w:rPr>
          <w:lang w:val="fr-CA"/>
        </w:rPr>
        <w:t>Fisheries</w:t>
      </w:r>
      <w:proofErr w:type="spellEnd"/>
      <w:r w:rsidRPr="00210087">
        <w:rPr>
          <w:lang w:val="fr-CA"/>
        </w:rPr>
        <w:t xml:space="preserve"> Service</w:t>
      </w:r>
    </w:p>
    <w:p w:rsidR="00210087" w:rsidRPr="00210087" w:rsidRDefault="00210087" w:rsidP="00210087">
      <w:pPr>
        <w:pStyle w:val="ListBullet"/>
        <w:rPr>
          <w:lang w:val="fr-CA"/>
        </w:rPr>
      </w:pPr>
      <w:r w:rsidRPr="00210087">
        <w:rPr>
          <w:lang w:val="fr-CA"/>
        </w:rPr>
        <w:t>Industrie des pêches du Canada et des États-Unis</w:t>
      </w:r>
    </w:p>
    <w:p w:rsidR="00210087" w:rsidRPr="00210087" w:rsidRDefault="00210087" w:rsidP="00210087">
      <w:pPr>
        <w:pStyle w:val="ListBullet"/>
        <w:rPr>
          <w:lang w:val="fr-CA"/>
        </w:rPr>
      </w:pPr>
      <w:r w:rsidRPr="00210087">
        <w:rPr>
          <w:lang w:val="fr-CA"/>
        </w:rPr>
        <w:t xml:space="preserve">Représentants des États-Unis et de provinces canadiennes (Nouveau-Brunswick et Nouvelle-Écosse) </w:t>
      </w:r>
    </w:p>
    <w:p w:rsidR="00210087" w:rsidRPr="00210087" w:rsidRDefault="00210087" w:rsidP="00210087">
      <w:pPr>
        <w:pStyle w:val="ListBullet"/>
        <w:rPr>
          <w:lang w:val="fr-CA"/>
        </w:rPr>
      </w:pPr>
      <w:r w:rsidRPr="00210087">
        <w:rPr>
          <w:lang w:val="fr-CA"/>
        </w:rPr>
        <w:t xml:space="preserve">Représentants du New </w:t>
      </w:r>
      <w:proofErr w:type="spellStart"/>
      <w:r w:rsidRPr="00210087">
        <w:rPr>
          <w:lang w:val="fr-CA"/>
        </w:rPr>
        <w:t>England</w:t>
      </w:r>
      <w:proofErr w:type="spellEnd"/>
      <w:r w:rsidRPr="00210087">
        <w:rPr>
          <w:lang w:val="fr-CA"/>
        </w:rPr>
        <w:t xml:space="preserve"> </w:t>
      </w:r>
      <w:proofErr w:type="spellStart"/>
      <w:r w:rsidRPr="00210087">
        <w:rPr>
          <w:lang w:val="fr-CA"/>
        </w:rPr>
        <w:t>Fishery</w:t>
      </w:r>
      <w:proofErr w:type="spellEnd"/>
      <w:r w:rsidRPr="00210087">
        <w:rPr>
          <w:lang w:val="fr-CA"/>
        </w:rPr>
        <w:t xml:space="preserve"> Management Council</w:t>
      </w:r>
    </w:p>
    <w:p w:rsidR="00DE49D4" w:rsidRPr="00210087" w:rsidRDefault="00210087" w:rsidP="003276AF">
      <w:pPr>
        <w:pStyle w:val="ListBullet"/>
        <w:rPr>
          <w:lang w:val="fr-CA"/>
        </w:rPr>
      </w:pPr>
      <w:r w:rsidRPr="00210087">
        <w:rPr>
          <w:lang w:val="fr-CA"/>
        </w:rPr>
        <w:t>Représentants du comité des sciences et des statistiques</w:t>
      </w:r>
    </w:p>
    <w:sectPr w:rsidR="00DE49D4" w:rsidRPr="00210087" w:rsidSect="00C11502">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EEAC6C"/>
    <w:lvl w:ilvl="0">
      <w:start w:val="1"/>
      <w:numFmt w:val="decimal"/>
      <w:lvlText w:val="%1."/>
      <w:lvlJc w:val="left"/>
      <w:pPr>
        <w:tabs>
          <w:tab w:val="num" w:pos="1492"/>
        </w:tabs>
        <w:ind w:left="1492" w:hanging="360"/>
      </w:pPr>
    </w:lvl>
  </w:abstractNum>
  <w:abstractNum w:abstractNumId="1">
    <w:nsid w:val="FFFFFF7D"/>
    <w:multiLevelType w:val="singleLevel"/>
    <w:tmpl w:val="DBE69E1A"/>
    <w:lvl w:ilvl="0">
      <w:start w:val="1"/>
      <w:numFmt w:val="decimal"/>
      <w:lvlText w:val="%1."/>
      <w:lvlJc w:val="left"/>
      <w:pPr>
        <w:tabs>
          <w:tab w:val="num" w:pos="1209"/>
        </w:tabs>
        <w:ind w:left="1209" w:hanging="360"/>
      </w:pPr>
    </w:lvl>
  </w:abstractNum>
  <w:abstractNum w:abstractNumId="2">
    <w:nsid w:val="FFFFFF7E"/>
    <w:multiLevelType w:val="singleLevel"/>
    <w:tmpl w:val="5D947570"/>
    <w:lvl w:ilvl="0">
      <w:start w:val="1"/>
      <w:numFmt w:val="decimal"/>
      <w:lvlText w:val="%1."/>
      <w:lvlJc w:val="left"/>
      <w:pPr>
        <w:tabs>
          <w:tab w:val="num" w:pos="926"/>
        </w:tabs>
        <w:ind w:left="926" w:hanging="360"/>
      </w:pPr>
    </w:lvl>
  </w:abstractNum>
  <w:abstractNum w:abstractNumId="3">
    <w:nsid w:val="FFFFFF7F"/>
    <w:multiLevelType w:val="singleLevel"/>
    <w:tmpl w:val="C3AE7C0C"/>
    <w:lvl w:ilvl="0">
      <w:start w:val="1"/>
      <w:numFmt w:val="decimal"/>
      <w:lvlText w:val="%1."/>
      <w:lvlJc w:val="left"/>
      <w:pPr>
        <w:tabs>
          <w:tab w:val="num" w:pos="643"/>
        </w:tabs>
        <w:ind w:left="643" w:hanging="360"/>
      </w:pPr>
    </w:lvl>
  </w:abstractNum>
  <w:abstractNum w:abstractNumId="4">
    <w:nsid w:val="FFFFFF80"/>
    <w:multiLevelType w:val="singleLevel"/>
    <w:tmpl w:val="FD0C641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C388A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A5EFA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5A048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4AC36E"/>
    <w:lvl w:ilvl="0">
      <w:start w:val="1"/>
      <w:numFmt w:val="decimal"/>
      <w:lvlText w:val="%1."/>
      <w:lvlJc w:val="left"/>
      <w:pPr>
        <w:tabs>
          <w:tab w:val="num" w:pos="360"/>
        </w:tabs>
        <w:ind w:left="360" w:hanging="360"/>
      </w:pPr>
    </w:lvl>
  </w:abstractNum>
  <w:abstractNum w:abstractNumId="9">
    <w:nsid w:val="FFFFFF89"/>
    <w:multiLevelType w:val="singleLevel"/>
    <w:tmpl w:val="46D862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43D5E"/>
    <w:multiLevelType w:val="multilevel"/>
    <w:tmpl w:val="23A27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602321"/>
    <w:multiLevelType w:val="hybridMultilevel"/>
    <w:tmpl w:val="ABC8C05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16BB2DB3"/>
    <w:multiLevelType w:val="hybridMultilevel"/>
    <w:tmpl w:val="EABEFA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AA73ECF"/>
    <w:multiLevelType w:val="multilevel"/>
    <w:tmpl w:val="9EB63D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E0321D"/>
    <w:multiLevelType w:val="hybridMultilevel"/>
    <w:tmpl w:val="8752E45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35703FF9"/>
    <w:multiLevelType w:val="hybridMultilevel"/>
    <w:tmpl w:val="05E80DA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ECD7DFF"/>
    <w:multiLevelType w:val="hybridMultilevel"/>
    <w:tmpl w:val="032CF2E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3FA26429"/>
    <w:multiLevelType w:val="hybridMultilevel"/>
    <w:tmpl w:val="AFF03DF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8">
    <w:nsid w:val="42B43F1D"/>
    <w:multiLevelType w:val="hybridMultilevel"/>
    <w:tmpl w:val="D456703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56BF1E40"/>
    <w:multiLevelType w:val="hybridMultilevel"/>
    <w:tmpl w:val="5CE2E84C"/>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596114E4"/>
    <w:multiLevelType w:val="hybridMultilevel"/>
    <w:tmpl w:val="28B2A4FC"/>
    <w:lvl w:ilvl="0" w:tplc="10090005">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1">
    <w:nsid w:val="5B632912"/>
    <w:multiLevelType w:val="hybridMultilevel"/>
    <w:tmpl w:val="B13CC91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BAB7776"/>
    <w:multiLevelType w:val="hybridMultilevel"/>
    <w:tmpl w:val="6AF6D7B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F686D6C"/>
    <w:multiLevelType w:val="multilevel"/>
    <w:tmpl w:val="4EAC7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002605"/>
    <w:multiLevelType w:val="hybridMultilevel"/>
    <w:tmpl w:val="7C5C7A98"/>
    <w:lvl w:ilvl="0" w:tplc="10090005">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5">
    <w:nsid w:val="64707259"/>
    <w:multiLevelType w:val="hybridMultilevel"/>
    <w:tmpl w:val="10A86D34"/>
    <w:lvl w:ilvl="0" w:tplc="10090005">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6">
    <w:nsid w:val="675E4878"/>
    <w:multiLevelType w:val="hybridMultilevel"/>
    <w:tmpl w:val="C228F08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6A9B0DDB"/>
    <w:multiLevelType w:val="hybridMultilevel"/>
    <w:tmpl w:val="5DECAFC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70B3531D"/>
    <w:multiLevelType w:val="hybridMultilevel"/>
    <w:tmpl w:val="B29473C4"/>
    <w:lvl w:ilvl="0" w:tplc="10090005">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765A2AFA"/>
    <w:multiLevelType w:val="hybridMultilevel"/>
    <w:tmpl w:val="A300BC6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abstractNumId w:val="29"/>
  </w:num>
  <w:num w:numId="2">
    <w:abstractNumId w:val="13"/>
  </w:num>
  <w:num w:numId="3">
    <w:abstractNumId w:val="23"/>
  </w:num>
  <w:num w:numId="4">
    <w:abstractNumId w:val="10"/>
  </w:num>
  <w:num w:numId="5">
    <w:abstractNumId w:val="12"/>
  </w:num>
  <w:num w:numId="6">
    <w:abstractNumId w:val="17"/>
  </w:num>
  <w:num w:numId="7">
    <w:abstractNumId w:val="14"/>
  </w:num>
  <w:num w:numId="8">
    <w:abstractNumId w:val="16"/>
  </w:num>
  <w:num w:numId="9">
    <w:abstractNumId w:val="19"/>
  </w:num>
  <w:num w:numId="10">
    <w:abstractNumId w:val="27"/>
  </w:num>
  <w:num w:numId="11">
    <w:abstractNumId w:val="18"/>
  </w:num>
  <w:num w:numId="12">
    <w:abstractNumId w:val="21"/>
  </w:num>
  <w:num w:numId="13">
    <w:abstractNumId w:val="15"/>
  </w:num>
  <w:num w:numId="14">
    <w:abstractNumId w:val="22"/>
  </w:num>
  <w:num w:numId="15">
    <w:abstractNumId w:val="11"/>
  </w:num>
  <w:num w:numId="16">
    <w:abstractNumId w:val="26"/>
  </w:num>
  <w:num w:numId="17">
    <w:abstractNumId w:val="20"/>
  </w:num>
  <w:num w:numId="18">
    <w:abstractNumId w:val="24"/>
  </w:num>
  <w:num w:numId="19">
    <w:abstractNumId w:val="25"/>
  </w:num>
  <w:num w:numId="20">
    <w:abstractNumId w:val="28"/>
  </w:num>
  <w:num w:numId="21">
    <w:abstractNumId w:val="9"/>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394"/>
    <w:rsid w:val="001D0AE8"/>
    <w:rsid w:val="00210087"/>
    <w:rsid w:val="00280BE4"/>
    <w:rsid w:val="003276AF"/>
    <w:rsid w:val="003B005D"/>
    <w:rsid w:val="00526C1E"/>
    <w:rsid w:val="00594911"/>
    <w:rsid w:val="00595D14"/>
    <w:rsid w:val="00611951"/>
    <w:rsid w:val="007075CF"/>
    <w:rsid w:val="00773FCD"/>
    <w:rsid w:val="00792A7B"/>
    <w:rsid w:val="009544C3"/>
    <w:rsid w:val="0095484A"/>
    <w:rsid w:val="009E40D6"/>
    <w:rsid w:val="00A33FFB"/>
    <w:rsid w:val="00C11502"/>
    <w:rsid w:val="00D20C99"/>
    <w:rsid w:val="00D23A29"/>
    <w:rsid w:val="00DE49D4"/>
    <w:rsid w:val="00E02181"/>
    <w:rsid w:val="00FA14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qFormat="1"/>
    <w:lsdException w:name="Title" w:semiHidden="0" w:uiPriority="10" w:unhideWhenUsed="0"/>
    <w:lsdException w:name="Default Paragraph Font" w:uiPriority="0"/>
    <w:lsdException w:name="Subtitle" w:semiHidden="0" w:uiPriority="11" w:unhideWhenUsed="0"/>
    <w:lsdException w:name="Hyperlink" w:uiPriority="0"/>
    <w:lsdException w:name="FollowedHyperlink" w:uiPriority="0"/>
    <w:lsdException w:name="Strong" w:semiHidden="0" w:uiPriority="0" w:unhideWhenUsed="0" w:qFormat="1"/>
    <w:lsdException w:name="Emphasis" w:semiHidden="0" w:uiPriority="20" w:unhideWhenUsed="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276AF"/>
    <w:rPr>
      <w:sz w:val="24"/>
      <w:szCs w:val="24"/>
    </w:rPr>
  </w:style>
  <w:style w:type="paragraph" w:styleId="Heading1">
    <w:name w:val="heading 1"/>
    <w:basedOn w:val="Normal"/>
    <w:next w:val="Normal"/>
    <w:qFormat/>
    <w:rsid w:val="00210087"/>
    <w:pPr>
      <w:keepNext/>
      <w:spacing w:before="240" w:after="60"/>
      <w:outlineLvl w:val="0"/>
    </w:pPr>
    <w:rPr>
      <w:rFonts w:ascii="Arial" w:hAnsi="Arial" w:cs="Arial"/>
      <w:b/>
      <w:bCs/>
      <w:kern w:val="32"/>
      <w:sz w:val="36"/>
      <w:szCs w:val="32"/>
    </w:rPr>
  </w:style>
  <w:style w:type="paragraph" w:styleId="Heading2">
    <w:name w:val="heading 2"/>
    <w:basedOn w:val="Normal"/>
    <w:next w:val="Normal"/>
    <w:link w:val="Heading2Char"/>
    <w:qFormat/>
    <w:rsid w:val="00210087"/>
    <w:pPr>
      <w:keepNext/>
      <w:spacing w:before="240" w:after="60"/>
      <w:outlineLvl w:val="1"/>
    </w:pPr>
    <w:rPr>
      <w:rFonts w:ascii="Arial" w:hAnsi="Arial" w:cs="Arial"/>
      <w:b/>
      <w:bCs/>
      <w:iCs/>
      <w:sz w:val="32"/>
      <w:szCs w:val="28"/>
    </w:rPr>
  </w:style>
  <w:style w:type="paragraph" w:styleId="Heading3">
    <w:name w:val="heading 3"/>
    <w:basedOn w:val="Normal"/>
    <w:next w:val="Normal"/>
    <w:qFormat/>
    <w:rsid w:val="00210087"/>
    <w:pPr>
      <w:keepNext/>
      <w:spacing w:before="240" w:after="60"/>
      <w:outlineLvl w:val="2"/>
    </w:pPr>
    <w:rPr>
      <w:rFonts w:ascii="Arial" w:hAnsi="Arial" w:cs="Arial"/>
      <w:b/>
      <w:bCs/>
      <w:sz w:val="26"/>
      <w:szCs w:val="26"/>
    </w:rPr>
  </w:style>
  <w:style w:type="paragraph" w:styleId="Heading4">
    <w:name w:val="heading 4"/>
    <w:basedOn w:val="Normal"/>
    <w:next w:val="Normal"/>
    <w:qFormat/>
    <w:rsid w:val="00210087"/>
    <w:pPr>
      <w:keepNext/>
      <w:spacing w:before="240" w:after="60"/>
      <w:outlineLvl w:val="3"/>
    </w:pPr>
    <w:rPr>
      <w:rFonts w:ascii="Arial" w:hAnsi="Arial"/>
      <w:b/>
      <w:bCs/>
      <w:szCs w:val="28"/>
    </w:rPr>
  </w:style>
  <w:style w:type="character" w:default="1" w:styleId="DefaultParagraphFont">
    <w:name w:val="Default Paragraph Font"/>
    <w:semiHidden/>
    <w:rsid w:val="003276A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3276AF"/>
  </w:style>
  <w:style w:type="character" w:styleId="Hyperlink">
    <w:name w:val="Hyperlink"/>
    <w:rsid w:val="003276AF"/>
    <w:rPr>
      <w:color w:val="003366"/>
      <w:u w:val="single"/>
    </w:rPr>
  </w:style>
  <w:style w:type="paragraph" w:styleId="NormalWeb">
    <w:name w:val="Normal (Web)"/>
    <w:basedOn w:val="Normal"/>
    <w:rsid w:val="003276AF"/>
    <w:pPr>
      <w:spacing w:before="100" w:beforeAutospacing="1" w:after="100" w:afterAutospacing="1"/>
    </w:pPr>
    <w:rPr>
      <w:color w:val="000000"/>
    </w:rPr>
  </w:style>
  <w:style w:type="character" w:styleId="FollowedHyperlink">
    <w:name w:val="FollowedHyperlink"/>
    <w:rsid w:val="003276AF"/>
    <w:rPr>
      <w:color w:val="606420"/>
      <w:u w:val="single"/>
    </w:rPr>
  </w:style>
  <w:style w:type="paragraph" w:customStyle="1" w:styleId="align-center">
    <w:name w:val="align-center"/>
    <w:basedOn w:val="Normal"/>
    <w:rsid w:val="003276AF"/>
    <w:pPr>
      <w:spacing w:before="100" w:beforeAutospacing="1" w:after="100" w:afterAutospacing="1"/>
    </w:pPr>
    <w:rPr>
      <w:rFonts w:ascii="Verdana" w:hAnsi="Verdana"/>
    </w:rPr>
  </w:style>
  <w:style w:type="character" w:styleId="Strong">
    <w:name w:val="Strong"/>
    <w:rsid w:val="003276AF"/>
    <w:rPr>
      <w:b/>
      <w:bCs/>
    </w:rPr>
  </w:style>
  <w:style w:type="table" w:styleId="TableGrid">
    <w:name w:val="Table Grid"/>
    <w:basedOn w:val="TableNormal"/>
    <w:rsid w:val="00327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3276AF"/>
    <w:pPr>
      <w:tabs>
        <w:tab w:val="right" w:leader="dot" w:pos="8630"/>
      </w:tabs>
    </w:pPr>
  </w:style>
  <w:style w:type="paragraph" w:styleId="TOC2">
    <w:name w:val="toc 2"/>
    <w:basedOn w:val="Normal"/>
    <w:next w:val="Normal"/>
    <w:autoRedefine/>
    <w:semiHidden/>
    <w:rsid w:val="003276AF"/>
    <w:pPr>
      <w:ind w:left="240"/>
    </w:pPr>
  </w:style>
  <w:style w:type="paragraph" w:styleId="TOC3">
    <w:name w:val="toc 3"/>
    <w:basedOn w:val="Normal"/>
    <w:next w:val="Normal"/>
    <w:autoRedefine/>
    <w:semiHidden/>
    <w:rsid w:val="003276AF"/>
    <w:pPr>
      <w:ind w:left="480"/>
    </w:pPr>
  </w:style>
  <w:style w:type="paragraph" w:styleId="BalloonText">
    <w:name w:val="Balloon Text"/>
    <w:basedOn w:val="Normal"/>
    <w:semiHidden/>
    <w:rsid w:val="003276AF"/>
    <w:rPr>
      <w:rFonts w:ascii="Tahoma" w:hAnsi="Tahoma" w:cs="Tahoma"/>
      <w:sz w:val="16"/>
      <w:szCs w:val="16"/>
    </w:rPr>
  </w:style>
  <w:style w:type="character" w:customStyle="1" w:styleId="Heading2Char">
    <w:name w:val="Heading 2 Char"/>
    <w:link w:val="Heading2"/>
    <w:rsid w:val="003276AF"/>
    <w:rPr>
      <w:rFonts w:ascii="Arial" w:hAnsi="Arial" w:cs="Arial"/>
      <w:b/>
      <w:bCs/>
      <w:iCs/>
      <w:sz w:val="32"/>
      <w:szCs w:val="28"/>
    </w:rPr>
  </w:style>
  <w:style w:type="paragraph" w:styleId="BodyText">
    <w:name w:val="Body Text"/>
    <w:basedOn w:val="Normal"/>
    <w:link w:val="BodyTextChar"/>
    <w:uiPriority w:val="99"/>
    <w:unhideWhenUsed/>
    <w:rsid w:val="003276AF"/>
    <w:pPr>
      <w:spacing w:before="120" w:after="120"/>
    </w:pPr>
    <w:rPr>
      <w:rFonts w:ascii="Arial" w:hAnsi="Arial"/>
      <w:sz w:val="22"/>
    </w:rPr>
  </w:style>
  <w:style w:type="character" w:customStyle="1" w:styleId="BodyTextChar">
    <w:name w:val="Body Text Char"/>
    <w:link w:val="BodyText"/>
    <w:uiPriority w:val="99"/>
    <w:rsid w:val="003276AF"/>
    <w:rPr>
      <w:rFonts w:ascii="Arial" w:hAnsi="Arial"/>
      <w:sz w:val="22"/>
      <w:szCs w:val="24"/>
    </w:rPr>
  </w:style>
  <w:style w:type="paragraph" w:customStyle="1" w:styleId="Citation">
    <w:name w:val="Citation"/>
    <w:basedOn w:val="BodyText"/>
    <w:qFormat/>
    <w:rsid w:val="00210087"/>
    <w:pPr>
      <w:keepLines/>
      <w:spacing w:after="0"/>
      <w:ind w:left="720" w:hanging="720"/>
    </w:pPr>
  </w:style>
  <w:style w:type="character" w:styleId="CommentReference">
    <w:name w:val="annotation reference"/>
    <w:semiHidden/>
    <w:rsid w:val="003276AF"/>
    <w:rPr>
      <w:sz w:val="16"/>
      <w:szCs w:val="16"/>
    </w:rPr>
  </w:style>
  <w:style w:type="paragraph" w:styleId="CommentText">
    <w:name w:val="annotation text"/>
    <w:basedOn w:val="Normal"/>
    <w:link w:val="CommentTextChar"/>
    <w:semiHidden/>
    <w:rsid w:val="003276AF"/>
    <w:rPr>
      <w:sz w:val="20"/>
      <w:szCs w:val="20"/>
    </w:rPr>
  </w:style>
  <w:style w:type="character" w:customStyle="1" w:styleId="CommentTextChar">
    <w:name w:val="Comment Text Char"/>
    <w:basedOn w:val="DefaultParagraphFont"/>
    <w:link w:val="CommentText"/>
    <w:semiHidden/>
    <w:rsid w:val="003276AF"/>
  </w:style>
  <w:style w:type="paragraph" w:styleId="CommentSubject">
    <w:name w:val="annotation subject"/>
    <w:basedOn w:val="CommentText"/>
    <w:next w:val="CommentText"/>
    <w:link w:val="CommentSubjectChar"/>
    <w:semiHidden/>
    <w:rsid w:val="003276AF"/>
    <w:rPr>
      <w:b/>
      <w:bCs/>
    </w:rPr>
  </w:style>
  <w:style w:type="character" w:customStyle="1" w:styleId="CommentSubjectChar">
    <w:name w:val="Comment Subject Char"/>
    <w:link w:val="CommentSubject"/>
    <w:semiHidden/>
    <w:rsid w:val="003276AF"/>
    <w:rPr>
      <w:b/>
      <w:bCs/>
    </w:rPr>
  </w:style>
  <w:style w:type="paragraph" w:styleId="ListBullet">
    <w:name w:val="List Bullet"/>
    <w:basedOn w:val="Normal"/>
    <w:uiPriority w:val="99"/>
    <w:unhideWhenUsed/>
    <w:qFormat/>
    <w:rsid w:val="00210087"/>
    <w:pPr>
      <w:numPr>
        <w:numId w:val="32"/>
      </w:numPr>
      <w:contextualSpacing/>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qFormat="1"/>
    <w:lsdException w:name="Title" w:semiHidden="0" w:uiPriority="10" w:unhideWhenUsed="0"/>
    <w:lsdException w:name="Default Paragraph Font" w:uiPriority="0"/>
    <w:lsdException w:name="Subtitle" w:semiHidden="0" w:uiPriority="11" w:unhideWhenUsed="0"/>
    <w:lsdException w:name="Hyperlink" w:uiPriority="0"/>
    <w:lsdException w:name="FollowedHyperlink" w:uiPriority="0"/>
    <w:lsdException w:name="Strong" w:semiHidden="0" w:uiPriority="0" w:unhideWhenUsed="0" w:qFormat="1"/>
    <w:lsdException w:name="Emphasis" w:semiHidden="0" w:uiPriority="20" w:unhideWhenUsed="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276AF"/>
    <w:rPr>
      <w:sz w:val="24"/>
      <w:szCs w:val="24"/>
    </w:rPr>
  </w:style>
  <w:style w:type="paragraph" w:styleId="Heading1">
    <w:name w:val="heading 1"/>
    <w:basedOn w:val="Normal"/>
    <w:next w:val="Normal"/>
    <w:qFormat/>
    <w:rsid w:val="00210087"/>
    <w:pPr>
      <w:keepNext/>
      <w:spacing w:before="240" w:after="60"/>
      <w:outlineLvl w:val="0"/>
    </w:pPr>
    <w:rPr>
      <w:rFonts w:ascii="Arial" w:hAnsi="Arial" w:cs="Arial"/>
      <w:b/>
      <w:bCs/>
      <w:kern w:val="32"/>
      <w:sz w:val="36"/>
      <w:szCs w:val="32"/>
    </w:rPr>
  </w:style>
  <w:style w:type="paragraph" w:styleId="Heading2">
    <w:name w:val="heading 2"/>
    <w:basedOn w:val="Normal"/>
    <w:next w:val="Normal"/>
    <w:link w:val="Heading2Char"/>
    <w:qFormat/>
    <w:rsid w:val="00210087"/>
    <w:pPr>
      <w:keepNext/>
      <w:spacing w:before="240" w:after="60"/>
      <w:outlineLvl w:val="1"/>
    </w:pPr>
    <w:rPr>
      <w:rFonts w:ascii="Arial" w:hAnsi="Arial" w:cs="Arial"/>
      <w:b/>
      <w:bCs/>
      <w:iCs/>
      <w:sz w:val="32"/>
      <w:szCs w:val="28"/>
    </w:rPr>
  </w:style>
  <w:style w:type="paragraph" w:styleId="Heading3">
    <w:name w:val="heading 3"/>
    <w:basedOn w:val="Normal"/>
    <w:next w:val="Normal"/>
    <w:qFormat/>
    <w:rsid w:val="00210087"/>
    <w:pPr>
      <w:keepNext/>
      <w:spacing w:before="240" w:after="60"/>
      <w:outlineLvl w:val="2"/>
    </w:pPr>
    <w:rPr>
      <w:rFonts w:ascii="Arial" w:hAnsi="Arial" w:cs="Arial"/>
      <w:b/>
      <w:bCs/>
      <w:sz w:val="26"/>
      <w:szCs w:val="26"/>
    </w:rPr>
  </w:style>
  <w:style w:type="paragraph" w:styleId="Heading4">
    <w:name w:val="heading 4"/>
    <w:basedOn w:val="Normal"/>
    <w:next w:val="Normal"/>
    <w:qFormat/>
    <w:rsid w:val="00210087"/>
    <w:pPr>
      <w:keepNext/>
      <w:spacing w:before="240" w:after="60"/>
      <w:outlineLvl w:val="3"/>
    </w:pPr>
    <w:rPr>
      <w:rFonts w:ascii="Arial" w:hAnsi="Arial"/>
      <w:b/>
      <w:bCs/>
      <w:szCs w:val="28"/>
    </w:rPr>
  </w:style>
  <w:style w:type="character" w:default="1" w:styleId="DefaultParagraphFont">
    <w:name w:val="Default Paragraph Font"/>
    <w:semiHidden/>
    <w:rsid w:val="003276A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3276AF"/>
  </w:style>
  <w:style w:type="character" w:styleId="Hyperlink">
    <w:name w:val="Hyperlink"/>
    <w:rsid w:val="003276AF"/>
    <w:rPr>
      <w:color w:val="003366"/>
      <w:u w:val="single"/>
    </w:rPr>
  </w:style>
  <w:style w:type="paragraph" w:styleId="NormalWeb">
    <w:name w:val="Normal (Web)"/>
    <w:basedOn w:val="Normal"/>
    <w:rsid w:val="003276AF"/>
    <w:pPr>
      <w:spacing w:before="100" w:beforeAutospacing="1" w:after="100" w:afterAutospacing="1"/>
    </w:pPr>
    <w:rPr>
      <w:color w:val="000000"/>
    </w:rPr>
  </w:style>
  <w:style w:type="character" w:styleId="FollowedHyperlink">
    <w:name w:val="FollowedHyperlink"/>
    <w:rsid w:val="003276AF"/>
    <w:rPr>
      <w:color w:val="606420"/>
      <w:u w:val="single"/>
    </w:rPr>
  </w:style>
  <w:style w:type="paragraph" w:customStyle="1" w:styleId="align-center">
    <w:name w:val="align-center"/>
    <w:basedOn w:val="Normal"/>
    <w:rsid w:val="003276AF"/>
    <w:pPr>
      <w:spacing w:before="100" w:beforeAutospacing="1" w:after="100" w:afterAutospacing="1"/>
    </w:pPr>
    <w:rPr>
      <w:rFonts w:ascii="Verdana" w:hAnsi="Verdana"/>
    </w:rPr>
  </w:style>
  <w:style w:type="character" w:styleId="Strong">
    <w:name w:val="Strong"/>
    <w:rsid w:val="003276AF"/>
    <w:rPr>
      <w:b/>
      <w:bCs/>
    </w:rPr>
  </w:style>
  <w:style w:type="table" w:styleId="TableGrid">
    <w:name w:val="Table Grid"/>
    <w:basedOn w:val="TableNormal"/>
    <w:rsid w:val="00327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3276AF"/>
    <w:pPr>
      <w:tabs>
        <w:tab w:val="right" w:leader="dot" w:pos="8630"/>
      </w:tabs>
    </w:pPr>
  </w:style>
  <w:style w:type="paragraph" w:styleId="TOC2">
    <w:name w:val="toc 2"/>
    <w:basedOn w:val="Normal"/>
    <w:next w:val="Normal"/>
    <w:autoRedefine/>
    <w:semiHidden/>
    <w:rsid w:val="003276AF"/>
    <w:pPr>
      <w:ind w:left="240"/>
    </w:pPr>
  </w:style>
  <w:style w:type="paragraph" w:styleId="TOC3">
    <w:name w:val="toc 3"/>
    <w:basedOn w:val="Normal"/>
    <w:next w:val="Normal"/>
    <w:autoRedefine/>
    <w:semiHidden/>
    <w:rsid w:val="003276AF"/>
    <w:pPr>
      <w:ind w:left="480"/>
    </w:pPr>
  </w:style>
  <w:style w:type="paragraph" w:styleId="BalloonText">
    <w:name w:val="Balloon Text"/>
    <w:basedOn w:val="Normal"/>
    <w:semiHidden/>
    <w:rsid w:val="003276AF"/>
    <w:rPr>
      <w:rFonts w:ascii="Tahoma" w:hAnsi="Tahoma" w:cs="Tahoma"/>
      <w:sz w:val="16"/>
      <w:szCs w:val="16"/>
    </w:rPr>
  </w:style>
  <w:style w:type="character" w:customStyle="1" w:styleId="Heading2Char">
    <w:name w:val="Heading 2 Char"/>
    <w:link w:val="Heading2"/>
    <w:rsid w:val="003276AF"/>
    <w:rPr>
      <w:rFonts w:ascii="Arial" w:hAnsi="Arial" w:cs="Arial"/>
      <w:b/>
      <w:bCs/>
      <w:iCs/>
      <w:sz w:val="32"/>
      <w:szCs w:val="28"/>
    </w:rPr>
  </w:style>
  <w:style w:type="paragraph" w:styleId="BodyText">
    <w:name w:val="Body Text"/>
    <w:basedOn w:val="Normal"/>
    <w:link w:val="BodyTextChar"/>
    <w:uiPriority w:val="99"/>
    <w:unhideWhenUsed/>
    <w:rsid w:val="003276AF"/>
    <w:pPr>
      <w:spacing w:before="120" w:after="120"/>
    </w:pPr>
    <w:rPr>
      <w:rFonts w:ascii="Arial" w:hAnsi="Arial"/>
      <w:sz w:val="22"/>
    </w:rPr>
  </w:style>
  <w:style w:type="character" w:customStyle="1" w:styleId="BodyTextChar">
    <w:name w:val="Body Text Char"/>
    <w:link w:val="BodyText"/>
    <w:uiPriority w:val="99"/>
    <w:rsid w:val="003276AF"/>
    <w:rPr>
      <w:rFonts w:ascii="Arial" w:hAnsi="Arial"/>
      <w:sz w:val="22"/>
      <w:szCs w:val="24"/>
    </w:rPr>
  </w:style>
  <w:style w:type="paragraph" w:customStyle="1" w:styleId="Citation">
    <w:name w:val="Citation"/>
    <w:basedOn w:val="BodyText"/>
    <w:qFormat/>
    <w:rsid w:val="00210087"/>
    <w:pPr>
      <w:keepLines/>
      <w:spacing w:after="0"/>
      <w:ind w:left="720" w:hanging="720"/>
    </w:pPr>
  </w:style>
  <w:style w:type="character" w:styleId="CommentReference">
    <w:name w:val="annotation reference"/>
    <w:semiHidden/>
    <w:rsid w:val="003276AF"/>
    <w:rPr>
      <w:sz w:val="16"/>
      <w:szCs w:val="16"/>
    </w:rPr>
  </w:style>
  <w:style w:type="paragraph" w:styleId="CommentText">
    <w:name w:val="annotation text"/>
    <w:basedOn w:val="Normal"/>
    <w:link w:val="CommentTextChar"/>
    <w:semiHidden/>
    <w:rsid w:val="003276AF"/>
    <w:rPr>
      <w:sz w:val="20"/>
      <w:szCs w:val="20"/>
    </w:rPr>
  </w:style>
  <w:style w:type="character" w:customStyle="1" w:styleId="CommentTextChar">
    <w:name w:val="Comment Text Char"/>
    <w:basedOn w:val="DefaultParagraphFont"/>
    <w:link w:val="CommentText"/>
    <w:semiHidden/>
    <w:rsid w:val="003276AF"/>
  </w:style>
  <w:style w:type="paragraph" w:styleId="CommentSubject">
    <w:name w:val="annotation subject"/>
    <w:basedOn w:val="CommentText"/>
    <w:next w:val="CommentText"/>
    <w:link w:val="CommentSubjectChar"/>
    <w:semiHidden/>
    <w:rsid w:val="003276AF"/>
    <w:rPr>
      <w:b/>
      <w:bCs/>
    </w:rPr>
  </w:style>
  <w:style w:type="character" w:customStyle="1" w:styleId="CommentSubjectChar">
    <w:name w:val="Comment Subject Char"/>
    <w:link w:val="CommentSubject"/>
    <w:semiHidden/>
    <w:rsid w:val="003276AF"/>
    <w:rPr>
      <w:b/>
      <w:bCs/>
    </w:rPr>
  </w:style>
  <w:style w:type="paragraph" w:styleId="ListBullet">
    <w:name w:val="List Bullet"/>
    <w:basedOn w:val="Normal"/>
    <w:uiPriority w:val="99"/>
    <w:unhideWhenUsed/>
    <w:qFormat/>
    <w:rsid w:val="00210087"/>
    <w:pPr>
      <w:numPr>
        <w:numId w:val="32"/>
      </w:numPr>
      <w:contextualSpacing/>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Science Advisory Process on</vt:lpstr>
    </vt:vector>
  </TitlesOfParts>
  <Company>DFO</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Advisory Process on</dc:title>
  <dc:creator>RONDEAUI</dc:creator>
  <cp:lastModifiedBy>DFO-MPO</cp:lastModifiedBy>
  <cp:revision>2</cp:revision>
  <cp:lastPrinted>2010-10-12T13:32:00Z</cp:lastPrinted>
  <dcterms:created xsi:type="dcterms:W3CDTF">2015-05-12T19:33:00Z</dcterms:created>
  <dcterms:modified xsi:type="dcterms:W3CDTF">2015-05-12T19:33:00Z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nPrep">
    <vt:lpwstr>10/1/2010 9:21:25 AM</vt:lpwstr>
  </property>
</Properties>
</file>